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AEFE3">
      <w:pPr>
        <w:spacing w:before="156" w:beforeLines="50" w:after="156" w:afterLines="50" w:line="340" w:lineRule="exact"/>
        <w:jc w:val="center"/>
        <w:rPr>
          <w:rFonts w:ascii="方正小标宋简体" w:eastAsia="方正小标宋简体" w:hAnsiTheme="minorEastAsia"/>
          <w:bCs/>
          <w:iCs/>
          <w:sz w:val="32"/>
          <w:szCs w:val="32"/>
        </w:rPr>
      </w:pPr>
      <w:r>
        <w:rPr>
          <w:rFonts w:hint="eastAsia" w:ascii="方正小标宋简体" w:eastAsia="方正小标宋简体" w:hAnsiTheme="minorEastAsia"/>
          <w:bCs/>
          <w:iCs/>
          <w:sz w:val="32"/>
          <w:szCs w:val="32"/>
        </w:rPr>
        <w:t>国机重型装备集团股份有限公司</w:t>
      </w:r>
    </w:p>
    <w:p w14:paraId="07FF1EB7">
      <w:pPr>
        <w:spacing w:before="156" w:beforeLines="50" w:after="156" w:afterLines="50" w:line="340" w:lineRule="exact"/>
        <w:jc w:val="center"/>
        <w:rPr>
          <w:rFonts w:ascii="方正小标宋简体" w:eastAsia="方正小标宋简体" w:hAnsiTheme="minorEastAsia"/>
          <w:bCs/>
          <w:iCs/>
          <w:sz w:val="32"/>
          <w:szCs w:val="32"/>
        </w:rPr>
      </w:pPr>
      <w:r>
        <w:rPr>
          <w:rFonts w:hint="eastAsia" w:ascii="方正小标宋简体" w:eastAsia="方正小标宋简体" w:hAnsiTheme="minorEastAsia"/>
          <w:bCs/>
          <w:iCs/>
          <w:sz w:val="32"/>
          <w:szCs w:val="32"/>
        </w:rPr>
        <w:t>投资者关系活动记录表</w:t>
      </w:r>
    </w:p>
    <w:p w14:paraId="0406BA39">
      <w:pPr>
        <w:spacing w:line="400" w:lineRule="exact"/>
        <w:jc w:val="right"/>
        <w:rPr>
          <w:rFonts w:asciiTheme="minorEastAsia" w:hAnsiTheme="minorEastAsia" w:eastAsiaTheme="minorEastAsia"/>
          <w:bCs/>
          <w:iCs/>
          <w:sz w:val="24"/>
          <w:szCs w:val="24"/>
        </w:rPr>
      </w:pPr>
      <w:r>
        <w:rPr>
          <w:rFonts w:hint="eastAsia" w:asciiTheme="minorEastAsia" w:hAnsiTheme="minorEastAsia" w:eastAsiaTheme="minorEastAsia"/>
          <w:bCs/>
          <w:iCs/>
          <w:sz w:val="24"/>
          <w:szCs w:val="24"/>
        </w:rPr>
        <w:t xml:space="preserve">                                                      编号：2025-5</w:t>
      </w:r>
    </w:p>
    <w:tbl>
      <w:tblPr>
        <w:tblStyle w:val="12"/>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6614"/>
      </w:tblGrid>
      <w:tr w14:paraId="1A31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shd w:val="clear" w:color="auto" w:fill="auto"/>
            <w:vAlign w:val="center"/>
          </w:tcPr>
          <w:p w14:paraId="1AB06871">
            <w:pPr>
              <w:rPr>
                <w:rFonts w:asciiTheme="minorEastAsia" w:hAnsiTheme="minorEastAsia" w:eastAsiaTheme="minorEastAsia"/>
                <w:b/>
                <w:bCs/>
                <w:iCs/>
                <w:szCs w:val="21"/>
              </w:rPr>
            </w:pPr>
            <w:r>
              <w:rPr>
                <w:rFonts w:hint="eastAsia" w:asciiTheme="minorEastAsia" w:hAnsiTheme="minorEastAsia" w:eastAsiaTheme="minorEastAsia"/>
                <w:b/>
                <w:bCs/>
                <w:iCs/>
                <w:szCs w:val="21"/>
              </w:rPr>
              <w:t>投资者关系活动类别</w:t>
            </w:r>
          </w:p>
          <w:p w14:paraId="04503E51">
            <w:pPr>
              <w:rPr>
                <w:rFonts w:asciiTheme="minorEastAsia" w:hAnsiTheme="minorEastAsia" w:eastAsiaTheme="minorEastAsia"/>
                <w:b/>
                <w:bCs/>
                <w:iCs/>
                <w:szCs w:val="21"/>
              </w:rPr>
            </w:pPr>
          </w:p>
        </w:tc>
        <w:tc>
          <w:tcPr>
            <w:tcW w:w="6614" w:type="dxa"/>
            <w:shd w:val="clear" w:color="auto" w:fill="auto"/>
            <w:vAlign w:val="center"/>
          </w:tcPr>
          <w:p w14:paraId="08410E7B">
            <w:pPr>
              <w:rPr>
                <w:rFonts w:asciiTheme="minorEastAsia" w:hAnsiTheme="minorEastAsia" w:eastAsiaTheme="minorEastAsia"/>
                <w:bCs/>
                <w:iCs/>
                <w:szCs w:val="21"/>
              </w:rPr>
            </w:pPr>
            <w:r>
              <w:rPr>
                <w:rFonts w:hint="eastAsia" w:asciiTheme="minorEastAsia" w:hAnsiTheme="minorEastAsia" w:eastAsiaTheme="minorEastAsia"/>
                <w:bCs/>
                <w:iCs/>
                <w:szCs w:val="21"/>
              </w:rPr>
              <w:t>□</w:t>
            </w:r>
            <w:r>
              <w:rPr>
                <w:rFonts w:hint="eastAsia" w:asciiTheme="minorEastAsia" w:hAnsiTheme="minorEastAsia" w:eastAsiaTheme="minorEastAsia"/>
                <w:szCs w:val="21"/>
              </w:rPr>
              <w:t xml:space="preserve">特定对象调研        </w:t>
            </w:r>
            <w:r>
              <w:rPr>
                <w:rFonts w:hint="eastAsia" w:asciiTheme="minorEastAsia" w:hAnsiTheme="minorEastAsia" w:eastAsiaTheme="minorEastAsia"/>
                <w:bCs/>
                <w:iCs/>
                <w:szCs w:val="21"/>
              </w:rPr>
              <w:t>□</w:t>
            </w:r>
            <w:r>
              <w:rPr>
                <w:rFonts w:hint="eastAsia" w:asciiTheme="minorEastAsia" w:hAnsiTheme="minorEastAsia" w:eastAsiaTheme="minorEastAsia"/>
                <w:szCs w:val="21"/>
              </w:rPr>
              <w:t>分析师会议</w:t>
            </w:r>
          </w:p>
          <w:p w14:paraId="6211327E">
            <w:pPr>
              <w:rPr>
                <w:rFonts w:asciiTheme="minorEastAsia" w:hAnsiTheme="minorEastAsia" w:eastAsiaTheme="minorEastAsia"/>
                <w:bCs/>
                <w:iCs/>
                <w:szCs w:val="21"/>
              </w:rPr>
            </w:pPr>
            <w:r>
              <w:rPr>
                <w:rFonts w:hint="eastAsia" w:asciiTheme="minorEastAsia" w:hAnsiTheme="minorEastAsia" w:eastAsiaTheme="minorEastAsia"/>
                <w:bCs/>
                <w:iCs/>
                <w:szCs w:val="21"/>
              </w:rPr>
              <w:t>□</w:t>
            </w:r>
            <w:r>
              <w:rPr>
                <w:rFonts w:hint="eastAsia" w:asciiTheme="minorEastAsia" w:hAnsiTheme="minorEastAsia" w:eastAsiaTheme="minorEastAsia"/>
                <w:szCs w:val="21"/>
              </w:rPr>
              <w:t xml:space="preserve">媒体采访            </w:t>
            </w:r>
            <w:r>
              <w:rPr>
                <w:rFonts w:hint="eastAsia" w:asciiTheme="minorEastAsia" w:hAnsiTheme="minorEastAsia" w:eastAsiaTheme="minorEastAsia"/>
                <w:bCs/>
                <w:iCs/>
                <w:szCs w:val="21"/>
              </w:rPr>
              <w:t>□</w:t>
            </w:r>
            <w:r>
              <w:rPr>
                <w:rFonts w:hint="eastAsia" w:asciiTheme="minorEastAsia" w:hAnsiTheme="minorEastAsia" w:eastAsiaTheme="minorEastAsia"/>
                <w:szCs w:val="21"/>
              </w:rPr>
              <w:t>业绩说明会</w:t>
            </w:r>
          </w:p>
          <w:p w14:paraId="14E45B37">
            <w:pPr>
              <w:rPr>
                <w:rFonts w:asciiTheme="minorEastAsia" w:hAnsiTheme="minorEastAsia" w:eastAsiaTheme="minorEastAsia"/>
                <w:bCs/>
                <w:iCs/>
                <w:szCs w:val="21"/>
              </w:rPr>
            </w:pPr>
            <w:r>
              <w:rPr>
                <w:rFonts w:hint="eastAsia" w:asciiTheme="minorEastAsia" w:hAnsiTheme="minorEastAsia" w:eastAsiaTheme="minorEastAsia"/>
                <w:bCs/>
                <w:iCs/>
                <w:szCs w:val="21"/>
              </w:rPr>
              <w:t>□</w:t>
            </w:r>
            <w:r>
              <w:rPr>
                <w:rFonts w:hint="eastAsia" w:asciiTheme="minorEastAsia" w:hAnsiTheme="minorEastAsia" w:eastAsiaTheme="minorEastAsia"/>
                <w:szCs w:val="21"/>
              </w:rPr>
              <w:t xml:space="preserve">新闻发布会          </w:t>
            </w:r>
            <w:r>
              <w:rPr>
                <w:rFonts w:hint="eastAsia" w:asciiTheme="minorEastAsia" w:hAnsiTheme="minorEastAsia" w:eastAsiaTheme="minorEastAsia"/>
                <w:bCs/>
                <w:iCs/>
                <w:szCs w:val="21"/>
              </w:rPr>
              <w:t>□</w:t>
            </w:r>
            <w:r>
              <w:rPr>
                <w:rFonts w:hint="eastAsia" w:asciiTheme="minorEastAsia" w:hAnsiTheme="minorEastAsia" w:eastAsiaTheme="minorEastAsia"/>
                <w:szCs w:val="21"/>
              </w:rPr>
              <w:t>路演活动</w:t>
            </w:r>
          </w:p>
          <w:p w14:paraId="41839436">
            <w:pPr>
              <w:tabs>
                <w:tab w:val="left" w:pos="3045"/>
                <w:tab w:val="center" w:pos="3199"/>
              </w:tabs>
              <w:rPr>
                <w:rFonts w:asciiTheme="minorEastAsia" w:hAnsiTheme="minorEastAsia" w:eastAsiaTheme="minorEastAsia"/>
                <w:bCs/>
                <w:iCs/>
                <w:szCs w:val="21"/>
              </w:rPr>
            </w:pPr>
            <w:r>
              <w:rPr>
                <w:rFonts w:hint="eastAsia" w:asciiTheme="minorEastAsia" w:hAnsiTheme="minorEastAsia" w:eastAsiaTheme="minorEastAsia"/>
                <w:bCs/>
                <w:iCs/>
                <w:szCs w:val="21"/>
              </w:rPr>
              <w:t>□</w:t>
            </w:r>
            <w:r>
              <w:rPr>
                <w:rFonts w:hint="eastAsia" w:asciiTheme="minorEastAsia" w:hAnsiTheme="minorEastAsia" w:eastAsiaTheme="minorEastAsia"/>
                <w:szCs w:val="21"/>
              </w:rPr>
              <w:t xml:space="preserve">现场参观 √其他 </w:t>
            </w:r>
            <w:r>
              <w:rPr>
                <w:rFonts w:hint="eastAsia" w:cs="Arial" w:asciiTheme="minorEastAsia" w:hAnsiTheme="minorEastAsia"/>
                <w:sz w:val="22"/>
                <w:szCs w:val="22"/>
                <w:u w:val="single"/>
                <w:shd w:val="clear" w:color="auto" w:fill="FFFFFF"/>
              </w:rPr>
              <w:t>国机集团2025年上市公司集体投资者交流活动</w:t>
            </w:r>
          </w:p>
        </w:tc>
      </w:tr>
      <w:tr w14:paraId="16B1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shd w:val="clear" w:color="auto" w:fill="auto"/>
            <w:vAlign w:val="center"/>
          </w:tcPr>
          <w:p w14:paraId="5CDDE2AF">
            <w:pPr>
              <w:rPr>
                <w:rFonts w:asciiTheme="minorEastAsia" w:hAnsiTheme="minorEastAsia" w:eastAsiaTheme="minorEastAsia"/>
                <w:b/>
                <w:bCs/>
                <w:iCs/>
                <w:szCs w:val="21"/>
              </w:rPr>
            </w:pPr>
            <w:r>
              <w:rPr>
                <w:rFonts w:hint="eastAsia" w:asciiTheme="minorEastAsia" w:hAnsiTheme="minorEastAsia" w:eastAsiaTheme="minorEastAsia"/>
                <w:b/>
                <w:bCs/>
                <w:iCs/>
                <w:szCs w:val="21"/>
              </w:rPr>
              <w:t>参与单位名称及人员姓名</w:t>
            </w:r>
          </w:p>
        </w:tc>
        <w:tc>
          <w:tcPr>
            <w:tcW w:w="6614" w:type="dxa"/>
            <w:shd w:val="clear" w:color="auto" w:fill="auto"/>
            <w:vAlign w:val="center"/>
          </w:tcPr>
          <w:p w14:paraId="04DC333B">
            <w:pPr>
              <w:rPr>
                <w:rFonts w:asciiTheme="minorEastAsia" w:hAnsiTheme="minorEastAsia" w:eastAsiaTheme="minorEastAsia"/>
                <w:bCs/>
                <w:iCs/>
                <w:szCs w:val="21"/>
              </w:rPr>
            </w:pPr>
            <w:r>
              <w:rPr>
                <w:rFonts w:hint="eastAsia" w:asciiTheme="minorEastAsia" w:hAnsiTheme="minorEastAsia" w:eastAsiaTheme="minorEastAsia"/>
                <w:iCs/>
                <w:szCs w:val="21"/>
              </w:rPr>
              <w:t>中信证券、中信建投、爱建证券、华鑫证券</w:t>
            </w:r>
            <w:r>
              <w:rPr>
                <w:rFonts w:hint="eastAsia" w:asciiTheme="minorEastAsia" w:hAnsiTheme="minorEastAsia" w:eastAsiaTheme="minorEastAsia"/>
                <w:iCs/>
                <w:szCs w:val="21"/>
                <w:lang w:eastAsia="zh-CN"/>
              </w:rPr>
              <w:t>、</w:t>
            </w:r>
            <w:r>
              <w:rPr>
                <w:rFonts w:hint="eastAsia" w:asciiTheme="minorEastAsia" w:hAnsiTheme="minorEastAsia" w:eastAsiaTheme="minorEastAsia"/>
                <w:iCs/>
                <w:szCs w:val="21"/>
              </w:rPr>
              <w:t>乐盈私募</w:t>
            </w:r>
            <w:r>
              <w:rPr>
                <w:rFonts w:hint="eastAsia" w:asciiTheme="minorEastAsia" w:hAnsiTheme="minorEastAsia" w:eastAsiaTheme="minorEastAsia"/>
                <w:iCs/>
                <w:szCs w:val="21"/>
                <w:lang w:eastAsia="zh-CN"/>
              </w:rPr>
              <w:t>、</w:t>
            </w:r>
            <w:r>
              <w:rPr>
                <w:rFonts w:hint="eastAsia" w:asciiTheme="minorEastAsia" w:hAnsiTheme="minorEastAsia" w:eastAsiaTheme="minorEastAsia"/>
                <w:iCs/>
                <w:szCs w:val="21"/>
              </w:rPr>
              <w:t>金豆子基金（以上排名不分先后）</w:t>
            </w:r>
          </w:p>
        </w:tc>
      </w:tr>
      <w:tr w14:paraId="25B2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shd w:val="clear" w:color="auto" w:fill="auto"/>
            <w:vAlign w:val="center"/>
          </w:tcPr>
          <w:p w14:paraId="3A6A2170">
            <w:pPr>
              <w:rPr>
                <w:rFonts w:asciiTheme="minorEastAsia" w:hAnsiTheme="minorEastAsia" w:eastAsiaTheme="minorEastAsia"/>
                <w:b/>
                <w:bCs/>
                <w:iCs/>
                <w:szCs w:val="21"/>
              </w:rPr>
            </w:pPr>
            <w:r>
              <w:rPr>
                <w:rFonts w:hint="eastAsia" w:asciiTheme="minorEastAsia" w:hAnsiTheme="minorEastAsia" w:eastAsiaTheme="minorEastAsia"/>
                <w:b/>
                <w:bCs/>
                <w:iCs/>
                <w:szCs w:val="21"/>
              </w:rPr>
              <w:t>时间</w:t>
            </w:r>
          </w:p>
        </w:tc>
        <w:tc>
          <w:tcPr>
            <w:tcW w:w="6614" w:type="dxa"/>
            <w:shd w:val="clear" w:color="auto" w:fill="auto"/>
            <w:vAlign w:val="center"/>
          </w:tcPr>
          <w:p w14:paraId="4CFC8E2A">
            <w:pPr>
              <w:rPr>
                <w:rFonts w:asciiTheme="minorEastAsia" w:hAnsiTheme="minorEastAsia" w:eastAsiaTheme="minorEastAsia"/>
                <w:bCs/>
                <w:iCs/>
                <w:szCs w:val="21"/>
              </w:rPr>
            </w:pPr>
            <w:r>
              <w:rPr>
                <w:rFonts w:hint="eastAsia" w:asciiTheme="minorEastAsia" w:hAnsiTheme="minorEastAsia" w:eastAsiaTheme="minorEastAsia"/>
                <w:bCs/>
                <w:iCs/>
                <w:szCs w:val="21"/>
              </w:rPr>
              <w:t>2025年9月5日</w:t>
            </w:r>
          </w:p>
        </w:tc>
      </w:tr>
      <w:tr w14:paraId="2256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shd w:val="clear" w:color="auto" w:fill="auto"/>
            <w:vAlign w:val="center"/>
          </w:tcPr>
          <w:p w14:paraId="62F4498C">
            <w:pPr>
              <w:rPr>
                <w:rFonts w:asciiTheme="minorEastAsia" w:hAnsiTheme="minorEastAsia" w:eastAsiaTheme="minorEastAsia"/>
                <w:b/>
                <w:bCs/>
                <w:iCs/>
                <w:szCs w:val="21"/>
              </w:rPr>
            </w:pPr>
            <w:r>
              <w:rPr>
                <w:rFonts w:hint="eastAsia" w:asciiTheme="minorEastAsia" w:hAnsiTheme="minorEastAsia" w:eastAsiaTheme="minorEastAsia"/>
                <w:b/>
                <w:bCs/>
                <w:iCs/>
                <w:szCs w:val="21"/>
              </w:rPr>
              <w:t>地点</w:t>
            </w:r>
          </w:p>
        </w:tc>
        <w:tc>
          <w:tcPr>
            <w:tcW w:w="6614" w:type="dxa"/>
            <w:shd w:val="clear" w:color="auto" w:fill="auto"/>
            <w:vAlign w:val="center"/>
          </w:tcPr>
          <w:p w14:paraId="499515E9">
            <w:pPr>
              <w:rPr>
                <w:rFonts w:asciiTheme="minorEastAsia" w:hAnsiTheme="minorEastAsia" w:eastAsiaTheme="minorEastAsia"/>
                <w:bCs/>
                <w:iCs/>
                <w:szCs w:val="21"/>
              </w:rPr>
            </w:pPr>
            <w:r>
              <w:rPr>
                <w:rFonts w:hint="eastAsia" w:asciiTheme="minorEastAsia" w:hAnsiTheme="minorEastAsia" w:eastAsiaTheme="minorEastAsia"/>
                <w:bCs/>
                <w:iCs/>
                <w:szCs w:val="21"/>
              </w:rPr>
              <w:t>广东省广州市</w:t>
            </w:r>
          </w:p>
        </w:tc>
      </w:tr>
      <w:tr w14:paraId="01CC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shd w:val="clear" w:color="auto" w:fill="auto"/>
            <w:vAlign w:val="center"/>
          </w:tcPr>
          <w:p w14:paraId="684B3EE8">
            <w:pPr>
              <w:rPr>
                <w:rFonts w:asciiTheme="minorEastAsia" w:hAnsiTheme="minorEastAsia" w:eastAsiaTheme="minorEastAsia"/>
                <w:b/>
                <w:bCs/>
                <w:iCs/>
                <w:szCs w:val="21"/>
              </w:rPr>
            </w:pPr>
            <w:r>
              <w:rPr>
                <w:rFonts w:hint="eastAsia" w:asciiTheme="minorEastAsia" w:hAnsiTheme="minorEastAsia" w:eastAsiaTheme="minorEastAsia"/>
                <w:b/>
                <w:bCs/>
                <w:iCs/>
                <w:szCs w:val="21"/>
              </w:rPr>
              <w:t>上市公司接待人员姓名</w:t>
            </w:r>
          </w:p>
        </w:tc>
        <w:tc>
          <w:tcPr>
            <w:tcW w:w="6614" w:type="dxa"/>
            <w:shd w:val="clear" w:color="auto" w:fill="auto"/>
            <w:vAlign w:val="center"/>
          </w:tcPr>
          <w:p w14:paraId="1EC116C7">
            <w:pPr>
              <w:rPr>
                <w:rFonts w:asciiTheme="minorEastAsia" w:hAnsiTheme="minorEastAsia" w:eastAsiaTheme="minorEastAsia"/>
                <w:bCs/>
                <w:iCs/>
                <w:szCs w:val="21"/>
              </w:rPr>
            </w:pPr>
            <w:r>
              <w:rPr>
                <w:rFonts w:asciiTheme="minorEastAsia" w:hAnsiTheme="minorEastAsia" w:eastAsiaTheme="minorEastAsia"/>
                <w:bCs/>
                <w:iCs/>
                <w:szCs w:val="21"/>
              </w:rPr>
              <w:t>公司董事长</w:t>
            </w:r>
            <w:r>
              <w:rPr>
                <w:rFonts w:hint="eastAsia" w:asciiTheme="minorEastAsia" w:hAnsiTheme="minorEastAsia" w:eastAsiaTheme="minorEastAsia"/>
                <w:bCs/>
                <w:iCs/>
                <w:szCs w:val="21"/>
              </w:rPr>
              <w:t>：韩晓军先生</w:t>
            </w:r>
          </w:p>
          <w:p w14:paraId="2D50D4DA">
            <w:pPr>
              <w:rPr>
                <w:rFonts w:asciiTheme="minorEastAsia" w:hAnsiTheme="minorEastAsia" w:eastAsiaTheme="minorEastAsia"/>
                <w:bCs/>
                <w:iCs/>
                <w:szCs w:val="21"/>
              </w:rPr>
            </w:pPr>
            <w:r>
              <w:rPr>
                <w:rFonts w:hint="eastAsia" w:asciiTheme="minorEastAsia" w:hAnsiTheme="minorEastAsia" w:eastAsiaTheme="minorEastAsia"/>
                <w:bCs/>
                <w:iCs/>
                <w:szCs w:val="21"/>
              </w:rPr>
              <w:t>公司副总经理、董事会秘书：李俊辉先生</w:t>
            </w:r>
          </w:p>
          <w:p w14:paraId="0B4C41CA">
            <w:pPr>
              <w:rPr>
                <w:rFonts w:asciiTheme="minorEastAsia" w:hAnsiTheme="minorEastAsia" w:eastAsiaTheme="minorEastAsia"/>
                <w:bCs/>
                <w:iCs/>
                <w:szCs w:val="21"/>
              </w:rPr>
            </w:pPr>
            <w:r>
              <w:rPr>
                <w:rFonts w:hint="eastAsia" w:asciiTheme="minorEastAsia" w:hAnsiTheme="minorEastAsia" w:eastAsiaTheme="minorEastAsia"/>
                <w:bCs/>
                <w:iCs/>
                <w:szCs w:val="21"/>
              </w:rPr>
              <w:t>公司财务总监：龚萍女士</w:t>
            </w:r>
          </w:p>
          <w:p w14:paraId="175DCD50">
            <w:pPr>
              <w:rPr>
                <w:rFonts w:asciiTheme="minorEastAsia" w:hAnsiTheme="minorEastAsia" w:eastAsiaTheme="minorEastAsia"/>
                <w:bCs/>
                <w:iCs/>
                <w:szCs w:val="21"/>
              </w:rPr>
            </w:pPr>
            <w:r>
              <w:rPr>
                <w:rFonts w:hint="eastAsia" w:asciiTheme="minorEastAsia" w:hAnsiTheme="minorEastAsia" w:eastAsiaTheme="minorEastAsia"/>
                <w:bCs/>
                <w:iCs/>
                <w:szCs w:val="21"/>
              </w:rPr>
              <w:t>公司总经济师：唐健先生</w:t>
            </w:r>
          </w:p>
        </w:tc>
      </w:tr>
      <w:tr w14:paraId="17CF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2325" w:type="dxa"/>
            <w:shd w:val="clear" w:color="auto" w:fill="auto"/>
            <w:vAlign w:val="center"/>
          </w:tcPr>
          <w:p w14:paraId="6FA00041">
            <w:pPr>
              <w:rPr>
                <w:rFonts w:asciiTheme="minorEastAsia" w:hAnsiTheme="minorEastAsia" w:eastAsiaTheme="minorEastAsia"/>
                <w:b/>
                <w:bCs/>
                <w:iCs/>
                <w:szCs w:val="21"/>
              </w:rPr>
            </w:pPr>
            <w:r>
              <w:rPr>
                <w:rFonts w:hint="eastAsia" w:asciiTheme="minorEastAsia" w:hAnsiTheme="minorEastAsia" w:eastAsiaTheme="minorEastAsia"/>
                <w:b/>
                <w:bCs/>
                <w:iCs/>
                <w:szCs w:val="21"/>
              </w:rPr>
              <w:t>投资者关系活动主要内容介绍</w:t>
            </w:r>
          </w:p>
        </w:tc>
        <w:tc>
          <w:tcPr>
            <w:tcW w:w="6614" w:type="dxa"/>
            <w:shd w:val="clear" w:color="auto" w:fill="auto"/>
            <w:vAlign w:val="center"/>
          </w:tcPr>
          <w:p w14:paraId="3DD8FB69">
            <w:pPr>
              <w:pStyle w:val="3"/>
              <w:keepNext w:val="0"/>
              <w:keepLines w:val="0"/>
              <w:spacing w:before="0" w:after="0" w:line="340" w:lineRule="exact"/>
              <w:ind w:firstLine="420" w:firstLineChars="200"/>
              <w:rPr>
                <w:rFonts w:cs="Times New Roman" w:asciiTheme="minorEastAsia" w:hAnsiTheme="minorEastAsia" w:eastAsiaTheme="minorEastAsia"/>
                <w:b w:val="0"/>
                <w:bCs w:val="0"/>
                <w:color w:val="000000" w:themeColor="text1"/>
                <w:sz w:val="21"/>
                <w:szCs w:val="20"/>
                <w14:textFill>
                  <w14:solidFill>
                    <w14:schemeClr w14:val="tx1"/>
                  </w14:solidFill>
                </w14:textFill>
              </w:rPr>
            </w:pPr>
            <w:r>
              <w:rPr>
                <w:rFonts w:hint="eastAsia" w:cs="Times New Roman" w:asciiTheme="minorEastAsia" w:hAnsiTheme="minorEastAsia" w:eastAsiaTheme="minorEastAsia"/>
                <w:b w:val="0"/>
                <w:bCs w:val="0"/>
                <w:color w:val="000000" w:themeColor="text1"/>
                <w:sz w:val="21"/>
                <w:szCs w:val="20"/>
                <w14:textFill>
                  <w14:solidFill>
                    <w14:schemeClr w14:val="tx1"/>
                  </w14:solidFill>
                </w14:textFill>
              </w:rPr>
              <w:t>公司控股股东中国机械工业集团有限公司（以下简称国机集团）于2025年9月5日举办国机集团2025年上市公司集体投资者交流活动。</w:t>
            </w:r>
          </w:p>
          <w:p w14:paraId="0D3AB645">
            <w:pPr>
              <w:pStyle w:val="3"/>
              <w:keepNext w:val="0"/>
              <w:keepLines w:val="0"/>
              <w:spacing w:before="0" w:after="0" w:line="340" w:lineRule="exact"/>
              <w:ind w:firstLine="420" w:firstLineChars="200"/>
              <w:rPr>
                <w:rFonts w:cs="Times New Roman" w:asciiTheme="minorEastAsia" w:hAnsiTheme="minorEastAsia" w:eastAsiaTheme="minorEastAsia"/>
                <w:bCs w:val="0"/>
                <w:color w:val="000000" w:themeColor="text1"/>
                <w:sz w:val="21"/>
                <w:szCs w:val="20"/>
                <w14:textFill>
                  <w14:solidFill>
                    <w14:schemeClr w14:val="tx1"/>
                  </w14:solidFill>
                </w14:textFill>
              </w:rPr>
            </w:pPr>
            <w:r>
              <w:rPr>
                <w:rFonts w:cs="Times New Roman" w:asciiTheme="minorEastAsia" w:hAnsiTheme="minorEastAsia" w:eastAsiaTheme="minorEastAsia"/>
                <w:bCs w:val="0"/>
                <w:color w:val="000000" w:themeColor="text1"/>
                <w:sz w:val="21"/>
                <w:szCs w:val="20"/>
                <w14:textFill>
                  <w14:solidFill>
                    <w14:schemeClr w14:val="tx1"/>
                  </w14:solidFill>
                </w14:textFill>
              </w:rPr>
              <w:t>问题</w:t>
            </w:r>
            <w:r>
              <w:rPr>
                <w:rFonts w:hint="eastAsia" w:cs="Times New Roman" w:asciiTheme="minorEastAsia" w:hAnsiTheme="minorEastAsia" w:eastAsiaTheme="minorEastAsia"/>
                <w:bCs w:val="0"/>
                <w:color w:val="000000" w:themeColor="text1"/>
                <w:sz w:val="21"/>
                <w:szCs w:val="20"/>
                <w14:textFill>
                  <w14:solidFill>
                    <w14:schemeClr w14:val="tx1"/>
                  </w14:solidFill>
                </w14:textFill>
              </w:rPr>
              <w:t>1</w:t>
            </w:r>
            <w:r>
              <w:rPr>
                <w:rFonts w:cs="Times New Roman" w:asciiTheme="minorEastAsia" w:hAnsiTheme="minorEastAsia" w:eastAsiaTheme="minorEastAsia"/>
                <w:bCs w:val="0"/>
                <w:color w:val="000000" w:themeColor="text1"/>
                <w:sz w:val="21"/>
                <w:szCs w:val="20"/>
                <w14:textFill>
                  <w14:solidFill>
                    <w14:schemeClr w14:val="tx1"/>
                  </w14:solidFill>
                </w14:textFill>
              </w:rPr>
              <w:t>：</w:t>
            </w:r>
            <w:r>
              <w:rPr>
                <w:rFonts w:hint="eastAsia" w:cs="Times New Roman" w:asciiTheme="minorEastAsia" w:hAnsiTheme="minorEastAsia" w:eastAsiaTheme="minorEastAsia"/>
                <w:bCs w:val="0"/>
                <w:color w:val="000000" w:themeColor="text1"/>
                <w:sz w:val="21"/>
                <w:szCs w:val="20"/>
                <w14:textFill>
                  <w14:solidFill>
                    <w14:schemeClr w14:val="tx1"/>
                  </w14:solidFill>
                </w14:textFill>
              </w:rPr>
              <w:t>公司2025年上半年经营情况如何？</w:t>
            </w:r>
          </w:p>
          <w:p w14:paraId="2D308472">
            <w:pPr>
              <w:spacing w:line="340" w:lineRule="exact"/>
              <w:ind w:firstLine="420" w:firstLineChars="200"/>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回复：</w:t>
            </w:r>
            <w:bookmarkStart w:id="0" w:name="_GoBack"/>
            <w:bookmarkEnd w:id="0"/>
          </w:p>
          <w:p w14:paraId="17C27620">
            <w:pPr>
              <w:spacing w:line="3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今年上半年，公司实现利润总额3.07亿元，同比增长15.14%；营业收入70.73亿元，同比增长13.21%；实现合同签约额</w:t>
            </w:r>
            <w:r>
              <w:rPr>
                <w:rFonts w:asciiTheme="minorEastAsia" w:hAnsiTheme="minorEastAsia" w:eastAsiaTheme="minorEastAsia"/>
                <w:color w:val="000000" w:themeColor="text1"/>
                <w14:textFill>
                  <w14:solidFill>
                    <w14:schemeClr w14:val="tx1"/>
                  </w14:solidFill>
                </w14:textFill>
              </w:rPr>
              <w:t>165.02</w:t>
            </w:r>
            <w:r>
              <w:rPr>
                <w:rFonts w:hint="eastAsia" w:asciiTheme="minorEastAsia" w:hAnsiTheme="minorEastAsia" w:eastAsiaTheme="minorEastAsia"/>
                <w:color w:val="000000" w:themeColor="text1"/>
                <w14:textFill>
                  <w14:solidFill>
                    <w14:schemeClr w14:val="tx1"/>
                  </w14:solidFill>
                </w14:textFill>
              </w:rPr>
              <w:t>亿元,同比增长</w:t>
            </w:r>
            <w:r>
              <w:rPr>
                <w:rFonts w:asciiTheme="minorEastAsia" w:hAnsiTheme="minorEastAsia" w:eastAsiaTheme="minorEastAsia"/>
                <w:color w:val="000000" w:themeColor="text1"/>
                <w14:textFill>
                  <w14:solidFill>
                    <w14:schemeClr w14:val="tx1"/>
                  </w14:solidFill>
                </w14:textFill>
              </w:rPr>
              <w:t>43.57%</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br w:type="textWrapping"/>
            </w:r>
            <w:r>
              <w:rPr>
                <w:rFonts w:hint="eastAsia" w:asciiTheme="minorEastAsia" w:hAnsiTheme="minorEastAsia" w:eastAsiaTheme="minorEastAsia"/>
                <w:color w:val="000000" w:themeColor="text1"/>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一是市场开拓多点开花，海外拓展稳步推进。签订广西白龙核电稳压器设备、山东海阳堆芯补水箱、中核华龙一号SG锻件等合同，核能装备市场份额持续提升。签订中海油大榭舟山、中石化九江、神华榆林煤液化项目反应器等一批重型容器合同，压力容器市场拓展取得新成效。Cr12转子、FB2转子、CB2汽缸等电站铸锻件实现批量订货，高端大型铸锻件市场份额稳步提升。签订梅钢1422热轧产线机组、河北津西钢铁1880mm带钢热连轧机组、金威铜业800mm铜带四辊粗轧机组等重大项目，冶金成台套装备多点开花。产品出口订单大幅增长，公司装备制造和服务“走出去”再创佳绩。检验检测等制造服务业务市场开拓成果丰硕。柬埔寨上达岱抽水蓄能电站BOT项目成功签署三大协议，中柬能源合作迈入崭新阶段。土耳其萨菲港口4台集装箱岸桥项目实现生效，重点国别市场滚动开发取得新成果。</w:t>
            </w:r>
          </w:p>
          <w:p w14:paraId="62060E3D">
            <w:pPr>
              <w:spacing w:line="3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是项目执行高效有序，客户满意持续增强。金陵石化、敬业1780、呈钢1250、晨曦湿法冶炼、信德环保燃料及新材料等重点产品高效交付，有力满足了用户需求；广西柳钢中金不锈钢有限公司冷轧机组项目包钢RH精炼炉机械抽真空系统改造项目快速投产达效；华峰铝业2400、洛阳炼化、核电锻件及主管道、各类电站铸锻件等重点项目在制有序推进。老挝南俄4水电站全部机组设备全部投入商业运行。检验检测、工业安装等制造服务项目有序推进。</w:t>
            </w:r>
          </w:p>
          <w:p w14:paraId="51FE721E">
            <w:pPr>
              <w:spacing w:line="3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柬埔寨达岱水电站运行状况良好，已连续安全生产3975天，累计发电量105.65亿度，累计实现碳减排562.4万吨。上达岱水电站项目建设完成75.23%，满足节点计划要求。北京口腔医院屋面光伏BOT项目投入商业运营。</w:t>
            </w:r>
          </w:p>
          <w:p w14:paraId="292267DC">
            <w:pPr>
              <w:spacing w:line="3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三是科技攻关持续发力，平台建设蹄疾步稳。国内最宽幅高性能钛板生产线——3000mm钛合金板材生产线粗轧机组完成总装发运。世界首件630℃超超临界二次再热机组C630R高压转子锻件成功发运，标志着我国超超临界机组材料研制实现从“跟跑”到“领跑”的历史性跨越。突破冲击式转轮水斗锻件近净成形锻造技术、百吨级大型飞轮转子锻件全流程制造技术，成功实现500MW级冲击式转轮水斗锻件、国内首件百吨级飞轮转子锻件等产品开发。</w:t>
            </w:r>
          </w:p>
          <w:p w14:paraId="7B047D5E">
            <w:pPr>
              <w:tabs>
                <w:tab w:val="left" w:pos="312"/>
              </w:tabs>
              <w:spacing w:line="340" w:lineRule="exact"/>
              <w:ind w:firstLine="420" w:firstLineChars="200"/>
              <w:textAlignment w:val="baseline"/>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问题2：公司是否会参与到新成立的雅江集团旗下墨脱水电站的建设？</w:t>
            </w:r>
            <w:r>
              <w:rPr>
                <w:rFonts w:asciiTheme="minorEastAsia" w:hAnsiTheme="minorEastAsia" w:eastAsiaTheme="minorEastAsia"/>
                <w:b/>
                <w:color w:val="000000" w:themeColor="text1"/>
                <w14:textFill>
                  <w14:solidFill>
                    <w14:schemeClr w14:val="tx1"/>
                  </w14:solidFill>
                </w14:textFill>
              </w:rPr>
              <w:t xml:space="preserve"> </w:t>
            </w:r>
          </w:p>
          <w:p w14:paraId="2A12C64F">
            <w:pPr>
              <w:tabs>
                <w:tab w:val="left" w:pos="312"/>
              </w:tabs>
              <w:spacing w:line="340" w:lineRule="exact"/>
              <w:ind w:firstLine="420" w:firstLineChars="200"/>
              <w:textAlignment w:val="baseline"/>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回复：</w:t>
            </w:r>
          </w:p>
          <w:p w14:paraId="77655F82">
            <w:pPr>
              <w:tabs>
                <w:tab w:val="left" w:pos="312"/>
              </w:tabs>
              <w:spacing w:line="340" w:lineRule="exact"/>
              <w:ind w:firstLine="420" w:firstLineChars="200"/>
              <w:textAlignment w:val="baseline"/>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国机重装是全球大型铸锻件的顶级供应商，为三峡、乌东德、白鹤滩、长龙山等大型水电工程等提供了一大批优质关键铸锻件产品，是国内唯一能够提供700MW-1000MW级水电机组全套铸锻件的顶尖供应商，参与并见证了世界最大“清洁能源走廊”——长江干流6座梯级水电站的建设，为我国水电事业发展做出了卓越贡献。</w:t>
            </w:r>
          </w:p>
          <w:p w14:paraId="5F255F5D">
            <w:pPr>
              <w:tabs>
                <w:tab w:val="left" w:pos="312"/>
              </w:tabs>
              <w:spacing w:line="340" w:lineRule="exact"/>
              <w:ind w:firstLine="420" w:firstLineChars="200"/>
              <w:textAlignment w:val="baseline"/>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2023年，率先完成了雅江验证项目——世界最大功率等级高水头冲击式电站扎拉项目500MW冲击式转轮的产品件锻造，标志着公司掌握了500MW级冲击式转轮中心体锻件制造全流程关键技术，实现了500MW级马氏体不锈钢冲击式转轮锻件“从0到1”的突破。</w:t>
            </w:r>
          </w:p>
          <w:p w14:paraId="476CDD2F">
            <w:pPr>
              <w:tabs>
                <w:tab w:val="left" w:pos="312"/>
              </w:tabs>
              <w:spacing w:line="340" w:lineRule="exact"/>
              <w:ind w:firstLine="420" w:firstLineChars="200"/>
              <w:textAlignment w:val="baseline"/>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2024年，成功研制世界首台最大单机容量500MW级冲击式水电机组球阀铸钢件。这是国机重装为扎拉水电站提供世界首件500兆瓦转轮中心体锻钢件后，接续努力打造的又一高品质重大技术装备关键部件，标志着国机重装成为全球首家具备500兆瓦级冲击式水电机组核心铸锻件制造能力的企业，为国家雅江水电工程顺利建设提供了有力支撑。</w:t>
            </w:r>
          </w:p>
          <w:p w14:paraId="51EF0804">
            <w:pPr>
              <w:tabs>
                <w:tab w:val="left" w:pos="312"/>
              </w:tabs>
              <w:spacing w:line="340" w:lineRule="exact"/>
              <w:ind w:firstLine="420" w:firstLineChars="200"/>
              <w:textAlignment w:val="baseline"/>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国机重装高度重视新一轮重大水电项目建设带来的业务机会，将积极加强与主机厂的合作，争取为重大项目提供更多关键核心铸锻件产品。</w:t>
            </w:r>
          </w:p>
          <w:p w14:paraId="3958B66B">
            <w:pPr>
              <w:spacing w:line="340" w:lineRule="exact"/>
              <w:ind w:firstLine="420"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问题3：公司的核电产品主要有哪些？</w:t>
            </w:r>
          </w:p>
          <w:p w14:paraId="7B74AA44">
            <w:pPr>
              <w:tabs>
                <w:tab w:val="left" w:pos="312"/>
              </w:tabs>
              <w:spacing w:line="340" w:lineRule="exact"/>
              <w:ind w:firstLine="420" w:firstLineChars="200"/>
              <w:textAlignment w:val="baseline"/>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回复：</w:t>
            </w:r>
          </w:p>
          <w:p w14:paraId="7973BFA6">
            <w:pPr>
              <w:spacing w:line="3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公司核能装备主要供货产品有主管道及波动管、稳压器、堆芯补水箱、主泵泵壳、主设备支撑、核岛和常规岛铸锻件等。</w:t>
            </w:r>
          </w:p>
          <w:p w14:paraId="64D4B550">
            <w:pPr>
              <w:spacing w:line="340" w:lineRule="exact"/>
              <w:ind w:firstLine="420" w:firstLineChars="200"/>
              <w:rPr>
                <w:rFonts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问题</w:t>
            </w:r>
            <w:r>
              <w:rPr>
                <w:rFonts w:hint="eastAsia" w:asciiTheme="minorEastAsia" w:hAnsiTheme="minorEastAsia" w:eastAsiaTheme="minorEastAsia"/>
                <w:b/>
                <w:color w:val="000000" w:themeColor="text1"/>
                <w14:textFill>
                  <w14:solidFill>
                    <w14:schemeClr w14:val="tx1"/>
                  </w14:solidFill>
                </w14:textFill>
              </w:rPr>
              <w:t>4：请问公司工程承包的项目周期一般是多少？</w:t>
            </w:r>
          </w:p>
          <w:p w14:paraId="0F36528A">
            <w:pPr>
              <w:spacing w:line="3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回复：</w:t>
            </w:r>
          </w:p>
          <w:p w14:paraId="4A3722B6">
            <w:pPr>
              <w:spacing w:line="3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公司工程承包项目的周期根据项目复杂程度不同与业主商定具体时间，常规项目周期一般在2-3年，涉及大型基础设施建设（如水电站建设）的项目周期一般在5-6年。</w:t>
            </w:r>
          </w:p>
          <w:p w14:paraId="291F0564">
            <w:pPr>
              <w:spacing w:line="380" w:lineRule="exact"/>
              <w:ind w:firstLine="420"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问题5：公司在核聚变领域的进展情况如何？</w:t>
            </w:r>
          </w:p>
          <w:p w14:paraId="41D2A2BF">
            <w:pPr>
              <w:spacing w:line="34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stheme="minorBidi"/>
              </w:rPr>
              <w:t>“十四五”以来，公司积极布局未来产业，加强可控核聚变装置关键零部件技术研发及产业化应用研究，先后突破了低温超导磁体材料制备、超深坡口焊接、超大构件加工变形控制等关键核心技术，完成了聚变堆主机关键系统综合研究设施CRATFTF线圈盒AU3先行件、全球首台全高温超导托卡马克装置HH-70TF线圈盒等产品的制造。基于前期的技术研发成果和制造业绩，公司于2023年11月获得了紧凑型聚变能实验装置BEST TF线圈盒的首套制造项目，目前项目推进顺利，将于近期完工交货。今年一季度，公司又成功签订了BEST TF线圈盒的批量化制造订单，推动公司产业结构调整迈出坚实一步。</w:t>
            </w:r>
          </w:p>
        </w:tc>
      </w:tr>
      <w:tr w14:paraId="5FB2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325" w:type="dxa"/>
            <w:shd w:val="clear" w:color="auto" w:fill="auto"/>
            <w:vAlign w:val="center"/>
          </w:tcPr>
          <w:p w14:paraId="5F1827F8">
            <w:pPr>
              <w:jc w:val="center"/>
              <w:rPr>
                <w:rFonts w:asciiTheme="minorEastAsia" w:hAnsiTheme="minorEastAsia"/>
                <w:b/>
                <w:sz w:val="24"/>
                <w:szCs w:val="24"/>
              </w:rPr>
            </w:pPr>
            <w:r>
              <w:rPr>
                <w:rFonts w:hint="eastAsia" w:asciiTheme="minorEastAsia" w:hAnsiTheme="minorEastAsia"/>
                <w:b/>
                <w:sz w:val="24"/>
                <w:szCs w:val="24"/>
              </w:rPr>
              <w:t>附件清单</w:t>
            </w:r>
          </w:p>
          <w:p w14:paraId="3780FBA0">
            <w:pPr>
              <w:jc w:val="center"/>
              <w:rPr>
                <w:rFonts w:asciiTheme="minorEastAsia" w:hAnsiTheme="minorEastAsia"/>
                <w:b/>
                <w:sz w:val="24"/>
                <w:szCs w:val="24"/>
              </w:rPr>
            </w:pPr>
            <w:r>
              <w:rPr>
                <w:rFonts w:hint="eastAsia" w:asciiTheme="minorEastAsia" w:hAnsiTheme="minorEastAsia"/>
                <w:b/>
                <w:sz w:val="24"/>
                <w:szCs w:val="24"/>
              </w:rPr>
              <w:t>（如有）</w:t>
            </w:r>
          </w:p>
        </w:tc>
        <w:tc>
          <w:tcPr>
            <w:tcW w:w="6614" w:type="dxa"/>
            <w:shd w:val="clear" w:color="auto" w:fill="auto"/>
            <w:vAlign w:val="center"/>
          </w:tcPr>
          <w:p w14:paraId="7C82D5A3">
            <w:pPr>
              <w:pStyle w:val="24"/>
              <w:spacing w:line="340" w:lineRule="exact"/>
              <w:ind w:firstLine="200" w:firstLineChars="0"/>
              <w:rPr>
                <w:rFonts w:cs="Times New Roman" w:asciiTheme="minorEastAsia" w:hAnsiTheme="minorEastAsia"/>
                <w:color w:val="000000" w:themeColor="text1"/>
                <w:szCs w:val="20"/>
                <w14:textFill>
                  <w14:solidFill>
                    <w14:schemeClr w14:val="tx1"/>
                  </w14:solidFill>
                </w14:textFill>
              </w:rPr>
            </w:pPr>
            <w:r>
              <w:rPr>
                <w:rFonts w:hint="eastAsia" w:cs="Times New Roman" w:asciiTheme="minorEastAsia" w:hAnsiTheme="minorEastAsia"/>
                <w:color w:val="000000" w:themeColor="text1"/>
                <w:szCs w:val="20"/>
                <w14:textFill>
                  <w14:solidFill>
                    <w14:schemeClr w14:val="tx1"/>
                  </w14:solidFill>
                </w14:textFill>
              </w:rPr>
              <w:t>无</w:t>
            </w:r>
          </w:p>
        </w:tc>
      </w:tr>
      <w:tr w14:paraId="4CA5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25" w:type="dxa"/>
            <w:shd w:val="clear" w:color="auto" w:fill="auto"/>
            <w:vAlign w:val="center"/>
          </w:tcPr>
          <w:p w14:paraId="1A437755">
            <w:pPr>
              <w:jc w:val="center"/>
              <w:rPr>
                <w:rFonts w:asciiTheme="minorEastAsia" w:hAnsiTheme="minorEastAsia"/>
                <w:b/>
                <w:sz w:val="24"/>
                <w:szCs w:val="24"/>
              </w:rPr>
            </w:pPr>
            <w:r>
              <w:rPr>
                <w:rFonts w:hint="eastAsia" w:asciiTheme="minorEastAsia" w:hAnsiTheme="minorEastAsia"/>
                <w:b/>
                <w:sz w:val="24"/>
                <w:szCs w:val="24"/>
              </w:rPr>
              <w:t>日期</w:t>
            </w:r>
          </w:p>
        </w:tc>
        <w:tc>
          <w:tcPr>
            <w:tcW w:w="6614" w:type="dxa"/>
            <w:shd w:val="clear" w:color="auto" w:fill="auto"/>
            <w:vAlign w:val="center"/>
          </w:tcPr>
          <w:p w14:paraId="09BEC50D">
            <w:pPr>
              <w:rPr>
                <w:rFonts w:asciiTheme="minorEastAsia" w:hAnsiTheme="minorEastAsia"/>
                <w:b/>
                <w:sz w:val="24"/>
                <w:szCs w:val="21"/>
              </w:rPr>
            </w:pPr>
            <w:r>
              <w:rPr>
                <w:rFonts w:hint="eastAsia" w:asciiTheme="minorEastAsia" w:hAnsiTheme="minorEastAsia"/>
                <w:b/>
                <w:sz w:val="24"/>
                <w:szCs w:val="21"/>
              </w:rPr>
              <w:t>2</w:t>
            </w:r>
            <w:r>
              <w:rPr>
                <w:rFonts w:asciiTheme="minorEastAsia" w:hAnsiTheme="minorEastAsia"/>
                <w:b/>
                <w:sz w:val="24"/>
                <w:szCs w:val="21"/>
              </w:rPr>
              <w:t>02</w:t>
            </w:r>
            <w:r>
              <w:rPr>
                <w:rFonts w:hint="eastAsia" w:asciiTheme="minorEastAsia" w:hAnsiTheme="minorEastAsia"/>
                <w:b/>
                <w:sz w:val="24"/>
                <w:szCs w:val="21"/>
              </w:rPr>
              <w:t>5年9月5日</w:t>
            </w:r>
          </w:p>
        </w:tc>
      </w:tr>
    </w:tbl>
    <w:p w14:paraId="46E82672">
      <w:pPr>
        <w:ind w:firstLine="480" w:firstLineChars="200"/>
        <w:rPr>
          <w:rFonts w:asciiTheme="minorEastAsia" w:hAnsiTheme="minorEastAsia" w:eastAsiaTheme="minorEastAsia"/>
          <w:sz w:val="24"/>
          <w:szCs w:val="24"/>
        </w:rPr>
      </w:pPr>
    </w:p>
    <w:sectPr>
      <w:headerReference r:id="rId3" w:type="default"/>
      <w:footerReference r:id="rId4" w:type="default"/>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9539715"/>
    </w:sdtPr>
    <w:sdtContent>
      <w:p w14:paraId="2BBE3CF2">
        <w:pPr>
          <w:pStyle w:val="7"/>
          <w:jc w:val="cente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w:t>
        </w:r>
        <w:r>
          <w:rPr>
            <w:rFonts w:asciiTheme="minorEastAsia" w:hAnsiTheme="minorEastAsia" w:eastAsiaTheme="minorEastAsia"/>
            <w:sz w:val="21"/>
            <w:szCs w:val="21"/>
          </w:rPr>
          <w:t xml:space="preserve"> 1 -</w:t>
        </w:r>
        <w:r>
          <w:rPr>
            <w:rFonts w:asciiTheme="minorEastAsia" w:hAnsiTheme="minorEastAsia" w:eastAsiaTheme="minorEastAsia"/>
            <w:sz w:val="21"/>
            <w:szCs w:val="21"/>
          </w:rPr>
          <w:fldChar w:fldCharType="end"/>
        </w:r>
      </w:p>
    </w:sdtContent>
  </w:sdt>
  <w:p w14:paraId="566CCDDA">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28B9D">
    <w:pPr>
      <w:spacing w:before="120" w:beforeLines="50" w:after="120" w:afterLines="50" w:line="400" w:lineRule="exact"/>
      <w:jc w:val="left"/>
      <w:rPr>
        <w:rFonts w:asciiTheme="minorEastAsia" w:hAnsiTheme="minorEastAsia" w:eastAsiaTheme="minorEastAsia"/>
        <w:bCs/>
        <w:iCs/>
        <w:sz w:val="24"/>
      </w:rPr>
    </w:pPr>
    <w:r>
      <w:rPr>
        <w:rFonts w:hint="eastAsia" w:asciiTheme="minorEastAsia" w:hAnsiTheme="minorEastAsia" w:eastAsiaTheme="minorEastAsia"/>
        <w:bCs/>
        <w:iCs/>
        <w:sz w:val="24"/>
      </w:rPr>
      <w:t>证券代码：601399                                   证券简称：国机重装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NmRlNTBmY2U2MDQzNTUwY2ZmNWQwOGVmZWVkNmUifQ=="/>
  </w:docVars>
  <w:rsids>
    <w:rsidRoot w:val="00D0027B"/>
    <w:rsid w:val="0004356F"/>
    <w:rsid w:val="00045DC9"/>
    <w:rsid w:val="00055062"/>
    <w:rsid w:val="000861EA"/>
    <w:rsid w:val="000D0BCE"/>
    <w:rsid w:val="00116051"/>
    <w:rsid w:val="00173F52"/>
    <w:rsid w:val="001A1C95"/>
    <w:rsid w:val="001E6514"/>
    <w:rsid w:val="00220552"/>
    <w:rsid w:val="00231B20"/>
    <w:rsid w:val="002569A8"/>
    <w:rsid w:val="00264AC8"/>
    <w:rsid w:val="00282DD5"/>
    <w:rsid w:val="00294F0B"/>
    <w:rsid w:val="002F71A0"/>
    <w:rsid w:val="00303330"/>
    <w:rsid w:val="003034E6"/>
    <w:rsid w:val="00345648"/>
    <w:rsid w:val="003511E8"/>
    <w:rsid w:val="0037747A"/>
    <w:rsid w:val="00380FA4"/>
    <w:rsid w:val="003E3B3A"/>
    <w:rsid w:val="00406449"/>
    <w:rsid w:val="00416CBC"/>
    <w:rsid w:val="00424884"/>
    <w:rsid w:val="004631D5"/>
    <w:rsid w:val="00480ED6"/>
    <w:rsid w:val="004F1AAE"/>
    <w:rsid w:val="004F41E7"/>
    <w:rsid w:val="0051263E"/>
    <w:rsid w:val="0051719A"/>
    <w:rsid w:val="00521924"/>
    <w:rsid w:val="005A5BAF"/>
    <w:rsid w:val="005E21BF"/>
    <w:rsid w:val="005E7039"/>
    <w:rsid w:val="00632EEC"/>
    <w:rsid w:val="006374F9"/>
    <w:rsid w:val="00676CED"/>
    <w:rsid w:val="006B3C5E"/>
    <w:rsid w:val="006C4CBB"/>
    <w:rsid w:val="006C55BF"/>
    <w:rsid w:val="0070537C"/>
    <w:rsid w:val="007061D3"/>
    <w:rsid w:val="00733FB6"/>
    <w:rsid w:val="007934A7"/>
    <w:rsid w:val="007A7326"/>
    <w:rsid w:val="007C608A"/>
    <w:rsid w:val="007D3C0F"/>
    <w:rsid w:val="00804856"/>
    <w:rsid w:val="0086391A"/>
    <w:rsid w:val="00864EF0"/>
    <w:rsid w:val="00895DA7"/>
    <w:rsid w:val="008E5C3B"/>
    <w:rsid w:val="008F0A8B"/>
    <w:rsid w:val="00914530"/>
    <w:rsid w:val="00926FAD"/>
    <w:rsid w:val="00951B61"/>
    <w:rsid w:val="009624F8"/>
    <w:rsid w:val="009B609B"/>
    <w:rsid w:val="009E17C1"/>
    <w:rsid w:val="00A24651"/>
    <w:rsid w:val="00A334CD"/>
    <w:rsid w:val="00A41AD5"/>
    <w:rsid w:val="00A471DA"/>
    <w:rsid w:val="00A95CFC"/>
    <w:rsid w:val="00AB39B5"/>
    <w:rsid w:val="00AC14A5"/>
    <w:rsid w:val="00AC4CE6"/>
    <w:rsid w:val="00AD3B86"/>
    <w:rsid w:val="00AE1360"/>
    <w:rsid w:val="00AE59A0"/>
    <w:rsid w:val="00AF402E"/>
    <w:rsid w:val="00AF678F"/>
    <w:rsid w:val="00B119B5"/>
    <w:rsid w:val="00B443ED"/>
    <w:rsid w:val="00B93079"/>
    <w:rsid w:val="00B931E8"/>
    <w:rsid w:val="00BB3D7B"/>
    <w:rsid w:val="00BE1D06"/>
    <w:rsid w:val="00C0557D"/>
    <w:rsid w:val="00C12C0A"/>
    <w:rsid w:val="00C14190"/>
    <w:rsid w:val="00C247E6"/>
    <w:rsid w:val="00C30AE5"/>
    <w:rsid w:val="00CC7331"/>
    <w:rsid w:val="00CD32B3"/>
    <w:rsid w:val="00CE4FC9"/>
    <w:rsid w:val="00D0027B"/>
    <w:rsid w:val="00D05850"/>
    <w:rsid w:val="00D067AF"/>
    <w:rsid w:val="00D1126D"/>
    <w:rsid w:val="00D354D4"/>
    <w:rsid w:val="00D67852"/>
    <w:rsid w:val="00D71010"/>
    <w:rsid w:val="00DE6978"/>
    <w:rsid w:val="00DF03F3"/>
    <w:rsid w:val="00E1107F"/>
    <w:rsid w:val="00E43ECD"/>
    <w:rsid w:val="00E45885"/>
    <w:rsid w:val="00E52CFC"/>
    <w:rsid w:val="00ED50A7"/>
    <w:rsid w:val="00F77931"/>
    <w:rsid w:val="00F90161"/>
    <w:rsid w:val="00FE0F13"/>
    <w:rsid w:val="00FF3991"/>
    <w:rsid w:val="03525F75"/>
    <w:rsid w:val="09D753ED"/>
    <w:rsid w:val="0F931932"/>
    <w:rsid w:val="14B82C55"/>
    <w:rsid w:val="178339E8"/>
    <w:rsid w:val="1BB235FD"/>
    <w:rsid w:val="227D7AA0"/>
    <w:rsid w:val="29971577"/>
    <w:rsid w:val="2DF45098"/>
    <w:rsid w:val="367F090C"/>
    <w:rsid w:val="37C72FD3"/>
    <w:rsid w:val="3E886892"/>
    <w:rsid w:val="4A0B51AB"/>
    <w:rsid w:val="4B017CA9"/>
    <w:rsid w:val="50152FAF"/>
    <w:rsid w:val="50647D7E"/>
    <w:rsid w:val="5CA83399"/>
    <w:rsid w:val="5D8F7BE2"/>
    <w:rsid w:val="5F1579E4"/>
    <w:rsid w:val="6D3A2C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rPr>
  </w:style>
  <w:style w:type="paragraph" w:styleId="6">
    <w:name w:val="Balloon Text"/>
    <w:basedOn w:val="1"/>
    <w:link w:val="20"/>
    <w:semiHidden/>
    <w:unhideWhenUsed/>
    <w:qFormat/>
    <w:uiPriority w:val="99"/>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rPr>
      <w:sz w:val="28"/>
    </w:rPr>
  </w:style>
  <w:style w:type="paragraph" w:styleId="10">
    <w:name w:val="toc 2"/>
    <w:basedOn w:val="1"/>
    <w:next w:val="1"/>
    <w:unhideWhenUsed/>
    <w:qFormat/>
    <w:uiPriority w:val="39"/>
    <w:pPr>
      <w:ind w:left="420" w:leftChars="200"/>
    </w:pPr>
    <w:rPr>
      <w:sz w:val="28"/>
    </w:rPr>
  </w:style>
  <w:style w:type="paragraph" w:styleId="11">
    <w:name w:val="Normal (Web)"/>
    <w:basedOn w:val="1"/>
    <w:qFormat/>
    <w:uiPriority w:val="0"/>
    <w:pPr>
      <w:widowControl/>
      <w:spacing w:before="100" w:beforeAutospacing="1" w:after="100" w:afterAutospacing="1" w:line="360" w:lineRule="auto"/>
      <w:jc w:val="left"/>
    </w:pPr>
    <w:rPr>
      <w:rFonts w:ascii="Arial Unicode MS" w:hAnsi="Arial Unicode MS" w:eastAsia="Arial Unicode MS" w:cs="Arial Unicode MS"/>
      <w:kern w:val="0"/>
      <w:sz w:val="18"/>
      <w:szCs w:val="18"/>
    </w:r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标题 1 字符"/>
    <w:basedOn w:val="13"/>
    <w:link w:val="2"/>
    <w:qFormat/>
    <w:uiPriority w:val="99"/>
    <w:rPr>
      <w:rFonts w:ascii="Times New Roman" w:hAnsi="Times New Roman" w:eastAsia="宋体" w:cs="Times New Roman"/>
      <w:b/>
      <w:bCs/>
      <w:kern w:val="44"/>
      <w:sz w:val="44"/>
      <w:szCs w:val="44"/>
    </w:rPr>
  </w:style>
  <w:style w:type="character" w:customStyle="1" w:styleId="16">
    <w:name w:val="标题 2 字符"/>
    <w:basedOn w:val="13"/>
    <w:link w:val="3"/>
    <w:qFormat/>
    <w:uiPriority w:val="9"/>
    <w:rPr>
      <w:rFonts w:asciiTheme="majorHAnsi" w:hAnsiTheme="majorHAnsi" w:eastAsiaTheme="majorEastAsia" w:cstheme="majorBidi"/>
      <w:b/>
      <w:bCs/>
      <w:sz w:val="32"/>
      <w:szCs w:val="32"/>
    </w:rPr>
  </w:style>
  <w:style w:type="character" w:customStyle="1" w:styleId="17">
    <w:name w:val="标题 3 字符"/>
    <w:basedOn w:val="13"/>
    <w:link w:val="4"/>
    <w:qFormat/>
    <w:uiPriority w:val="9"/>
    <w:rPr>
      <w:rFonts w:ascii="Times New Roman" w:hAnsi="Times New Roman" w:eastAsia="宋体" w:cs="Times New Roman"/>
      <w:b/>
      <w:bCs/>
      <w:sz w:val="32"/>
      <w:szCs w:val="32"/>
    </w:rPr>
  </w:style>
  <w:style w:type="paragraph" w:styleId="18">
    <w:name w:val="No Spacing"/>
    <w:link w:val="19"/>
    <w:qFormat/>
    <w:uiPriority w:val="1"/>
    <w:rPr>
      <w:rFonts w:asciiTheme="minorHAnsi" w:hAnsiTheme="minorHAnsi" w:eastAsiaTheme="minorEastAsia" w:cstheme="minorBidi"/>
      <w:sz w:val="22"/>
      <w:szCs w:val="22"/>
      <w:lang w:val="en-US" w:eastAsia="zh-CN" w:bidi="ar-SA"/>
    </w:rPr>
  </w:style>
  <w:style w:type="character" w:customStyle="1" w:styleId="19">
    <w:name w:val="无间隔 字符"/>
    <w:basedOn w:val="13"/>
    <w:link w:val="18"/>
    <w:uiPriority w:val="1"/>
    <w:rPr>
      <w:kern w:val="0"/>
      <w:sz w:val="22"/>
    </w:rPr>
  </w:style>
  <w:style w:type="character" w:customStyle="1" w:styleId="20">
    <w:name w:val="批注框文本 字符"/>
    <w:basedOn w:val="13"/>
    <w:link w:val="6"/>
    <w:semiHidden/>
    <w:qFormat/>
    <w:uiPriority w:val="99"/>
    <w:rPr>
      <w:rFonts w:ascii="Times New Roman" w:hAnsi="Times New Roman" w:eastAsia="宋体" w:cs="Times New Roman"/>
      <w:sz w:val="18"/>
      <w:szCs w:val="18"/>
    </w:rPr>
  </w:style>
  <w:style w:type="paragraph" w:customStyle="1" w:styleId="2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2">
    <w:name w:val="页眉 字符"/>
    <w:basedOn w:val="13"/>
    <w:link w:val="8"/>
    <w:qFormat/>
    <w:uiPriority w:val="99"/>
    <w:rPr>
      <w:rFonts w:ascii="Times New Roman" w:hAnsi="Times New Roman" w:eastAsia="宋体" w:cs="Times New Roman"/>
      <w:sz w:val="18"/>
      <w:szCs w:val="18"/>
    </w:rPr>
  </w:style>
  <w:style w:type="character" w:customStyle="1" w:styleId="23">
    <w:name w:val="页脚 字符"/>
    <w:basedOn w:val="13"/>
    <w:link w:val="7"/>
    <w:qFormat/>
    <w:uiPriority w:val="99"/>
    <w:rPr>
      <w:rFonts w:ascii="Times New Roman" w:hAnsi="Times New Roman" w:eastAsia="宋体" w:cs="Times New Roman"/>
      <w:sz w:val="18"/>
      <w:szCs w:val="18"/>
    </w:rPr>
  </w:style>
  <w:style w:type="paragraph" w:styleId="24">
    <w:name w:val="List Paragraph"/>
    <w:basedOn w:val="1"/>
    <w:qFormat/>
    <w:uiPriority w:val="99"/>
    <w:pPr>
      <w:ind w:firstLine="420" w:firstLineChars="200"/>
    </w:pPr>
    <w:rPr>
      <w:rFonts w:asciiTheme="minorHAnsi" w:hAnsiTheme="minorHAnsi" w:eastAsiaTheme="minorEastAsia" w:cstheme="minorBidi"/>
      <w:szCs w:val="22"/>
    </w:rPr>
  </w:style>
  <w:style w:type="paragraph" w:customStyle="1" w:styleId="25">
    <w:name w:val="@0正文"/>
    <w:basedOn w:val="1"/>
    <w:link w:val="26"/>
    <w:qFormat/>
    <w:uiPriority w:val="0"/>
    <w:pPr>
      <w:ind w:firstLine="600" w:firstLineChars="200"/>
    </w:pPr>
    <w:rPr>
      <w:rFonts w:ascii="仿宋_GB2312" w:hAnsi="仿宋" w:eastAsia="仿宋_GB2312" w:cstheme="minorBidi"/>
      <w:sz w:val="32"/>
      <w:szCs w:val="30"/>
    </w:rPr>
  </w:style>
  <w:style w:type="character" w:customStyle="1" w:styleId="26">
    <w:name w:val="@0正文 字符"/>
    <w:link w:val="25"/>
    <w:qFormat/>
    <w:uiPriority w:val="0"/>
    <w:rPr>
      <w:rFonts w:ascii="仿宋_GB2312" w:hAnsi="仿宋" w:eastAsia="仿宋_GB2312"/>
      <w:kern w:val="2"/>
      <w:sz w:val="32"/>
      <w:szCs w:val="30"/>
    </w:rPr>
  </w:style>
  <w:style w:type="paragraph" w:customStyle="1" w:styleId="27">
    <w:name w:val="修订1"/>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D437-1939-4910-B555-D33B2D317431}">
  <ds:schemaRefs/>
</ds:datastoreItem>
</file>

<file path=docProps/app.xml><?xml version="1.0" encoding="utf-8"?>
<Properties xmlns="http://schemas.openxmlformats.org/officeDocument/2006/extended-properties" xmlns:vt="http://schemas.openxmlformats.org/officeDocument/2006/docPropsVTypes">
  <Template>Normal</Template>
  <Pages>3</Pages>
  <Words>2143</Words>
  <Characters>2326</Characters>
  <Lines>17</Lines>
  <Paragraphs>4</Paragraphs>
  <TotalTime>6</TotalTime>
  <ScaleCrop>false</ScaleCrop>
  <LinksUpToDate>false</LinksUpToDate>
  <CharactersWithSpaces>2419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2025-08-28T03:49:00Z</dcterms:created>
  <dc:creator>王忻[xinwang]</dc:creator>
  <cp:lastModifiedBy>孙燕飞</cp:lastModifiedBy>
  <dcterms:modified xsi:type="dcterms:W3CDTF">2025-09-07T02:16:58Z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6EFA2903DAFD4DD28FEE4B5D0A51FA86_13</vt:lpwstr>
  </property>
  <property fmtid="{D5CDD505-2E9C-101B-9397-08002B2CF9AE}" pid="4" name="KSOTemplateDocerSaveRecord">
    <vt:lpwstr>eyJoZGlkIjoiYjhmYmRhYTIzNjU5OWVmNDcyZTllMWFiODE3MWQxYjEiLCJ1c2VySWQiOiIxNDU2MjM0NjczIn0=</vt:lpwstr>
  </property>
</Properties>
</file>