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84414" w14:textId="77777777" w:rsidR="00DF0553" w:rsidRDefault="00DF0553" w:rsidP="00DF0553">
      <w:pPr>
        <w:spacing w:line="360" w:lineRule="auto"/>
        <w:jc w:val="center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证券代码：601187                                  证券简称：厦门银行</w:t>
      </w:r>
    </w:p>
    <w:p w14:paraId="08289FC4" w14:textId="77777777" w:rsidR="00DF0553" w:rsidRDefault="00DF0553" w:rsidP="00DF055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厦门银行股份有限公司</w:t>
      </w:r>
    </w:p>
    <w:p w14:paraId="1985D648" w14:textId="77777777" w:rsidR="00DF0553" w:rsidRDefault="00DF0553" w:rsidP="00DF0553">
      <w:pPr>
        <w:spacing w:line="360" w:lineRule="auto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</w:t>
      </w:r>
      <w:bookmarkStart w:id="0" w:name="OLE_LINK1"/>
      <w:bookmarkStart w:id="1" w:name="OLE_LINK2"/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活动记录表</w:t>
      </w:r>
      <w:bookmarkEnd w:id="0"/>
      <w:bookmarkEnd w:id="1"/>
    </w:p>
    <w:p w14:paraId="3E7A44D9" w14:textId="0A3A6EAD" w:rsidR="00DF0553" w:rsidRDefault="00DF0553" w:rsidP="00DF0553">
      <w:pPr>
        <w:spacing w:line="400" w:lineRule="exact"/>
        <w:jc w:val="right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编号：202</w:t>
      </w:r>
      <w:r>
        <w:rPr>
          <w:rFonts w:ascii="宋体" w:eastAsia="宋体" w:hAnsi="宋体"/>
          <w:bCs/>
          <w:iCs/>
          <w:color w:val="000000"/>
          <w:sz w:val="24"/>
        </w:rPr>
        <w:t>5</w:t>
      </w:r>
      <w:r>
        <w:rPr>
          <w:rFonts w:ascii="宋体" w:eastAsia="宋体" w:hAnsi="宋体" w:hint="eastAsia"/>
          <w:bCs/>
          <w:iCs/>
          <w:color w:val="000000"/>
          <w:sz w:val="24"/>
        </w:rPr>
        <w:t>-</w:t>
      </w:r>
      <w:r>
        <w:rPr>
          <w:rFonts w:ascii="宋体" w:eastAsia="宋体" w:hAnsi="宋体"/>
          <w:bCs/>
          <w:iCs/>
          <w:color w:val="000000"/>
          <w:sz w:val="24"/>
        </w:rPr>
        <w:t>0</w:t>
      </w:r>
      <w:r w:rsidR="00DF4DE9">
        <w:rPr>
          <w:rFonts w:ascii="宋体" w:eastAsia="宋体" w:hAnsi="宋体"/>
          <w:bCs/>
          <w:iCs/>
          <w:color w:val="000000"/>
          <w:sz w:val="24"/>
        </w:rPr>
        <w:t>9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       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40"/>
      </w:tblGrid>
      <w:tr w:rsidR="00DF0553" w14:paraId="4C58CE23" w14:textId="77777777" w:rsidTr="00627290">
        <w:trPr>
          <w:trHeight w:val="1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179D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4586D99F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EB4" w14:textId="62B82FD6" w:rsidR="00DF0553" w:rsidRDefault="00D809C2" w:rsidP="0062729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DF0553">
              <w:rPr>
                <w:rFonts w:ascii="宋体" w:eastAsia="宋体" w:hAnsi="宋体" w:cs="宋体" w:hint="eastAsia"/>
                <w:sz w:val="24"/>
              </w:rPr>
              <w:t xml:space="preserve">特定对象调研      </w:t>
            </w:r>
            <w:r w:rsidR="00DF055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DF0553">
              <w:rPr>
                <w:rFonts w:ascii="宋体" w:eastAsia="宋体" w:hAnsi="宋体" w:cs="宋体" w:hint="eastAsia"/>
                <w:sz w:val="24"/>
              </w:rPr>
              <w:t>分析师会议</w:t>
            </w:r>
            <w:r w:rsidR="00DF055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□</w:t>
            </w:r>
            <w:r w:rsidR="00DF0553"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74A4A657" w14:textId="3D75264C" w:rsidR="00DF0553" w:rsidRDefault="00D809C2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 w:rsidR="00DF0553">
              <w:rPr>
                <w:rFonts w:ascii="宋体" w:eastAsia="宋体" w:hAnsi="宋体" w:cs="宋体" w:hint="eastAsia"/>
                <w:sz w:val="24"/>
              </w:rPr>
              <w:t>业绩说明会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 xml:space="preserve"> </w:t>
            </w:r>
            <w:r w:rsidR="00DF055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DF0553">
              <w:rPr>
                <w:rFonts w:ascii="宋体" w:eastAsia="宋体" w:hAnsi="宋体" w:cs="宋体" w:hint="eastAsia"/>
                <w:sz w:val="24"/>
              </w:rPr>
              <w:t xml:space="preserve">新闻发布会        </w:t>
            </w:r>
            <w:r w:rsidR="00DF055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 w:rsidR="00DF0553"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6B8E4779" w14:textId="237352EB" w:rsidR="00DF0553" w:rsidRDefault="00DF0553" w:rsidP="0062729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现场参观</w:t>
            </w:r>
            <w:r w:rsidR="00D809C2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其他 </w:t>
            </w:r>
          </w:p>
        </w:tc>
      </w:tr>
      <w:tr w:rsidR="00DF0553" w14:paraId="4AD99B59" w14:textId="77777777" w:rsidTr="00627290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0530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A833" w14:textId="0FE29BC9" w:rsidR="00DF0553" w:rsidRDefault="00D809C2" w:rsidP="00D809C2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投资者网上提问</w:t>
            </w:r>
          </w:p>
        </w:tc>
      </w:tr>
      <w:tr w:rsidR="00DF0553" w14:paraId="00580437" w14:textId="77777777" w:rsidTr="00627290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19D" w14:textId="77777777" w:rsidR="00DF0553" w:rsidRDefault="00DF0553" w:rsidP="00627290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10" w14:textId="65EA343A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</w:t>
            </w:r>
            <w:r w:rsidR="00D809C2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D809C2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日（星期</w:t>
            </w:r>
            <w:r w:rsidR="00D809C2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四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）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</w:t>
            </w:r>
            <w:r w:rsidR="00D809C2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D809C2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0–1</w:t>
            </w:r>
            <w:r w:rsidR="00D809C2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D809C2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DF0553" w14:paraId="0DC5C110" w14:textId="77777777" w:rsidTr="00AB5EC1">
        <w:trPr>
          <w:trHeight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62C2" w14:textId="77777777" w:rsidR="00DF0553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8FD5" w14:textId="6F4A17D8" w:rsidR="00DF0553" w:rsidRPr="00AB5EC1" w:rsidRDefault="00AB5EC1" w:rsidP="00AB5EC1">
            <w:pPr>
              <w:rPr>
                <w:rFonts w:ascii="宋体" w:hAnsi="宋体"/>
                <w:bCs/>
                <w:sz w:val="24"/>
              </w:rPr>
            </w:pPr>
            <w:r w:rsidRPr="00AB5EC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上证路演中心 </w:t>
            </w:r>
            <w:hyperlink r:id="rId7" w:history="1">
              <w:r>
                <w:rPr>
                  <w:rStyle w:val="ab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</w:tc>
      </w:tr>
      <w:tr w:rsidR="00DF0553" w14:paraId="0E4A8CB3" w14:textId="77777777" w:rsidTr="00627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3EC1" w14:textId="77777777" w:rsidR="00DF0553" w:rsidRPr="00AB5EC1" w:rsidRDefault="00DF0553" w:rsidP="0062729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AB5EC1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7F0" w14:textId="60E2B42C" w:rsidR="00DF0553" w:rsidRDefault="00AB5EC1" w:rsidP="00AF5FBE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AB5EC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公司行长吴昕颢先生、独立董事谢德仁先生、副行长兼董事会秘书谢彤华先生、</w:t>
            </w:r>
            <w:bookmarkStart w:id="2" w:name="OLE_LINK3"/>
            <w:bookmarkStart w:id="3" w:name="OLE_LINK4"/>
            <w:r w:rsidRPr="00AB5EC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计划财务部负责人</w:t>
            </w:r>
            <w:bookmarkEnd w:id="2"/>
            <w:bookmarkEnd w:id="3"/>
            <w:r w:rsidRPr="00AB5EC1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宋建腾先生</w:t>
            </w:r>
          </w:p>
        </w:tc>
      </w:tr>
      <w:tr w:rsidR="00DF0553" w:rsidRPr="00135452" w14:paraId="6A2BA1DC" w14:textId="77777777" w:rsidTr="0062729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1E7" w14:textId="77777777" w:rsidR="00DF0553" w:rsidRDefault="00DF0553" w:rsidP="0062729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DE85" w14:textId="5889EEE9" w:rsidR="00CC5C34" w:rsidRDefault="00DF0553" w:rsidP="00AE14A4">
            <w:pPr>
              <w:spacing w:line="360" w:lineRule="auto"/>
              <w:ind w:firstLineChars="200" w:firstLine="482"/>
              <w:rPr>
                <w:rFonts w:ascii="宋体" w:eastAsia="宋体"/>
                <w:b/>
                <w:sz w:val="24"/>
                <w:szCs w:val="22"/>
              </w:rPr>
            </w:pPr>
            <w:r w:rsidRPr="00F855FE">
              <w:rPr>
                <w:rFonts w:ascii="宋体" w:eastAsia="宋体"/>
                <w:b/>
                <w:sz w:val="24"/>
                <w:szCs w:val="22"/>
              </w:rPr>
              <w:t>一、</w:t>
            </w:r>
            <w:r w:rsidR="00F855FE" w:rsidRPr="00F855FE">
              <w:rPr>
                <w:rFonts w:ascii="宋体" w:eastAsia="宋体"/>
                <w:b/>
                <w:sz w:val="24"/>
                <w:szCs w:val="22"/>
              </w:rPr>
              <w:t>麻烦请问公司未来的分红计划和派息政策？</w:t>
            </w:r>
          </w:p>
          <w:p w14:paraId="14773177" w14:textId="3BB16571" w:rsidR="00F855FE" w:rsidRPr="00F855FE" w:rsidRDefault="00F855FE" w:rsidP="00AE14A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F855FE">
              <w:rPr>
                <w:rFonts w:ascii="宋体" w:eastAsia="宋体" w:hAnsi="宋体" w:cs="宋体"/>
                <w:sz w:val="24"/>
              </w:rPr>
              <w:t>您好，感谢您的关注。本行高度重视投资者回报，自上市以来一直坚持稳定、持续的分红政策，2024年首次实施中期分红，现金分红率达32.62%，创上市以来新高，2024年度全年现金分红率比例达31.53%，已连续四年超过30%，</w:t>
            </w:r>
            <w:r w:rsidRPr="003F5909">
              <w:rPr>
                <w:rFonts w:ascii="宋体" w:eastAsia="宋体" w:hAnsi="宋体" w:cs="宋体"/>
                <w:sz w:val="24"/>
              </w:rPr>
              <w:t>不断增强投资者获得感和回报感，努力提升投资者综合投资回报。</w:t>
            </w:r>
            <w:r w:rsidRPr="00F855FE">
              <w:rPr>
                <w:rFonts w:ascii="宋体" w:eastAsia="宋体" w:hAnsi="宋体" w:cs="宋体"/>
                <w:sz w:val="24"/>
              </w:rPr>
              <w:t>目前，本行</w:t>
            </w:r>
            <w:bookmarkStart w:id="4" w:name="_GoBack"/>
            <w:bookmarkEnd w:id="4"/>
            <w:r w:rsidRPr="00F855FE">
              <w:rPr>
                <w:rFonts w:ascii="宋体" w:eastAsia="宋体" w:hAnsi="宋体" w:cs="宋体"/>
                <w:sz w:val="24"/>
              </w:rPr>
              <w:t>股东大会已授权董事会决定2025年中期分红方案。</w:t>
            </w:r>
          </w:p>
          <w:p w14:paraId="4FD6175B" w14:textId="77777777" w:rsidR="00F855FE" w:rsidRPr="00F855FE" w:rsidRDefault="00CC5C34" w:rsidP="00AE14A4">
            <w:pPr>
              <w:spacing w:line="360" w:lineRule="auto"/>
              <w:ind w:firstLineChars="200" w:firstLine="482"/>
              <w:rPr>
                <w:rFonts w:ascii="宋体" w:eastAsia="宋体"/>
                <w:b/>
                <w:sz w:val="24"/>
                <w:szCs w:val="22"/>
              </w:rPr>
            </w:pPr>
            <w:r w:rsidRPr="00F855FE">
              <w:rPr>
                <w:rFonts w:ascii="宋体" w:eastAsia="宋体"/>
                <w:b/>
                <w:sz w:val="24"/>
                <w:szCs w:val="22"/>
              </w:rPr>
              <w:t>二、</w:t>
            </w:r>
            <w:r w:rsidR="00F855FE" w:rsidRPr="00F855FE">
              <w:rPr>
                <w:rFonts w:ascii="宋体" w:eastAsia="宋体"/>
                <w:b/>
                <w:sz w:val="24"/>
                <w:szCs w:val="22"/>
              </w:rPr>
              <w:t>请问贵行营收、归母净利润下滑的原因是什么？目前资产质量、风险抵补能力如何？</w:t>
            </w:r>
          </w:p>
          <w:p w14:paraId="692FED10" w14:textId="77777777" w:rsidR="00DF0553" w:rsidRDefault="00F855FE" w:rsidP="00AE14A4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F855FE">
              <w:rPr>
                <w:rFonts w:ascii="宋体" w:eastAsia="宋体" w:hAnsi="宋体" w:cs="宋体"/>
                <w:sz w:val="24"/>
              </w:rPr>
              <w:t>您好，感谢您的关注。2025</w:t>
            </w:r>
            <w:r>
              <w:rPr>
                <w:rFonts w:ascii="宋体" w:eastAsia="宋体" w:hAnsi="宋体" w:cs="宋体"/>
                <w:sz w:val="24"/>
              </w:rPr>
              <w:t>年上半年，本行</w:t>
            </w:r>
            <w:r w:rsidRPr="00F855FE">
              <w:rPr>
                <w:rFonts w:ascii="宋体" w:eastAsia="宋体" w:hAnsi="宋体" w:cs="宋体"/>
                <w:sz w:val="24"/>
              </w:rPr>
              <w:t>实现营业收入26.89亿元，同比下降7.02%</w:t>
            </w:r>
            <w:r>
              <w:rPr>
                <w:rFonts w:ascii="宋体" w:eastAsia="宋体" w:hAnsi="宋体" w:cs="宋体"/>
                <w:sz w:val="24"/>
              </w:rPr>
              <w:t>，本行</w:t>
            </w:r>
            <w:r w:rsidRPr="00F855FE">
              <w:rPr>
                <w:rFonts w:ascii="宋体" w:eastAsia="宋体" w:hAnsi="宋体" w:cs="宋体"/>
                <w:sz w:val="24"/>
              </w:rPr>
              <w:t>实现归属于母公司股东的净利润11.58亿元，同比下降4.59%，盈利下滑主要系受市场行情影响，债券利率多数震荡上行，债券类资产公允价值同比下降。但得益于二季度息差较一季度回升、中收稳定增长，上半年经营业绩同比情况较一季度有明显改善。 截至2025年6</w:t>
            </w:r>
            <w:r>
              <w:rPr>
                <w:rFonts w:ascii="宋体" w:eastAsia="宋体" w:hAnsi="宋体" w:cs="宋体"/>
                <w:sz w:val="24"/>
              </w:rPr>
              <w:t>月末，本行</w:t>
            </w:r>
            <w:r w:rsidRPr="00F855FE">
              <w:rPr>
                <w:rFonts w:ascii="宋体" w:eastAsia="宋体" w:hAnsi="宋体" w:cs="宋体"/>
                <w:sz w:val="24"/>
              </w:rPr>
              <w:t>不良贷款率0.83%，拨备覆盖率 321.67%，保持上市同行间良好水平。</w:t>
            </w:r>
          </w:p>
          <w:p w14:paraId="011FA09A" w14:textId="5D910FB9" w:rsidR="00F855FE" w:rsidRPr="00F855FE" w:rsidRDefault="00F855FE" w:rsidP="00AE14A4">
            <w:pPr>
              <w:spacing w:line="360" w:lineRule="auto"/>
              <w:ind w:firstLineChars="200" w:firstLine="482"/>
              <w:rPr>
                <w:rFonts w:ascii="宋体" w:eastAsia="宋体"/>
                <w:b/>
                <w:sz w:val="24"/>
                <w:szCs w:val="22"/>
              </w:rPr>
            </w:pPr>
            <w:r w:rsidRPr="00F855FE">
              <w:rPr>
                <w:rFonts w:ascii="宋体" w:eastAsia="宋体"/>
                <w:b/>
                <w:sz w:val="24"/>
                <w:szCs w:val="22"/>
              </w:rPr>
              <w:lastRenderedPageBreak/>
              <w:t>三、请问上半年在绿色金融方面，贵行有哪些具体实践，取得了哪些成果？</w:t>
            </w:r>
          </w:p>
          <w:p w14:paraId="3560D404" w14:textId="5EB26D67" w:rsidR="00F855FE" w:rsidRPr="00F855FE" w:rsidRDefault="00F855FE" w:rsidP="00AE14A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F855FE">
              <w:rPr>
                <w:rFonts w:ascii="宋体" w:eastAsia="宋体" w:hAnsi="宋体" w:cs="宋体"/>
                <w:sz w:val="24"/>
              </w:rPr>
              <w:t>您好，感谢您的关注。本行坚决做好绿色金融大文章，积极参与美丽中国建设，助力实现碳达峰、碳中和目标。截至2025年6月末，我行绿色信贷余额169.36亿元，较上年末增幅达29.58%。在成本优化方面，我行于今年4月成功发行30亿元绿色债券，用于支持绿色项目贷款，有效降低贷款项目的融资成本；上半年使用人民银行碳减排支持工具1.06亿元，支持福建省及重庆市的分布式光伏项目，政策红利持续释放。在产品创新方面，我行借势新能源电力交易市场化进程，深化绿色金融拳头产品“光伏贷”场景适配性，提高产品市场辨识度，截至2025年6月末，服务光伏项目总量较上年末实现37.3%的增长。在支持绿色项目方面，我行绿色信贷持续发力，重点投向绿色建筑、废旧资源再生利用、城乡环境基础设施等领域，助力低碳建筑普及、资源循环体系完善及城乡生态环境升级，为美丽中国建设筑牢绿色根基。</w:t>
            </w:r>
          </w:p>
          <w:p w14:paraId="5F8ADB94" w14:textId="13DEFA8F" w:rsidR="00F855FE" w:rsidRPr="00F855FE" w:rsidRDefault="00F855FE" w:rsidP="00AE14A4">
            <w:pPr>
              <w:spacing w:line="360" w:lineRule="auto"/>
              <w:ind w:firstLineChars="200" w:firstLine="482"/>
              <w:rPr>
                <w:rFonts w:ascii="宋体" w:eastAsia="宋体"/>
                <w:b/>
                <w:sz w:val="24"/>
                <w:szCs w:val="22"/>
              </w:rPr>
            </w:pPr>
            <w:r w:rsidRPr="00F855FE">
              <w:rPr>
                <w:rFonts w:ascii="宋体" w:eastAsia="宋体"/>
                <w:b/>
                <w:sz w:val="24"/>
                <w:szCs w:val="22"/>
              </w:rPr>
              <w:t>四、请问上半年贵行零售业务成效如何？</w:t>
            </w:r>
          </w:p>
          <w:p w14:paraId="6D16B566" w14:textId="390A3587" w:rsidR="00F855FE" w:rsidRPr="00F855FE" w:rsidRDefault="00F855FE" w:rsidP="00AE14A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F855FE">
              <w:rPr>
                <w:rFonts w:ascii="宋体" w:eastAsia="宋体" w:hAnsi="宋体" w:cs="宋体"/>
                <w:sz w:val="24"/>
              </w:rPr>
              <w:t>您好，感谢您的关注。今年以来，本行零售业务通过重点抓好四项工作，构建零售可持续发展核心能力。一是做大做强客群。通过公私联动抓代发和收单，推进对公授信户、基本户、普惠客户、台企的代发业务挖掘；通过场景获客、MGM以及定期、理财等钩子产品抓大财富客户；以快捷支付、代扣代缴嵌入客户生活场景，结合客户“备用金”需求，等抓结算客户。截至2025年6月末，本行零售客户277.19万户，较上年末增长7.25万户，超过去年同期增量；有效户达到17.75万户，较上年末增长1.85万户，增量接近上年全年，增幅11.66%；其中创富客户、私行客户的增量超过上年全年。二是坚持大财富理念。通过资产配置、交叉销售提升金融资产。截至2025年6月末，</w:t>
            </w:r>
            <w:r w:rsidR="00137151">
              <w:rPr>
                <w:rFonts w:ascii="宋体" w:eastAsia="宋体" w:hAnsi="宋体" w:cs="宋体"/>
                <w:sz w:val="24"/>
              </w:rPr>
              <w:t>本行</w:t>
            </w:r>
            <w:r w:rsidRPr="00F855FE">
              <w:rPr>
                <w:rFonts w:ascii="宋体" w:eastAsia="宋体" w:hAnsi="宋体" w:cs="宋体"/>
                <w:sz w:val="24"/>
              </w:rPr>
              <w:t>零售金融资产余额1,181.64亿元，较上年末增长91.53亿元，增幅8.40%。三是做强做大贷款。加强总分行能力建设，总行层面优化流程、提升数字化及风控模型能力等提高市场竞争力，强化</w:t>
            </w:r>
            <w:r w:rsidRPr="00F855FE">
              <w:rPr>
                <w:rFonts w:ascii="宋体" w:eastAsia="宋体" w:hAnsi="宋体" w:cs="宋体"/>
                <w:sz w:val="24"/>
              </w:rPr>
              <w:lastRenderedPageBreak/>
              <w:t>总行赋能一线能力，建立分行核心能力。持续开展客户信贷特征、行为特征等基础特征挖掘，不断优化风险管理策略，有效提升贷前风险识别和贷中风险预警的有效性，实行精细化清单管理，及时采取管控措施，加速高风险客户的化解、处置。四是推动数字化建设。要树立数字化引领业务发展的理念，对内重点强化业务分析为业务发展提供决策建议、提升内部流程效率等能力，对客强化营销触达能力以及数字化模型驱动能力等。</w:t>
            </w:r>
          </w:p>
          <w:p w14:paraId="4E8FE7D6" w14:textId="7670BE05" w:rsidR="00F855FE" w:rsidRPr="00F855FE" w:rsidRDefault="00F855FE" w:rsidP="00AE14A4">
            <w:pPr>
              <w:spacing w:line="360" w:lineRule="auto"/>
              <w:ind w:firstLineChars="200" w:firstLine="482"/>
              <w:rPr>
                <w:rFonts w:ascii="宋体" w:eastAsia="宋体"/>
                <w:b/>
                <w:sz w:val="24"/>
                <w:szCs w:val="22"/>
              </w:rPr>
            </w:pPr>
            <w:r w:rsidRPr="00F855FE">
              <w:rPr>
                <w:rFonts w:ascii="宋体" w:eastAsia="宋体"/>
                <w:b/>
                <w:sz w:val="24"/>
                <w:szCs w:val="22"/>
              </w:rPr>
              <w:t xml:space="preserve">五、请问贵公司未来盈利增长的主要驱动因素有哪些？ </w:t>
            </w:r>
          </w:p>
          <w:p w14:paraId="01BDCECB" w14:textId="627D7A9F" w:rsidR="00F855FE" w:rsidRPr="00F855FE" w:rsidRDefault="00F855FE" w:rsidP="00AE14A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F855FE">
              <w:rPr>
                <w:rFonts w:ascii="宋体" w:eastAsia="宋体" w:hAnsi="宋体" w:cs="宋体"/>
                <w:sz w:val="24"/>
              </w:rPr>
              <w:t>您好，感谢您的关注。一方面，本行通过“加量稳价”推动利息净收入的稳步增长，广开中间业务渠道、加强投资规划</w:t>
            </w:r>
            <w:r w:rsidR="00A53E13" w:rsidRPr="00A53E13">
              <w:rPr>
                <w:rFonts w:ascii="宋体" w:eastAsia="宋体" w:hAnsi="宋体" w:cs="宋体" w:hint="eastAsia"/>
                <w:sz w:val="24"/>
              </w:rPr>
              <w:t>、</w:t>
            </w:r>
            <w:r w:rsidRPr="00F855FE">
              <w:rPr>
                <w:rFonts w:ascii="宋体" w:eastAsia="宋体" w:hAnsi="宋体" w:cs="宋体"/>
                <w:sz w:val="24"/>
              </w:rPr>
              <w:t>提升非息收入的稳定性及可持续性；另一方面，通过精简开支与信用风险成本管控实现降本增效。</w:t>
            </w:r>
          </w:p>
          <w:p w14:paraId="54E16B43" w14:textId="6147A200" w:rsidR="00F855FE" w:rsidRPr="0027199D" w:rsidRDefault="0027199D" w:rsidP="00AE14A4">
            <w:pPr>
              <w:spacing w:line="360" w:lineRule="auto"/>
              <w:ind w:firstLineChars="200" w:firstLine="482"/>
              <w:rPr>
                <w:rFonts w:ascii="宋体" w:eastAsia="宋体"/>
                <w:b/>
                <w:sz w:val="24"/>
                <w:szCs w:val="22"/>
              </w:rPr>
            </w:pPr>
            <w:r w:rsidRPr="0027199D">
              <w:rPr>
                <w:rFonts w:ascii="宋体" w:eastAsia="宋体"/>
                <w:b/>
                <w:sz w:val="24"/>
                <w:szCs w:val="22"/>
              </w:rPr>
              <w:t>六、</w:t>
            </w:r>
            <w:r w:rsidR="00F855FE" w:rsidRPr="0027199D">
              <w:rPr>
                <w:rFonts w:ascii="宋体" w:eastAsia="宋体"/>
                <w:b/>
                <w:sz w:val="24"/>
                <w:szCs w:val="22"/>
              </w:rPr>
              <w:t>贵行资产负债结构优化进展如何，预计下半年净息差走势如何，采取哪些方式稳息差？厦门银行近期获批发行不超过90亿元人民币的资本补充工具，后续是否有新的资本补充计划？未来的现金分红计划是怎样的？</w:t>
            </w:r>
          </w:p>
          <w:p w14:paraId="66DCD71C" w14:textId="6A6F5B05" w:rsidR="00F855FE" w:rsidRPr="0027199D" w:rsidRDefault="00F855FE" w:rsidP="00AE14A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 w:rsidRPr="0027199D">
              <w:rPr>
                <w:rFonts w:ascii="宋体" w:eastAsia="宋体" w:hAnsi="宋体" w:cs="宋体"/>
                <w:sz w:val="24"/>
              </w:rPr>
              <w:t>您好，感谢您的关注。在净息差方面，随着本行结构优化及负债成本管控举措成效显现，上半年我行净息差较一季度回升4bp，同比降幅较2024年上半年显著收窄。本行将持续对资产、负债两端双向发力，全力以赴有节奏地加大一般贷款增量提质，同时进一步提升活期存款、缩减存款久期，推动净息差企稳。在资本补充方面，本行将努力拓宽资本补充渠道，持续优化中长期资产负债结构，以支持本行各项业务稳健发展。目前，本行50亿可转债项目尚在上交所审核中。在分红计划方面，本行高度重视投资者回报，自上市以来一直坚持稳定、持续的分红政策，目前，本行股东大会已授权董事会决定2025年中期分红方案。</w:t>
            </w:r>
          </w:p>
          <w:p w14:paraId="452E516F" w14:textId="09917ED5" w:rsidR="00F855FE" w:rsidRPr="0027199D" w:rsidRDefault="0027199D" w:rsidP="00AE14A4">
            <w:pPr>
              <w:spacing w:line="360" w:lineRule="auto"/>
              <w:ind w:firstLineChars="200" w:firstLine="482"/>
              <w:rPr>
                <w:rFonts w:ascii="宋体" w:eastAsia="宋体"/>
                <w:b/>
                <w:sz w:val="24"/>
                <w:szCs w:val="22"/>
              </w:rPr>
            </w:pPr>
            <w:r w:rsidRPr="0027199D">
              <w:rPr>
                <w:rFonts w:ascii="宋体" w:eastAsia="宋体"/>
                <w:b/>
                <w:sz w:val="24"/>
                <w:szCs w:val="22"/>
              </w:rPr>
              <w:t>七、</w:t>
            </w:r>
            <w:r w:rsidR="00F855FE" w:rsidRPr="0027199D">
              <w:rPr>
                <w:rFonts w:ascii="宋体" w:eastAsia="宋体"/>
                <w:b/>
                <w:sz w:val="24"/>
                <w:szCs w:val="22"/>
              </w:rPr>
              <w:t>上半年，贵行的非利息净收入同比下降21.72%。公允价值变动损益同比减少3亿。受市场行情影响，债券利率多数震荡上行，债券类资产公允价值同比下降。请问贵行当前债券投资的规模有多少？</w:t>
            </w:r>
            <w:r w:rsidR="00F855FE" w:rsidRPr="0027199D">
              <w:rPr>
                <w:rFonts w:ascii="宋体" w:eastAsia="宋体"/>
                <w:b/>
                <w:sz w:val="24"/>
                <w:szCs w:val="22"/>
              </w:rPr>
              <w:lastRenderedPageBreak/>
              <w:t>TPL账户、OCI账户占比分别是多少？后续会如何应对债市的波动？</w:t>
            </w:r>
          </w:p>
          <w:p w14:paraId="3BDB612C" w14:textId="4E4F9A0C" w:rsidR="00F855FE" w:rsidRPr="00F855FE" w:rsidRDefault="00F855FE" w:rsidP="00AE14A4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27199D">
              <w:rPr>
                <w:rFonts w:ascii="宋体" w:eastAsia="宋体" w:hAnsi="宋体" w:cs="宋体"/>
                <w:sz w:val="24"/>
              </w:rPr>
              <w:t>您好，感谢您的关注。截至2025年半年末，本行债券投资（不含基金）的规模约1350亿，TPL及OCI合计占比约55%。当前资金面及基本面仍偏多债市，但受市场情绪影响，需防范利率过度回调带来的风险。基于此，本行根据市场情况优化投资策略，一是主动管控市场风险，更加重视短久期、较高票面的存单、信用债等短债配置，增强票息保护，降低收入波动；二是布局新的利润增长点，重点关注美元降息周期下的投资交易机会。</w:t>
            </w:r>
          </w:p>
        </w:tc>
      </w:tr>
    </w:tbl>
    <w:p w14:paraId="26ED5CB3" w14:textId="77777777" w:rsidR="00DE6B5E" w:rsidRPr="00DF0553" w:rsidRDefault="00DE6B5E" w:rsidP="00F855FE"/>
    <w:sectPr w:rsidR="00DE6B5E" w:rsidRPr="00DF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7FBE9" w14:textId="77777777" w:rsidR="00675251" w:rsidRDefault="00675251" w:rsidP="00DF0553">
      <w:r>
        <w:separator/>
      </w:r>
    </w:p>
  </w:endnote>
  <w:endnote w:type="continuationSeparator" w:id="0">
    <w:p w14:paraId="23ED537C" w14:textId="77777777" w:rsidR="00675251" w:rsidRDefault="00675251" w:rsidP="00DF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D088D" w14:textId="77777777" w:rsidR="00675251" w:rsidRDefault="00675251" w:rsidP="00DF0553">
      <w:r>
        <w:separator/>
      </w:r>
    </w:p>
  </w:footnote>
  <w:footnote w:type="continuationSeparator" w:id="0">
    <w:p w14:paraId="4C97F80E" w14:textId="77777777" w:rsidR="00675251" w:rsidRDefault="00675251" w:rsidP="00DF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957CC"/>
    <w:multiLevelType w:val="singleLevel"/>
    <w:tmpl w:val="44D957C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15"/>
    <w:rsid w:val="00010AF9"/>
    <w:rsid w:val="00017E52"/>
    <w:rsid w:val="00027096"/>
    <w:rsid w:val="000374E5"/>
    <w:rsid w:val="00056E17"/>
    <w:rsid w:val="0007077E"/>
    <w:rsid w:val="000865C3"/>
    <w:rsid w:val="000915CF"/>
    <w:rsid w:val="00094D1A"/>
    <w:rsid w:val="000A2087"/>
    <w:rsid w:val="000D5CBE"/>
    <w:rsid w:val="000D76B7"/>
    <w:rsid w:val="00120083"/>
    <w:rsid w:val="00120AE8"/>
    <w:rsid w:val="0012483B"/>
    <w:rsid w:val="00135452"/>
    <w:rsid w:val="00137151"/>
    <w:rsid w:val="001466B9"/>
    <w:rsid w:val="001670CA"/>
    <w:rsid w:val="001747CA"/>
    <w:rsid w:val="00175514"/>
    <w:rsid w:val="0017609F"/>
    <w:rsid w:val="001B212A"/>
    <w:rsid w:val="001B2ABC"/>
    <w:rsid w:val="001C6A12"/>
    <w:rsid w:val="001D437F"/>
    <w:rsid w:val="001E3243"/>
    <w:rsid w:val="00211682"/>
    <w:rsid w:val="00220E2F"/>
    <w:rsid w:val="00234EFD"/>
    <w:rsid w:val="002635DC"/>
    <w:rsid w:val="00264878"/>
    <w:rsid w:val="00267B38"/>
    <w:rsid w:val="00270456"/>
    <w:rsid w:val="0027199D"/>
    <w:rsid w:val="0028137A"/>
    <w:rsid w:val="00290665"/>
    <w:rsid w:val="0029668A"/>
    <w:rsid w:val="002A5E7C"/>
    <w:rsid w:val="002B4940"/>
    <w:rsid w:val="002E664F"/>
    <w:rsid w:val="002F3829"/>
    <w:rsid w:val="003001CA"/>
    <w:rsid w:val="00320B81"/>
    <w:rsid w:val="00321BD4"/>
    <w:rsid w:val="00326BE1"/>
    <w:rsid w:val="0036439D"/>
    <w:rsid w:val="003837F6"/>
    <w:rsid w:val="003C3502"/>
    <w:rsid w:val="003E0254"/>
    <w:rsid w:val="003F5909"/>
    <w:rsid w:val="00403237"/>
    <w:rsid w:val="004077D5"/>
    <w:rsid w:val="00426705"/>
    <w:rsid w:val="00445BB0"/>
    <w:rsid w:val="00461E9B"/>
    <w:rsid w:val="00487F22"/>
    <w:rsid w:val="004A7354"/>
    <w:rsid w:val="004A7CA0"/>
    <w:rsid w:val="004E4DA1"/>
    <w:rsid w:val="005063C5"/>
    <w:rsid w:val="00527972"/>
    <w:rsid w:val="005368E3"/>
    <w:rsid w:val="00560778"/>
    <w:rsid w:val="00570264"/>
    <w:rsid w:val="005C6DB0"/>
    <w:rsid w:val="00603E82"/>
    <w:rsid w:val="006216D4"/>
    <w:rsid w:val="006460EF"/>
    <w:rsid w:val="00646111"/>
    <w:rsid w:val="006523D8"/>
    <w:rsid w:val="00664EE9"/>
    <w:rsid w:val="00675251"/>
    <w:rsid w:val="006818F9"/>
    <w:rsid w:val="006A4D81"/>
    <w:rsid w:val="006C3B27"/>
    <w:rsid w:val="006E2B18"/>
    <w:rsid w:val="006E46D6"/>
    <w:rsid w:val="006F21D2"/>
    <w:rsid w:val="006F6419"/>
    <w:rsid w:val="006F7B21"/>
    <w:rsid w:val="00700F6F"/>
    <w:rsid w:val="00701E12"/>
    <w:rsid w:val="007021F0"/>
    <w:rsid w:val="007123BE"/>
    <w:rsid w:val="00712441"/>
    <w:rsid w:val="00714014"/>
    <w:rsid w:val="00715458"/>
    <w:rsid w:val="007416B9"/>
    <w:rsid w:val="00761EA7"/>
    <w:rsid w:val="00765A2E"/>
    <w:rsid w:val="00767A4B"/>
    <w:rsid w:val="007814C6"/>
    <w:rsid w:val="00786C57"/>
    <w:rsid w:val="007A1202"/>
    <w:rsid w:val="007E5C96"/>
    <w:rsid w:val="00803AFA"/>
    <w:rsid w:val="008048E1"/>
    <w:rsid w:val="008129A6"/>
    <w:rsid w:val="00821EF4"/>
    <w:rsid w:val="008479D6"/>
    <w:rsid w:val="00862D39"/>
    <w:rsid w:val="00877250"/>
    <w:rsid w:val="00884803"/>
    <w:rsid w:val="00886535"/>
    <w:rsid w:val="00887E15"/>
    <w:rsid w:val="008A62BB"/>
    <w:rsid w:val="008B5D1F"/>
    <w:rsid w:val="008C7D83"/>
    <w:rsid w:val="009076CD"/>
    <w:rsid w:val="00934C25"/>
    <w:rsid w:val="00990948"/>
    <w:rsid w:val="00991DBA"/>
    <w:rsid w:val="009E6D7D"/>
    <w:rsid w:val="00A10A28"/>
    <w:rsid w:val="00A53E13"/>
    <w:rsid w:val="00A5429A"/>
    <w:rsid w:val="00A80D1A"/>
    <w:rsid w:val="00A814F8"/>
    <w:rsid w:val="00A85DF0"/>
    <w:rsid w:val="00AB2C92"/>
    <w:rsid w:val="00AB5EC1"/>
    <w:rsid w:val="00AC2FA0"/>
    <w:rsid w:val="00AD0D20"/>
    <w:rsid w:val="00AD226B"/>
    <w:rsid w:val="00AD6116"/>
    <w:rsid w:val="00AE14A4"/>
    <w:rsid w:val="00AE1959"/>
    <w:rsid w:val="00AE6F23"/>
    <w:rsid w:val="00AF3539"/>
    <w:rsid w:val="00AF5FBE"/>
    <w:rsid w:val="00B07DAF"/>
    <w:rsid w:val="00B23959"/>
    <w:rsid w:val="00B24A2C"/>
    <w:rsid w:val="00B409BC"/>
    <w:rsid w:val="00B510FA"/>
    <w:rsid w:val="00B85459"/>
    <w:rsid w:val="00B95A2D"/>
    <w:rsid w:val="00BB6CDC"/>
    <w:rsid w:val="00BC4F4B"/>
    <w:rsid w:val="00BE4725"/>
    <w:rsid w:val="00BF547B"/>
    <w:rsid w:val="00C07040"/>
    <w:rsid w:val="00C21162"/>
    <w:rsid w:val="00C3197B"/>
    <w:rsid w:val="00C62E73"/>
    <w:rsid w:val="00C77883"/>
    <w:rsid w:val="00CC5C34"/>
    <w:rsid w:val="00CD464A"/>
    <w:rsid w:val="00CD6D89"/>
    <w:rsid w:val="00CE3CDE"/>
    <w:rsid w:val="00CF36D1"/>
    <w:rsid w:val="00D2553B"/>
    <w:rsid w:val="00D46CC5"/>
    <w:rsid w:val="00D7022F"/>
    <w:rsid w:val="00D73204"/>
    <w:rsid w:val="00D809C2"/>
    <w:rsid w:val="00D837F5"/>
    <w:rsid w:val="00D860E0"/>
    <w:rsid w:val="00DA4FC7"/>
    <w:rsid w:val="00DB23D6"/>
    <w:rsid w:val="00DB4378"/>
    <w:rsid w:val="00DC2245"/>
    <w:rsid w:val="00DC692F"/>
    <w:rsid w:val="00DE6B5E"/>
    <w:rsid w:val="00DE6B9C"/>
    <w:rsid w:val="00DF0553"/>
    <w:rsid w:val="00DF4DE9"/>
    <w:rsid w:val="00E3527B"/>
    <w:rsid w:val="00E65E57"/>
    <w:rsid w:val="00E868EC"/>
    <w:rsid w:val="00EE18C5"/>
    <w:rsid w:val="00EE4F1A"/>
    <w:rsid w:val="00F10BB8"/>
    <w:rsid w:val="00F24494"/>
    <w:rsid w:val="00F3249E"/>
    <w:rsid w:val="00F430C2"/>
    <w:rsid w:val="00F74796"/>
    <w:rsid w:val="00F855FE"/>
    <w:rsid w:val="00FA0123"/>
    <w:rsid w:val="00FA721E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FDE6F"/>
  <w15:chartTrackingRefBased/>
  <w15:docId w15:val="{0625197E-DE14-457D-997E-40C182EA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53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5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5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553"/>
    <w:rPr>
      <w:sz w:val="18"/>
      <w:szCs w:val="18"/>
    </w:rPr>
  </w:style>
  <w:style w:type="paragraph" w:styleId="a5">
    <w:name w:val="No Spacing"/>
    <w:uiPriority w:val="1"/>
    <w:qFormat/>
    <w:rsid w:val="00DF0553"/>
    <w:pPr>
      <w:widowControl w:val="0"/>
    </w:pPr>
    <w:rPr>
      <w:sz w:val="22"/>
      <w:szCs w:val="24"/>
      <w14:ligatures w14:val="standardContextual"/>
    </w:rPr>
  </w:style>
  <w:style w:type="character" w:styleId="a6">
    <w:name w:val="annotation reference"/>
    <w:basedOn w:val="a0"/>
    <w:uiPriority w:val="99"/>
    <w:semiHidden/>
    <w:unhideWhenUsed/>
    <w:rsid w:val="002F382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F382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F3829"/>
    <w:rPr>
      <w:rFonts w:ascii="Calibri" w:eastAsia="微软雅黑" w:hAnsi="Calibri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F382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F3829"/>
    <w:rPr>
      <w:rFonts w:ascii="Calibri" w:eastAsia="微软雅黑" w:hAnsi="Calibri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2F382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F3829"/>
    <w:rPr>
      <w:rFonts w:ascii="Calibri" w:eastAsia="微软雅黑" w:hAnsi="Calibri" w:cs="Times New Roman"/>
      <w:sz w:val="18"/>
      <w:szCs w:val="18"/>
    </w:rPr>
  </w:style>
  <w:style w:type="paragraph" w:styleId="aa">
    <w:name w:val="Block Text"/>
    <w:basedOn w:val="a"/>
    <w:next w:val="a"/>
    <w:qFormat/>
    <w:rsid w:val="008479D6"/>
    <w:pPr>
      <w:snapToGrid w:val="0"/>
      <w:spacing w:after="160" w:line="360" w:lineRule="auto"/>
      <w:ind w:left="-15" w:right="103" w:firstLine="447"/>
      <w:jc w:val="left"/>
    </w:pPr>
    <w:rPr>
      <w:rFonts w:ascii="宋体" w:eastAsiaTheme="minorEastAsia" w:hAnsi="宋体" w:cstheme="minorBidi"/>
      <w:spacing w:val="-2"/>
      <w:sz w:val="24"/>
      <w:szCs w:val="20"/>
      <w14:ligatures w14:val="standardContextual"/>
    </w:rPr>
  </w:style>
  <w:style w:type="character" w:styleId="ab">
    <w:name w:val="Hyperlink"/>
    <w:basedOn w:val="a0"/>
    <w:uiPriority w:val="99"/>
    <w:unhideWhenUsed/>
    <w:qFormat/>
    <w:rsid w:val="00AB5E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417</Words>
  <Characters>2377</Characters>
  <Application>Microsoft Office Word</Application>
  <DocSecurity>0</DocSecurity>
  <Lines>19</Lines>
  <Paragraphs>5</Paragraphs>
  <ScaleCrop>false</ScaleCrop>
  <Company>AB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邱素萍</dc:creator>
  <cp:keywords/>
  <dc:description/>
  <cp:lastModifiedBy>邱素萍</cp:lastModifiedBy>
  <cp:revision>5</cp:revision>
  <cp:lastPrinted>2025-09-01T05:49:00Z</cp:lastPrinted>
  <dcterms:created xsi:type="dcterms:W3CDTF">2025-09-05T02:11:00Z</dcterms:created>
  <dcterms:modified xsi:type="dcterms:W3CDTF">2025-09-08T11:12:00Z</dcterms:modified>
</cp:coreProperties>
</file>