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Default="00226B25"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蓝星安迪苏股份有限公司</w:t>
      </w:r>
    </w:p>
    <w:p w14:paraId="70AC398F" w14:textId="3CCB5547" w:rsidR="00226B25" w:rsidRDefault="008D533C" w:rsidP="0A68BCD7">
      <w:pPr>
        <w:spacing w:after="0" w:line="240" w:lineRule="auto"/>
        <w:jc w:val="center"/>
        <w:rPr>
          <w:rFonts w:ascii="Times New Roman" w:eastAsia="楷体" w:hAnsi="Times New Roman" w:cs="Times New Roman"/>
          <w:b/>
          <w:bCs/>
          <w:sz w:val="28"/>
          <w:szCs w:val="28"/>
        </w:rPr>
      </w:pPr>
      <w:r w:rsidRPr="0A68BCD7">
        <w:rPr>
          <w:rFonts w:ascii="Times New Roman" w:eastAsia="楷体" w:hAnsi="Times New Roman" w:cs="Times New Roman"/>
          <w:b/>
          <w:bCs/>
          <w:sz w:val="28"/>
          <w:szCs w:val="28"/>
        </w:rPr>
        <w:t>202</w:t>
      </w:r>
      <w:r w:rsidR="60540B31" w:rsidRPr="0A68BCD7">
        <w:rPr>
          <w:rFonts w:ascii="Times New Roman" w:eastAsia="楷体" w:hAnsi="Times New Roman" w:cs="Times New Roman"/>
          <w:b/>
          <w:bCs/>
          <w:sz w:val="28"/>
          <w:szCs w:val="28"/>
        </w:rPr>
        <w:t>5</w:t>
      </w:r>
      <w:r w:rsidRPr="0A68BCD7">
        <w:rPr>
          <w:rFonts w:ascii="Times New Roman" w:eastAsia="楷体" w:hAnsi="Times New Roman" w:cs="Times New Roman"/>
          <w:b/>
          <w:bCs/>
          <w:sz w:val="28"/>
          <w:szCs w:val="28"/>
        </w:rPr>
        <w:t>年</w:t>
      </w:r>
      <w:r w:rsidR="509B521D" w:rsidRPr="0A68BCD7">
        <w:rPr>
          <w:rFonts w:ascii="Times New Roman" w:eastAsia="楷体" w:hAnsi="Times New Roman" w:cs="Times New Roman"/>
          <w:b/>
          <w:bCs/>
          <w:sz w:val="28"/>
          <w:szCs w:val="28"/>
        </w:rPr>
        <w:t>半年度</w:t>
      </w:r>
      <w:r w:rsidR="00E150C9" w:rsidRPr="0A68BCD7">
        <w:rPr>
          <w:rFonts w:ascii="Times New Roman" w:eastAsia="楷体" w:hAnsi="Times New Roman" w:cs="Times New Roman"/>
          <w:b/>
          <w:bCs/>
          <w:sz w:val="28"/>
          <w:szCs w:val="28"/>
        </w:rPr>
        <w:t>线上投资者沟通会及业绩说明会会议记录</w:t>
      </w:r>
    </w:p>
    <w:p w14:paraId="1A2922B4" w14:textId="77777777" w:rsidR="009555DF" w:rsidRPr="001C3012" w:rsidRDefault="009555DF" w:rsidP="009555DF">
      <w:pPr>
        <w:spacing w:after="0" w:line="240" w:lineRule="auto"/>
        <w:jc w:val="center"/>
        <w:rPr>
          <w:rFonts w:ascii="Times New Roman" w:eastAsia="楷体" w:hAnsi="Times New Roman" w:cs="Times New Roman"/>
          <w:b/>
          <w:sz w:val="24"/>
          <w:szCs w:val="24"/>
        </w:rPr>
      </w:pPr>
    </w:p>
    <w:p w14:paraId="372521B1" w14:textId="77777777" w:rsidR="009555DF" w:rsidRPr="00215542"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226B25" w:rsidRPr="00215542">
        <w:rPr>
          <w:rFonts w:ascii="Times New Roman" w:eastAsia="楷体" w:hAnsi="Times New Roman"/>
          <w:sz w:val="24"/>
          <w:szCs w:val="24"/>
        </w:rPr>
        <w:t>时间</w:t>
      </w:r>
    </w:p>
    <w:p w14:paraId="5F8E76AF" w14:textId="0BF6FD9E" w:rsidR="00E150C9" w:rsidRPr="00215542" w:rsidRDefault="00E150C9" w:rsidP="00305D2B">
      <w:pPr>
        <w:pStyle w:val="a8"/>
        <w:ind w:leftChars="216" w:left="475" w:firstLineChars="0" w:firstLine="0"/>
        <w:rPr>
          <w:rFonts w:ascii="Times New Roman" w:eastAsia="楷体" w:hAnsi="Times New Roman"/>
          <w:sz w:val="24"/>
          <w:szCs w:val="24"/>
        </w:rPr>
      </w:pPr>
      <w:r w:rsidRPr="00E150C9">
        <w:rPr>
          <w:rFonts w:ascii="Times New Roman" w:eastAsia="楷体" w:hAnsi="Times New Roman" w:hint="eastAsia"/>
          <w:sz w:val="24"/>
          <w:szCs w:val="24"/>
        </w:rPr>
        <w:t>公司于</w:t>
      </w:r>
      <w:r w:rsidRPr="00E150C9">
        <w:rPr>
          <w:rFonts w:ascii="Times New Roman" w:eastAsia="楷体" w:hAnsi="Times New Roman" w:hint="eastAsia"/>
          <w:sz w:val="24"/>
          <w:szCs w:val="24"/>
        </w:rPr>
        <w:t>202</w:t>
      </w:r>
      <w:r>
        <w:rPr>
          <w:rFonts w:ascii="Times New Roman" w:eastAsia="楷体" w:hAnsi="Times New Roman" w:hint="eastAsia"/>
          <w:sz w:val="24"/>
          <w:szCs w:val="24"/>
        </w:rPr>
        <w:t>5</w:t>
      </w:r>
      <w:r w:rsidRPr="00E150C9">
        <w:rPr>
          <w:rFonts w:ascii="Times New Roman" w:eastAsia="楷体" w:hAnsi="Times New Roman" w:hint="eastAsia"/>
          <w:sz w:val="24"/>
          <w:szCs w:val="24"/>
        </w:rPr>
        <w:t>年</w:t>
      </w:r>
      <w:r w:rsidR="00091828">
        <w:rPr>
          <w:rFonts w:ascii="Times New Roman" w:eastAsia="楷体" w:hAnsi="Times New Roman" w:hint="eastAsia"/>
          <w:sz w:val="24"/>
          <w:szCs w:val="24"/>
        </w:rPr>
        <w:t>9</w:t>
      </w:r>
      <w:r w:rsidRPr="00E150C9">
        <w:rPr>
          <w:rFonts w:ascii="Times New Roman" w:eastAsia="楷体" w:hAnsi="Times New Roman" w:hint="eastAsia"/>
          <w:sz w:val="24"/>
          <w:szCs w:val="24"/>
        </w:rPr>
        <w:t>月</w:t>
      </w:r>
      <w:r w:rsidR="00091828">
        <w:rPr>
          <w:rFonts w:ascii="Times New Roman" w:eastAsia="楷体" w:hAnsi="Times New Roman" w:hint="eastAsia"/>
          <w:sz w:val="24"/>
          <w:szCs w:val="24"/>
        </w:rPr>
        <w:t>4</w:t>
      </w:r>
      <w:r w:rsidRPr="00E150C9">
        <w:rPr>
          <w:rFonts w:ascii="Times New Roman" w:eastAsia="楷体" w:hAnsi="Times New Roman" w:hint="eastAsia"/>
          <w:sz w:val="24"/>
          <w:szCs w:val="24"/>
        </w:rPr>
        <w:t>日</w:t>
      </w:r>
      <w:r w:rsidR="00091828">
        <w:rPr>
          <w:rFonts w:ascii="Times New Roman" w:eastAsia="楷体" w:hAnsi="Times New Roman" w:hint="eastAsia"/>
          <w:sz w:val="24"/>
          <w:szCs w:val="24"/>
        </w:rPr>
        <w:t>、</w:t>
      </w:r>
      <w:r w:rsidR="00091828">
        <w:rPr>
          <w:rFonts w:ascii="Times New Roman" w:eastAsia="楷体" w:hAnsi="Times New Roman" w:hint="eastAsia"/>
          <w:sz w:val="24"/>
          <w:szCs w:val="24"/>
        </w:rPr>
        <w:t>5</w:t>
      </w:r>
      <w:r w:rsidR="00091828">
        <w:rPr>
          <w:rFonts w:ascii="Times New Roman" w:eastAsia="楷体" w:hAnsi="Times New Roman" w:hint="eastAsia"/>
          <w:sz w:val="24"/>
          <w:szCs w:val="24"/>
        </w:rPr>
        <w:t>日</w:t>
      </w:r>
      <w:r w:rsidR="00CD3277">
        <w:rPr>
          <w:rFonts w:ascii="Times New Roman" w:eastAsia="楷体" w:hAnsi="Times New Roman" w:hint="eastAsia"/>
          <w:sz w:val="24"/>
          <w:szCs w:val="24"/>
        </w:rPr>
        <w:t>分别</w:t>
      </w:r>
      <w:r w:rsidRPr="00E150C9">
        <w:rPr>
          <w:rFonts w:ascii="Times New Roman" w:eastAsia="楷体" w:hAnsi="Times New Roman" w:hint="eastAsia"/>
          <w:sz w:val="24"/>
          <w:szCs w:val="24"/>
        </w:rPr>
        <w:t>组织召开了</w:t>
      </w:r>
      <w:r w:rsidRPr="00E150C9">
        <w:rPr>
          <w:rFonts w:ascii="Times New Roman" w:eastAsia="楷体" w:hAnsi="Times New Roman" w:hint="eastAsia"/>
          <w:sz w:val="24"/>
          <w:szCs w:val="24"/>
        </w:rPr>
        <w:t>202</w:t>
      </w:r>
      <w:r w:rsidR="00091828">
        <w:rPr>
          <w:rFonts w:ascii="Times New Roman" w:eastAsia="楷体" w:hAnsi="Times New Roman" w:hint="eastAsia"/>
          <w:sz w:val="24"/>
          <w:szCs w:val="24"/>
        </w:rPr>
        <w:t>5</w:t>
      </w:r>
      <w:r w:rsidRPr="00E150C9">
        <w:rPr>
          <w:rFonts w:ascii="Times New Roman" w:eastAsia="楷体" w:hAnsi="Times New Roman" w:hint="eastAsia"/>
          <w:sz w:val="24"/>
          <w:szCs w:val="24"/>
        </w:rPr>
        <w:t>年</w:t>
      </w:r>
      <w:r w:rsidR="00091828">
        <w:rPr>
          <w:rFonts w:ascii="Times New Roman" w:eastAsia="楷体" w:hAnsi="Times New Roman" w:hint="eastAsia"/>
          <w:sz w:val="24"/>
          <w:szCs w:val="24"/>
        </w:rPr>
        <w:t>半年度业绩说明会、</w:t>
      </w:r>
      <w:r w:rsidRPr="00E150C9">
        <w:rPr>
          <w:rFonts w:ascii="Times New Roman" w:eastAsia="楷体" w:hAnsi="Times New Roman" w:hint="eastAsia"/>
          <w:sz w:val="24"/>
          <w:szCs w:val="24"/>
        </w:rPr>
        <w:t>线上投资者沟通会。</w:t>
      </w:r>
    </w:p>
    <w:p w14:paraId="2412EC0A" w14:textId="77777777" w:rsidR="00FA3F64" w:rsidRPr="00215542" w:rsidRDefault="00F30264" w:rsidP="00030A0E">
      <w:pPr>
        <w:pStyle w:val="a8"/>
        <w:numPr>
          <w:ilvl w:val="0"/>
          <w:numId w:val="1"/>
        </w:numPr>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参与单位名称及人员姓名</w:t>
      </w:r>
    </w:p>
    <w:p w14:paraId="04F5F688" w14:textId="77777777" w:rsidR="00C338D1" w:rsidRPr="00215542" w:rsidRDefault="00030A0E" w:rsidP="00030A0E">
      <w:pPr>
        <w:pStyle w:val="a8"/>
        <w:ind w:firstLine="480"/>
        <w:rPr>
          <w:rFonts w:ascii="Times New Roman" w:eastAsia="楷体" w:hAnsi="Times New Roman"/>
          <w:sz w:val="24"/>
          <w:szCs w:val="24"/>
        </w:rPr>
      </w:pPr>
      <w:r w:rsidRPr="00215542">
        <w:rPr>
          <w:rFonts w:ascii="Times New Roman" w:eastAsia="楷体" w:hAnsi="Times New Roman"/>
          <w:sz w:val="24"/>
          <w:szCs w:val="24"/>
        </w:rPr>
        <w:t>部分参会机构名单详见附件清单。</w:t>
      </w:r>
    </w:p>
    <w:p w14:paraId="6AFF6A0A" w14:textId="77777777" w:rsidR="00030A0E" w:rsidRPr="00215542" w:rsidRDefault="00FB4C84" w:rsidP="00574C82">
      <w:pPr>
        <w:pStyle w:val="a8"/>
        <w:ind w:leftChars="229" w:left="504" w:firstLineChars="0" w:firstLine="0"/>
        <w:rPr>
          <w:rFonts w:ascii="Times New Roman" w:eastAsia="楷体" w:hAnsi="Times New Roman"/>
          <w:sz w:val="24"/>
          <w:szCs w:val="24"/>
        </w:rPr>
      </w:pPr>
      <w:r w:rsidRPr="00215542">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215542" w:rsidRDefault="001947D3" w:rsidP="001947D3">
      <w:pPr>
        <w:pStyle w:val="a8"/>
        <w:ind w:firstLine="480"/>
        <w:rPr>
          <w:rFonts w:ascii="Times New Roman" w:eastAsia="楷体" w:hAnsi="Times New Roman"/>
          <w:sz w:val="24"/>
          <w:szCs w:val="24"/>
        </w:rPr>
      </w:pPr>
    </w:p>
    <w:p w14:paraId="3C5FCB39" w14:textId="77777777" w:rsidR="008A7352" w:rsidRPr="00215542" w:rsidRDefault="00F30264" w:rsidP="00E810C3">
      <w:pPr>
        <w:pStyle w:val="a8"/>
        <w:numPr>
          <w:ilvl w:val="0"/>
          <w:numId w:val="1"/>
        </w:numPr>
        <w:ind w:left="0" w:firstLineChars="0" w:firstLine="0"/>
        <w:rPr>
          <w:rFonts w:ascii="Times New Roman" w:eastAsia="楷体" w:hAnsi="Times New Roman"/>
          <w:sz w:val="24"/>
          <w:szCs w:val="24"/>
        </w:rPr>
      </w:pPr>
      <w:r w:rsidRPr="00215542">
        <w:rPr>
          <w:rFonts w:ascii="Times New Roman" w:eastAsia="楷体" w:hAnsi="Times New Roman"/>
          <w:sz w:val="24"/>
          <w:szCs w:val="24"/>
        </w:rPr>
        <w:t>公司接待人员</w:t>
      </w:r>
    </w:p>
    <w:p w14:paraId="40BD68DE" w14:textId="77777777" w:rsidR="00E150C9" w:rsidRDefault="008A7352" w:rsidP="00E150C9">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董事长</w:t>
      </w:r>
      <w:r w:rsidR="004462EB" w:rsidRPr="00215542">
        <w:rPr>
          <w:rFonts w:ascii="Times New Roman" w:eastAsia="楷体" w:hAnsi="Times New Roman" w:cs="Times New Roman"/>
          <w:sz w:val="24"/>
          <w:szCs w:val="24"/>
        </w:rPr>
        <w:t>兼总经理</w:t>
      </w:r>
      <w:r w:rsidR="00E60BD8" w:rsidRPr="00215542">
        <w:rPr>
          <w:rFonts w:ascii="Times New Roman" w:eastAsia="楷体" w:hAnsi="Times New Roman" w:cs="Times New Roman"/>
          <w:sz w:val="24"/>
          <w:szCs w:val="24"/>
        </w:rPr>
        <w:t>（</w:t>
      </w:r>
      <w:r w:rsidR="00E60BD8" w:rsidRPr="00215542">
        <w:rPr>
          <w:rFonts w:ascii="Times New Roman" w:eastAsia="楷体" w:hAnsi="Times New Roman" w:cs="Times New Roman"/>
          <w:sz w:val="24"/>
          <w:szCs w:val="24"/>
        </w:rPr>
        <w:t>CEO</w:t>
      </w:r>
      <w:r w:rsidR="00E60BD8"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：郝志刚先生</w:t>
      </w:r>
    </w:p>
    <w:p w14:paraId="6489A67B" w14:textId="2513ED30" w:rsidR="00E150C9" w:rsidRPr="00215542" w:rsidRDefault="00E150C9" w:rsidP="00E150C9">
      <w:pPr>
        <w:spacing w:after="0"/>
        <w:ind w:firstLineChars="192" w:firstLine="461"/>
        <w:rPr>
          <w:rFonts w:ascii="Times New Roman" w:eastAsia="楷体" w:hAnsi="Times New Roman" w:cs="Times New Roman"/>
          <w:sz w:val="24"/>
          <w:szCs w:val="24"/>
        </w:rPr>
      </w:pPr>
      <w:r w:rsidRPr="0088462A">
        <w:rPr>
          <w:rFonts w:ascii="Times New Roman" w:eastAsia="楷体" w:hAnsi="Times New Roman" w:cs="Times New Roman"/>
          <w:sz w:val="24"/>
          <w:szCs w:val="24"/>
        </w:rPr>
        <w:t>独立董事</w:t>
      </w:r>
      <w:r w:rsidRPr="001C3012">
        <w:rPr>
          <w:rFonts w:ascii="Times New Roman" w:eastAsia="楷体" w:hAnsi="Times New Roman" w:cs="Times New Roman" w:hint="eastAsia"/>
          <w:sz w:val="24"/>
          <w:szCs w:val="24"/>
        </w:rPr>
        <w:t>：</w:t>
      </w:r>
      <w:r w:rsidR="008A44BA">
        <w:rPr>
          <w:rFonts w:ascii="Times New Roman" w:eastAsia="楷体" w:hAnsi="Times New Roman" w:cs="Times New Roman" w:hint="eastAsia"/>
          <w:sz w:val="24"/>
          <w:szCs w:val="24"/>
        </w:rPr>
        <w:t>林兆荣</w:t>
      </w:r>
      <w:r w:rsidRPr="0088462A">
        <w:rPr>
          <w:rFonts w:ascii="Times New Roman" w:eastAsia="楷体" w:hAnsi="Times New Roman" w:cs="Times New Roman"/>
          <w:sz w:val="24"/>
          <w:szCs w:val="24"/>
        </w:rPr>
        <w:t>先生</w:t>
      </w:r>
    </w:p>
    <w:p w14:paraId="3136C1AA" w14:textId="77777777" w:rsidR="008A7352"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首席运营官</w:t>
      </w:r>
      <w:r w:rsidR="006E6E1C" w:rsidRPr="00215542">
        <w:rPr>
          <w:rFonts w:ascii="Times New Roman" w:eastAsia="楷体" w:hAnsi="Times New Roman" w:cs="Times New Roman"/>
          <w:sz w:val="24"/>
          <w:szCs w:val="24"/>
        </w:rPr>
        <w:t>兼副总经理</w:t>
      </w:r>
      <w:r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Frederic Jacquin</w:t>
      </w:r>
      <w:r w:rsidRPr="00215542">
        <w:rPr>
          <w:rFonts w:ascii="Times New Roman" w:eastAsia="楷体" w:hAnsi="Times New Roman" w:cs="Times New Roman"/>
          <w:sz w:val="24"/>
          <w:szCs w:val="24"/>
        </w:rPr>
        <w:t>先生</w:t>
      </w:r>
    </w:p>
    <w:p w14:paraId="1CB07146" w14:textId="77777777" w:rsidR="004462EB"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首席财务官：</w:t>
      </w:r>
      <w:r w:rsidRPr="00215542">
        <w:rPr>
          <w:rFonts w:ascii="Times New Roman" w:eastAsia="楷体" w:hAnsi="Times New Roman" w:cs="Times New Roman"/>
          <w:sz w:val="24"/>
          <w:szCs w:val="24"/>
        </w:rPr>
        <w:t>Virginie Cayatte</w:t>
      </w:r>
      <w:r w:rsidRPr="00215542">
        <w:rPr>
          <w:rFonts w:ascii="Times New Roman" w:eastAsia="楷体" w:hAnsi="Times New Roman" w:cs="Times New Roman"/>
          <w:sz w:val="24"/>
          <w:szCs w:val="24"/>
        </w:rPr>
        <w:t>女士</w:t>
      </w:r>
    </w:p>
    <w:p w14:paraId="37F64E17" w14:textId="77777777" w:rsidR="008A7352" w:rsidRPr="00215542" w:rsidRDefault="004462EB"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董事会秘书</w:t>
      </w:r>
      <w:r w:rsidR="008A7352" w:rsidRPr="00215542">
        <w:rPr>
          <w:rFonts w:ascii="Times New Roman" w:eastAsia="楷体" w:hAnsi="Times New Roman" w:cs="Times New Roman"/>
          <w:sz w:val="24"/>
          <w:szCs w:val="24"/>
        </w:rPr>
        <w:t>：蔡昀女士</w:t>
      </w:r>
    </w:p>
    <w:p w14:paraId="7F1EA304" w14:textId="77777777" w:rsidR="009555DF" w:rsidRPr="00215542"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3A15CB" w:rsidRPr="00215542">
        <w:rPr>
          <w:rFonts w:ascii="Times New Roman" w:eastAsia="楷体" w:hAnsi="Times New Roman"/>
          <w:sz w:val="24"/>
          <w:szCs w:val="24"/>
        </w:rPr>
        <w:t>地点</w:t>
      </w:r>
    </w:p>
    <w:p w14:paraId="5560C86A" w14:textId="3B30EC32" w:rsidR="009555DF" w:rsidRPr="00215542" w:rsidRDefault="008A44BA" w:rsidP="00854A00">
      <w:pPr>
        <w:pStyle w:val="a8"/>
        <w:ind w:leftChars="216" w:left="475" w:firstLineChars="0" w:firstLine="0"/>
        <w:rPr>
          <w:rFonts w:ascii="Times New Roman" w:eastAsia="楷体" w:hAnsi="Times New Roman"/>
          <w:sz w:val="24"/>
          <w:szCs w:val="24"/>
        </w:rPr>
      </w:pPr>
      <w:r>
        <w:rPr>
          <w:rFonts w:ascii="Times New Roman" w:eastAsia="楷体" w:hAnsi="Times New Roman" w:hint="eastAsia"/>
          <w:sz w:val="24"/>
          <w:szCs w:val="24"/>
        </w:rPr>
        <w:t>上交所路演平台、</w:t>
      </w:r>
      <w:r w:rsidR="004462EB" w:rsidRPr="00215542">
        <w:rPr>
          <w:rFonts w:ascii="Times New Roman" w:eastAsia="楷体" w:hAnsi="Times New Roman"/>
          <w:sz w:val="24"/>
          <w:szCs w:val="24"/>
        </w:rPr>
        <w:t>Teams</w:t>
      </w:r>
      <w:r w:rsidR="004462EB" w:rsidRPr="00215542">
        <w:rPr>
          <w:rFonts w:ascii="Times New Roman" w:eastAsia="楷体" w:hAnsi="Times New Roman"/>
          <w:sz w:val="24"/>
          <w:szCs w:val="24"/>
        </w:rPr>
        <w:t>线上会议</w:t>
      </w:r>
      <w:r w:rsidR="001947D3" w:rsidRPr="00215542">
        <w:rPr>
          <w:rFonts w:ascii="Times New Roman" w:eastAsia="楷体" w:hAnsi="Times New Roman"/>
          <w:sz w:val="24"/>
          <w:szCs w:val="24"/>
        </w:rPr>
        <w:t>。</w:t>
      </w:r>
    </w:p>
    <w:p w14:paraId="7CF55D00" w14:textId="77777777" w:rsidR="00CF7F64" w:rsidRPr="00215542"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主要</w:t>
      </w:r>
      <w:r w:rsidR="00226B25" w:rsidRPr="00215542">
        <w:rPr>
          <w:rFonts w:ascii="Times New Roman" w:eastAsia="楷体" w:hAnsi="Times New Roman"/>
          <w:sz w:val="24"/>
          <w:szCs w:val="24"/>
        </w:rPr>
        <w:t>内容</w:t>
      </w:r>
    </w:p>
    <w:p w14:paraId="080A6035" w14:textId="77777777" w:rsidR="000130C0" w:rsidRPr="000130C0" w:rsidRDefault="000130C0" w:rsidP="000130C0">
      <w:pPr>
        <w:pStyle w:val="a8"/>
        <w:ind w:left="480" w:firstLineChars="0" w:firstLine="0"/>
        <w:rPr>
          <w:rFonts w:ascii="Times New Roman" w:eastAsia="楷体" w:hAnsi="Times New Roman"/>
          <w:sz w:val="24"/>
          <w:szCs w:val="24"/>
        </w:rPr>
      </w:pPr>
      <w:r w:rsidRPr="000130C0">
        <w:rPr>
          <w:rFonts w:ascii="Times New Roman" w:eastAsia="楷体" w:hAnsi="Times New Roman"/>
          <w:sz w:val="24"/>
          <w:szCs w:val="24"/>
        </w:rPr>
        <w:t>公司就投资者普遍关注的问题进行回答。沟通内容如下：</w:t>
      </w:r>
    </w:p>
    <w:p w14:paraId="02088279" w14:textId="77777777" w:rsidR="00324776" w:rsidRPr="00215542" w:rsidRDefault="00324776" w:rsidP="00324776">
      <w:pPr>
        <w:pStyle w:val="a8"/>
        <w:ind w:firstLine="480"/>
        <w:rPr>
          <w:rFonts w:ascii="Times New Roman" w:eastAsia="楷体" w:hAnsi="Times New Roman"/>
          <w:sz w:val="24"/>
          <w:szCs w:val="24"/>
        </w:rPr>
      </w:pPr>
    </w:p>
    <w:p w14:paraId="75A6EF5A" w14:textId="69BAA2FE" w:rsidR="004901AF" w:rsidRPr="004901AF" w:rsidRDefault="004901AF" w:rsidP="004901AF">
      <w:pPr>
        <w:pStyle w:val="a8"/>
        <w:numPr>
          <w:ilvl w:val="3"/>
          <w:numId w:val="1"/>
        </w:numPr>
        <w:ind w:left="434" w:firstLineChars="0"/>
        <w:rPr>
          <w:rFonts w:ascii="Times New Roman" w:eastAsia="楷体" w:hAnsi="Times New Roman"/>
          <w:sz w:val="24"/>
          <w:szCs w:val="24"/>
        </w:rPr>
      </w:pPr>
      <w:r>
        <w:rPr>
          <w:rFonts w:ascii="Times New Roman" w:eastAsia="楷体" w:hAnsi="Times New Roman" w:hint="eastAsia"/>
          <w:sz w:val="24"/>
          <w:szCs w:val="24"/>
        </w:rPr>
        <w:t>公司目前脱瓶颈项目进展及未来部署规划？</w:t>
      </w:r>
    </w:p>
    <w:p w14:paraId="2A7839DF" w14:textId="43AD9B71" w:rsidR="00182F38" w:rsidRDefault="004901AF" w:rsidP="00182F38">
      <w:pPr>
        <w:pStyle w:val="a8"/>
        <w:ind w:left="434" w:firstLine="48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公司</w:t>
      </w:r>
      <w:r w:rsidRPr="004901AF">
        <w:rPr>
          <w:rFonts w:ascii="Times New Roman" w:eastAsia="楷体" w:hAnsi="Times New Roman" w:hint="eastAsia"/>
          <w:color w:val="2E74B5" w:themeColor="accent1" w:themeShade="BF"/>
          <w:sz w:val="24"/>
          <w:szCs w:val="24"/>
        </w:rPr>
        <w:t>预计于</w:t>
      </w:r>
      <w:r>
        <w:rPr>
          <w:rFonts w:ascii="Times New Roman" w:eastAsia="楷体" w:hAnsi="Times New Roman" w:hint="eastAsia"/>
          <w:color w:val="2E74B5" w:themeColor="accent1" w:themeShade="BF"/>
          <w:sz w:val="24"/>
          <w:szCs w:val="24"/>
        </w:rPr>
        <w:t>今年</w:t>
      </w:r>
      <w:r w:rsidRPr="004901AF">
        <w:rPr>
          <w:rFonts w:ascii="Times New Roman" w:eastAsia="楷体" w:hAnsi="Times New Roman" w:hint="eastAsia"/>
          <w:color w:val="2E74B5" w:themeColor="accent1" w:themeShade="BF"/>
          <w:sz w:val="24"/>
          <w:szCs w:val="24"/>
        </w:rPr>
        <w:t>第三季度末完成</w:t>
      </w:r>
      <w:r>
        <w:rPr>
          <w:rFonts w:ascii="Times New Roman" w:eastAsia="楷体" w:hAnsi="Times New Roman" w:hint="eastAsia"/>
          <w:color w:val="2E74B5" w:themeColor="accent1" w:themeShade="BF"/>
          <w:sz w:val="24"/>
          <w:szCs w:val="24"/>
        </w:rPr>
        <w:t>欧洲液体</w:t>
      </w:r>
      <w:r w:rsidRPr="004901AF">
        <w:rPr>
          <w:rFonts w:ascii="Times New Roman" w:eastAsia="楷体" w:hAnsi="Times New Roman" w:hint="eastAsia"/>
          <w:color w:val="2E74B5" w:themeColor="accent1" w:themeShade="BF"/>
          <w:sz w:val="24"/>
          <w:szCs w:val="24"/>
        </w:rPr>
        <w:t>蛋氨</w:t>
      </w:r>
      <w:proofErr w:type="gramStart"/>
      <w:r w:rsidRPr="004901AF">
        <w:rPr>
          <w:rFonts w:ascii="Times New Roman" w:eastAsia="楷体" w:hAnsi="Times New Roman" w:hint="eastAsia"/>
          <w:color w:val="2E74B5" w:themeColor="accent1" w:themeShade="BF"/>
          <w:sz w:val="24"/>
          <w:szCs w:val="24"/>
        </w:rPr>
        <w:t>酸工厂</w:t>
      </w:r>
      <w:r>
        <w:rPr>
          <w:rFonts w:ascii="Times New Roman" w:eastAsia="楷体" w:hAnsi="Times New Roman" w:hint="eastAsia"/>
          <w:color w:val="2E74B5" w:themeColor="accent1" w:themeShade="BF"/>
          <w:sz w:val="24"/>
          <w:szCs w:val="24"/>
        </w:rPr>
        <w:t>脱</w:t>
      </w:r>
      <w:proofErr w:type="gramEnd"/>
      <w:r>
        <w:rPr>
          <w:rFonts w:ascii="Times New Roman" w:eastAsia="楷体" w:hAnsi="Times New Roman" w:hint="eastAsia"/>
          <w:color w:val="2E74B5" w:themeColor="accent1" w:themeShade="BF"/>
          <w:sz w:val="24"/>
          <w:szCs w:val="24"/>
        </w:rPr>
        <w:t>瓶颈</w:t>
      </w:r>
      <w:r w:rsidRPr="004901AF">
        <w:rPr>
          <w:rFonts w:ascii="Times New Roman" w:eastAsia="楷体" w:hAnsi="Times New Roman" w:hint="eastAsia"/>
          <w:color w:val="2E74B5" w:themeColor="accent1" w:themeShade="BF"/>
          <w:sz w:val="24"/>
          <w:szCs w:val="24"/>
        </w:rPr>
        <w:t>，</w:t>
      </w:r>
      <w:r w:rsidR="009118C4">
        <w:rPr>
          <w:rFonts w:ascii="Times New Roman" w:eastAsia="楷体" w:hAnsi="Times New Roman" w:hint="eastAsia"/>
          <w:color w:val="2E74B5" w:themeColor="accent1" w:themeShade="BF"/>
          <w:sz w:val="24"/>
          <w:szCs w:val="24"/>
        </w:rPr>
        <w:t>预计</w:t>
      </w:r>
      <w:r>
        <w:rPr>
          <w:rFonts w:ascii="Times New Roman" w:eastAsia="楷体" w:hAnsi="Times New Roman" w:hint="eastAsia"/>
          <w:color w:val="2E74B5" w:themeColor="accent1" w:themeShade="BF"/>
          <w:sz w:val="24"/>
          <w:szCs w:val="24"/>
        </w:rPr>
        <w:t>新增</w:t>
      </w:r>
      <w:r w:rsidRPr="004901AF">
        <w:rPr>
          <w:rFonts w:ascii="Times New Roman" w:eastAsia="楷体" w:hAnsi="Times New Roman" w:hint="eastAsia"/>
          <w:color w:val="2E74B5" w:themeColor="accent1" w:themeShade="BF"/>
          <w:sz w:val="24"/>
          <w:szCs w:val="24"/>
        </w:rPr>
        <w:t>产能</w:t>
      </w:r>
      <w:r w:rsidR="009118C4">
        <w:rPr>
          <w:rFonts w:ascii="Times New Roman" w:eastAsia="楷体" w:hAnsi="Times New Roman" w:hint="eastAsia"/>
          <w:color w:val="2E74B5" w:themeColor="accent1" w:themeShade="BF"/>
          <w:sz w:val="24"/>
          <w:szCs w:val="24"/>
        </w:rPr>
        <w:t>将于年底</w:t>
      </w:r>
      <w:r w:rsidR="0054766B">
        <w:rPr>
          <w:rFonts w:ascii="Times New Roman" w:eastAsia="楷体" w:hAnsi="Times New Roman" w:hint="eastAsia"/>
          <w:color w:val="2E74B5" w:themeColor="accent1" w:themeShade="BF"/>
          <w:sz w:val="24"/>
          <w:szCs w:val="24"/>
        </w:rPr>
        <w:t>前后释放</w:t>
      </w:r>
      <w:r w:rsidRPr="004901AF">
        <w:rPr>
          <w:rFonts w:ascii="Times New Roman" w:eastAsia="楷体" w:hAnsi="Times New Roman" w:hint="eastAsia"/>
          <w:color w:val="2E74B5" w:themeColor="accent1" w:themeShade="BF"/>
          <w:sz w:val="24"/>
          <w:szCs w:val="24"/>
        </w:rPr>
        <w:t>。</w:t>
      </w:r>
      <w:r w:rsidR="003A19B4">
        <w:rPr>
          <w:rFonts w:ascii="Times New Roman" w:eastAsia="楷体" w:hAnsi="Times New Roman" w:hint="eastAsia"/>
          <w:color w:val="2E74B5" w:themeColor="accent1" w:themeShade="BF"/>
          <w:sz w:val="24"/>
          <w:szCs w:val="24"/>
        </w:rPr>
        <w:t>在未来，</w:t>
      </w:r>
      <w:r w:rsidR="00182F38">
        <w:rPr>
          <w:rFonts w:ascii="Times New Roman" w:eastAsia="楷体" w:hAnsi="Times New Roman" w:hint="eastAsia"/>
          <w:color w:val="2E74B5" w:themeColor="accent1" w:themeShade="BF"/>
          <w:sz w:val="24"/>
          <w:szCs w:val="24"/>
        </w:rPr>
        <w:t>公司</w:t>
      </w:r>
      <w:r w:rsidR="003A19B4">
        <w:rPr>
          <w:rFonts w:ascii="Times New Roman" w:eastAsia="楷体" w:hAnsi="Times New Roman" w:hint="eastAsia"/>
          <w:color w:val="2E74B5" w:themeColor="accent1" w:themeShade="BF"/>
          <w:sz w:val="24"/>
          <w:szCs w:val="24"/>
        </w:rPr>
        <w:t>也将根据市场需求</w:t>
      </w:r>
      <w:r w:rsidR="00325F7F">
        <w:rPr>
          <w:rFonts w:ascii="Times New Roman" w:eastAsia="楷体" w:hAnsi="Times New Roman" w:hint="eastAsia"/>
          <w:color w:val="2E74B5" w:themeColor="accent1" w:themeShade="BF"/>
          <w:sz w:val="24"/>
          <w:szCs w:val="24"/>
        </w:rPr>
        <w:t>逐步开展</w:t>
      </w:r>
      <w:r w:rsidR="00182F38">
        <w:rPr>
          <w:rFonts w:ascii="Times New Roman" w:eastAsia="楷体" w:hAnsi="Times New Roman" w:hint="eastAsia"/>
          <w:color w:val="2E74B5" w:themeColor="accent1" w:themeShade="BF"/>
          <w:sz w:val="24"/>
          <w:szCs w:val="24"/>
        </w:rPr>
        <w:t>对</w:t>
      </w:r>
      <w:r w:rsidR="00AC524E">
        <w:rPr>
          <w:rFonts w:ascii="Times New Roman" w:eastAsia="楷体" w:hAnsi="Times New Roman" w:hint="eastAsia"/>
          <w:color w:val="2E74B5" w:themeColor="accent1" w:themeShade="BF"/>
          <w:sz w:val="24"/>
          <w:szCs w:val="24"/>
        </w:rPr>
        <w:t>其他</w:t>
      </w:r>
      <w:r w:rsidR="00182F38">
        <w:rPr>
          <w:rFonts w:ascii="Times New Roman" w:eastAsia="楷体" w:hAnsi="Times New Roman" w:hint="eastAsia"/>
          <w:color w:val="2E74B5" w:themeColor="accent1" w:themeShade="BF"/>
          <w:sz w:val="24"/>
          <w:szCs w:val="24"/>
        </w:rPr>
        <w:t>现有产能实施脱瓶颈改造，</w:t>
      </w:r>
      <w:r w:rsidR="00182F38" w:rsidRPr="004901AF">
        <w:rPr>
          <w:rFonts w:ascii="Times New Roman" w:eastAsia="楷体" w:hAnsi="Times New Roman" w:hint="eastAsia"/>
          <w:color w:val="2E74B5" w:themeColor="accent1" w:themeShade="BF"/>
          <w:sz w:val="24"/>
          <w:szCs w:val="24"/>
        </w:rPr>
        <w:t>通过少量设备升级或负荷调整快速提升产能</w:t>
      </w:r>
      <w:r w:rsidR="00182F38" w:rsidRPr="00182F38">
        <w:rPr>
          <w:rFonts w:ascii="Times New Roman" w:eastAsia="楷体" w:hAnsi="Times New Roman" w:hint="eastAsia"/>
          <w:color w:val="2E74B5" w:themeColor="accent1" w:themeShade="BF"/>
          <w:sz w:val="24"/>
          <w:szCs w:val="24"/>
        </w:rPr>
        <w:t>，此举基于三重</w:t>
      </w:r>
      <w:proofErr w:type="gramStart"/>
      <w:r w:rsidR="00182F38" w:rsidRPr="00182F38">
        <w:rPr>
          <w:rFonts w:ascii="Times New Roman" w:eastAsia="楷体" w:hAnsi="Times New Roman" w:hint="eastAsia"/>
          <w:color w:val="2E74B5" w:themeColor="accent1" w:themeShade="BF"/>
          <w:sz w:val="24"/>
          <w:szCs w:val="24"/>
        </w:rPr>
        <w:t>考量</w:t>
      </w:r>
      <w:proofErr w:type="gramEnd"/>
      <w:r w:rsidR="00182F38" w:rsidRPr="00182F38">
        <w:rPr>
          <w:rFonts w:ascii="Times New Roman" w:eastAsia="楷体" w:hAnsi="Times New Roman" w:hint="eastAsia"/>
          <w:color w:val="2E74B5" w:themeColor="accent1" w:themeShade="BF"/>
          <w:sz w:val="24"/>
          <w:szCs w:val="24"/>
        </w:rPr>
        <w:t>：一是</w:t>
      </w:r>
      <w:r w:rsidR="00182F38">
        <w:rPr>
          <w:rFonts w:ascii="Times New Roman" w:eastAsia="楷体" w:hAnsi="Times New Roman" w:hint="eastAsia"/>
          <w:color w:val="2E74B5" w:themeColor="accent1" w:themeShade="BF"/>
          <w:sz w:val="24"/>
          <w:szCs w:val="24"/>
        </w:rPr>
        <w:t>脱瓶颈项目</w:t>
      </w:r>
      <w:r w:rsidR="00182F38" w:rsidRPr="00182F38">
        <w:rPr>
          <w:rFonts w:ascii="Times New Roman" w:eastAsia="楷体" w:hAnsi="Times New Roman" w:hint="eastAsia"/>
          <w:color w:val="2E74B5" w:themeColor="accent1" w:themeShade="BF"/>
          <w:sz w:val="24"/>
          <w:szCs w:val="24"/>
        </w:rPr>
        <w:t>具有低成本、高效率的特点，可通过少量设备调整快速提升现有产能；二是通过强化中国与</w:t>
      </w:r>
      <w:r w:rsidR="00182F38">
        <w:rPr>
          <w:rFonts w:ascii="Times New Roman" w:eastAsia="楷体" w:hAnsi="Times New Roman" w:hint="eastAsia"/>
          <w:color w:val="2E74B5" w:themeColor="accent1" w:themeShade="BF"/>
          <w:sz w:val="24"/>
          <w:szCs w:val="24"/>
        </w:rPr>
        <w:t>欧洲</w:t>
      </w:r>
      <w:r w:rsidR="00182F38" w:rsidRPr="00182F38">
        <w:rPr>
          <w:rFonts w:ascii="Times New Roman" w:eastAsia="楷体" w:hAnsi="Times New Roman" w:hint="eastAsia"/>
          <w:color w:val="2E74B5" w:themeColor="accent1" w:themeShade="BF"/>
          <w:sz w:val="24"/>
          <w:szCs w:val="24"/>
        </w:rPr>
        <w:t>双平台布局，并筹备第三平台，有效对冲地缘政治及关税风险；三是全球禽类（尤其是鸡蛋）需求持续增长，推动蛋氨</w:t>
      </w:r>
      <w:proofErr w:type="gramStart"/>
      <w:r w:rsidR="00182F38" w:rsidRPr="00182F38">
        <w:rPr>
          <w:rFonts w:ascii="Times New Roman" w:eastAsia="楷体" w:hAnsi="Times New Roman" w:hint="eastAsia"/>
          <w:color w:val="2E74B5" w:themeColor="accent1" w:themeShade="BF"/>
          <w:sz w:val="24"/>
          <w:szCs w:val="24"/>
        </w:rPr>
        <w:t>酸市场</w:t>
      </w:r>
      <w:proofErr w:type="gramEnd"/>
      <w:r w:rsidR="00182F38" w:rsidRPr="00182F38">
        <w:rPr>
          <w:rFonts w:ascii="Times New Roman" w:eastAsia="楷体" w:hAnsi="Times New Roman" w:hint="eastAsia"/>
          <w:color w:val="2E74B5" w:themeColor="accent1" w:themeShade="BF"/>
          <w:sz w:val="24"/>
          <w:szCs w:val="24"/>
        </w:rPr>
        <w:t>扩容，作为行业领导者需保持产能领先地位。</w:t>
      </w:r>
      <w:r w:rsidR="00182F38">
        <w:rPr>
          <w:rFonts w:ascii="Times New Roman" w:eastAsia="楷体" w:hAnsi="Times New Roman" w:hint="eastAsia"/>
          <w:color w:val="2E74B5" w:themeColor="accent1" w:themeShade="BF"/>
          <w:sz w:val="24"/>
          <w:szCs w:val="24"/>
        </w:rPr>
        <w:t>安迪苏</w:t>
      </w:r>
      <w:r w:rsidR="00501986">
        <w:rPr>
          <w:rFonts w:ascii="Times New Roman" w:eastAsia="楷体" w:hAnsi="Times New Roman" w:hint="eastAsia"/>
          <w:color w:val="2E74B5" w:themeColor="accent1" w:themeShade="BF"/>
          <w:sz w:val="24"/>
          <w:szCs w:val="24"/>
        </w:rPr>
        <w:t>将继续</w:t>
      </w:r>
      <w:r w:rsidR="00182F38" w:rsidRPr="00182F38">
        <w:rPr>
          <w:rFonts w:ascii="Times New Roman" w:eastAsia="楷体" w:hAnsi="Times New Roman" w:hint="eastAsia"/>
          <w:color w:val="2E74B5" w:themeColor="accent1" w:themeShade="BF"/>
          <w:sz w:val="24"/>
          <w:szCs w:val="24"/>
        </w:rPr>
        <w:t>通过灵活策略持续扩大产能以满足市场需求。</w:t>
      </w:r>
      <w:r w:rsidR="00182F38">
        <w:rPr>
          <w:rFonts w:ascii="Times New Roman" w:eastAsia="楷体" w:hAnsi="Times New Roman" w:hint="eastAsia"/>
          <w:color w:val="2E74B5" w:themeColor="accent1" w:themeShade="BF"/>
          <w:sz w:val="24"/>
          <w:szCs w:val="24"/>
        </w:rPr>
        <w:t xml:space="preserve"> </w:t>
      </w:r>
    </w:p>
    <w:p w14:paraId="101DD0C5" w14:textId="1506F52E" w:rsidR="004901AF" w:rsidRPr="00182F38" w:rsidRDefault="00713717" w:rsidP="00182F38">
      <w:pPr>
        <w:pStyle w:val="a8"/>
        <w:ind w:left="434" w:firstLine="48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作为“双支柱</w:t>
      </w:r>
      <w:r w:rsidR="004901AF" w:rsidRPr="00182F38">
        <w:rPr>
          <w:rFonts w:ascii="Times New Roman" w:eastAsia="楷体" w:hAnsi="Times New Roman" w:hint="eastAsia"/>
          <w:color w:val="2E74B5" w:themeColor="accent1" w:themeShade="BF"/>
          <w:sz w:val="24"/>
          <w:szCs w:val="24"/>
        </w:rPr>
        <w:t>战略</w:t>
      </w:r>
      <w:r>
        <w:rPr>
          <w:rFonts w:ascii="Times New Roman" w:eastAsia="楷体" w:hAnsi="Times New Roman" w:hint="eastAsia"/>
          <w:color w:val="2E74B5" w:themeColor="accent1" w:themeShade="BF"/>
          <w:sz w:val="24"/>
          <w:szCs w:val="24"/>
        </w:rPr>
        <w:t>”</w:t>
      </w:r>
      <w:r w:rsidR="00983A84">
        <w:rPr>
          <w:rFonts w:ascii="Times New Roman" w:eastAsia="楷体" w:hAnsi="Times New Roman" w:hint="eastAsia"/>
          <w:color w:val="2E74B5" w:themeColor="accent1" w:themeShade="BF"/>
          <w:sz w:val="24"/>
          <w:szCs w:val="24"/>
        </w:rPr>
        <w:t>之一的“</w:t>
      </w:r>
      <w:r w:rsidR="00980998">
        <w:rPr>
          <w:rFonts w:ascii="Times New Roman" w:eastAsia="楷体" w:hAnsi="Times New Roman" w:hint="eastAsia"/>
          <w:color w:val="2E74B5" w:themeColor="accent1" w:themeShade="BF"/>
          <w:sz w:val="24"/>
          <w:szCs w:val="24"/>
        </w:rPr>
        <w:t>巩固</w:t>
      </w:r>
      <w:r w:rsidR="00983A84">
        <w:rPr>
          <w:rFonts w:ascii="Times New Roman" w:eastAsia="楷体" w:hAnsi="Times New Roman" w:hint="eastAsia"/>
          <w:color w:val="2E74B5" w:themeColor="accent1" w:themeShade="BF"/>
          <w:sz w:val="24"/>
          <w:szCs w:val="24"/>
        </w:rPr>
        <w:t>蛋氨酸行业领导地位</w:t>
      </w:r>
      <w:r w:rsidR="00980998">
        <w:rPr>
          <w:rFonts w:ascii="Times New Roman" w:eastAsia="楷体" w:hAnsi="Times New Roman" w:hint="eastAsia"/>
          <w:color w:val="2E74B5" w:themeColor="accent1" w:themeShade="BF"/>
          <w:sz w:val="24"/>
          <w:szCs w:val="24"/>
        </w:rPr>
        <w:t>”</w:t>
      </w:r>
      <w:r w:rsidR="005D2B84">
        <w:rPr>
          <w:rFonts w:ascii="Times New Roman" w:eastAsia="楷体" w:hAnsi="Times New Roman" w:hint="eastAsia"/>
          <w:color w:val="2E74B5" w:themeColor="accent1" w:themeShade="BF"/>
          <w:sz w:val="24"/>
          <w:szCs w:val="24"/>
        </w:rPr>
        <w:t>的必要产业支撑</w:t>
      </w:r>
      <w:r w:rsidR="004901AF" w:rsidRPr="00182F38">
        <w:rPr>
          <w:rFonts w:ascii="Times New Roman" w:eastAsia="楷体" w:hAnsi="Times New Roman" w:hint="eastAsia"/>
          <w:color w:val="2E74B5" w:themeColor="accent1" w:themeShade="BF"/>
          <w:sz w:val="24"/>
          <w:szCs w:val="24"/>
        </w:rPr>
        <w:t>，</w:t>
      </w:r>
      <w:r w:rsidR="005D2B84">
        <w:rPr>
          <w:rFonts w:ascii="Times New Roman" w:eastAsia="楷体" w:hAnsi="Times New Roman" w:hint="eastAsia"/>
          <w:color w:val="2E74B5" w:themeColor="accent1" w:themeShade="BF"/>
          <w:sz w:val="24"/>
          <w:szCs w:val="24"/>
        </w:rPr>
        <w:t>公司未来需要</w:t>
      </w:r>
      <w:r w:rsidR="00683559">
        <w:rPr>
          <w:rFonts w:ascii="Times New Roman" w:eastAsia="楷体" w:hAnsi="Times New Roman" w:hint="eastAsia"/>
          <w:color w:val="2E74B5" w:themeColor="accent1" w:themeShade="BF"/>
          <w:sz w:val="24"/>
          <w:szCs w:val="24"/>
        </w:rPr>
        <w:t>在全球范围内</w:t>
      </w:r>
      <w:r w:rsidR="00841436">
        <w:rPr>
          <w:rFonts w:ascii="Times New Roman" w:eastAsia="楷体" w:hAnsi="Times New Roman" w:hint="eastAsia"/>
          <w:color w:val="2E74B5" w:themeColor="accent1" w:themeShade="BF"/>
          <w:sz w:val="24"/>
          <w:szCs w:val="24"/>
        </w:rPr>
        <w:t>选择合适的地区</w:t>
      </w:r>
      <w:r w:rsidR="004901AF" w:rsidRPr="00182F38">
        <w:rPr>
          <w:rFonts w:ascii="Times New Roman" w:eastAsia="楷体" w:hAnsi="Times New Roman" w:hint="eastAsia"/>
          <w:color w:val="2E74B5" w:themeColor="accent1" w:themeShade="BF"/>
          <w:sz w:val="24"/>
          <w:szCs w:val="24"/>
        </w:rPr>
        <w:t>通过新建绿地项目满足市场需求</w:t>
      </w:r>
      <w:r w:rsidR="00683559">
        <w:rPr>
          <w:rFonts w:ascii="Times New Roman" w:eastAsia="楷体" w:hAnsi="Times New Roman" w:hint="eastAsia"/>
          <w:color w:val="2E74B5" w:themeColor="accent1" w:themeShade="BF"/>
          <w:sz w:val="24"/>
          <w:szCs w:val="24"/>
        </w:rPr>
        <w:t>，</w:t>
      </w:r>
      <w:r w:rsidR="00CD2531">
        <w:rPr>
          <w:rFonts w:ascii="Times New Roman" w:eastAsia="楷体" w:hAnsi="Times New Roman" w:hint="eastAsia"/>
          <w:color w:val="2E74B5" w:themeColor="accent1" w:themeShade="BF"/>
          <w:sz w:val="24"/>
          <w:szCs w:val="24"/>
        </w:rPr>
        <w:t>即</w:t>
      </w:r>
      <w:r w:rsidR="004901AF" w:rsidRPr="00182F38">
        <w:rPr>
          <w:rFonts w:ascii="Times New Roman" w:eastAsia="楷体" w:hAnsi="Times New Roman" w:hint="eastAsia"/>
          <w:color w:val="2E74B5" w:themeColor="accent1" w:themeShade="BF"/>
          <w:sz w:val="24"/>
          <w:szCs w:val="24"/>
        </w:rPr>
        <w:t>将根据市场动态适时启动新项目建设。</w:t>
      </w:r>
    </w:p>
    <w:p w14:paraId="17A44FC1" w14:textId="77777777" w:rsidR="00182F38" w:rsidRDefault="00182F38" w:rsidP="004901AF">
      <w:pPr>
        <w:pStyle w:val="a8"/>
        <w:ind w:left="434" w:firstLine="480"/>
        <w:rPr>
          <w:rFonts w:ascii="Times New Roman" w:eastAsia="楷体" w:hAnsi="Times New Roman"/>
          <w:color w:val="2E74B5" w:themeColor="accent1" w:themeShade="BF"/>
          <w:sz w:val="24"/>
          <w:szCs w:val="24"/>
        </w:rPr>
      </w:pPr>
    </w:p>
    <w:p w14:paraId="3E7D5D43" w14:textId="2FB95E34" w:rsidR="006B0756" w:rsidRDefault="00D017CA" w:rsidP="006B0756">
      <w:pPr>
        <w:pStyle w:val="a8"/>
        <w:numPr>
          <w:ilvl w:val="3"/>
          <w:numId w:val="1"/>
        </w:numPr>
        <w:ind w:left="434" w:firstLineChars="0"/>
        <w:rPr>
          <w:rFonts w:ascii="Times New Roman" w:eastAsia="楷体" w:hAnsi="Times New Roman"/>
          <w:sz w:val="24"/>
          <w:szCs w:val="24"/>
        </w:rPr>
      </w:pPr>
      <w:r w:rsidRPr="00D017CA">
        <w:rPr>
          <w:rFonts w:ascii="Times New Roman" w:eastAsia="楷体" w:hAnsi="Times New Roman" w:hint="eastAsia"/>
          <w:sz w:val="24"/>
          <w:szCs w:val="24"/>
        </w:rPr>
        <w:t>泉州工厂与南京工厂成本对比？</w:t>
      </w:r>
    </w:p>
    <w:p w14:paraId="57B9E8B2" w14:textId="6E38C22E" w:rsidR="00D017CA" w:rsidRDefault="00D017CA" w:rsidP="00D017CA">
      <w:pPr>
        <w:pStyle w:val="a8"/>
        <w:ind w:left="434" w:firstLine="480"/>
        <w:rPr>
          <w:rFonts w:ascii="Times New Roman" w:eastAsia="楷体" w:hAnsi="Times New Roman"/>
          <w:color w:val="2E74B5" w:themeColor="accent1" w:themeShade="BF"/>
          <w:sz w:val="24"/>
          <w:szCs w:val="24"/>
        </w:rPr>
      </w:pPr>
      <w:r w:rsidRPr="00D017CA">
        <w:rPr>
          <w:rFonts w:ascii="Times New Roman" w:eastAsia="楷体" w:hAnsi="Times New Roman" w:hint="eastAsia"/>
          <w:color w:val="2E74B5" w:themeColor="accent1" w:themeShade="BF"/>
          <w:sz w:val="24"/>
          <w:szCs w:val="24"/>
        </w:rPr>
        <w:t>泉州项目聚焦固体</w:t>
      </w:r>
      <w:r>
        <w:rPr>
          <w:rFonts w:ascii="Times New Roman" w:eastAsia="楷体" w:hAnsi="Times New Roman" w:hint="eastAsia"/>
          <w:color w:val="2E74B5" w:themeColor="accent1" w:themeShade="BF"/>
          <w:sz w:val="24"/>
          <w:szCs w:val="24"/>
        </w:rPr>
        <w:t>蛋氨酸生产</w:t>
      </w:r>
      <w:r w:rsidRPr="00D017CA">
        <w:rPr>
          <w:rFonts w:ascii="Times New Roman" w:eastAsia="楷体" w:hAnsi="Times New Roman" w:hint="eastAsia"/>
          <w:color w:val="2E74B5" w:themeColor="accent1" w:themeShade="BF"/>
          <w:sz w:val="24"/>
          <w:szCs w:val="24"/>
        </w:rPr>
        <w:t>，与南京现有的液体</w:t>
      </w:r>
      <w:r>
        <w:rPr>
          <w:rFonts w:ascii="Times New Roman" w:eastAsia="楷体" w:hAnsi="Times New Roman" w:hint="eastAsia"/>
          <w:color w:val="2E74B5" w:themeColor="accent1" w:themeShade="BF"/>
          <w:sz w:val="24"/>
          <w:szCs w:val="24"/>
        </w:rPr>
        <w:t>蛋氨酸</w:t>
      </w:r>
      <w:r w:rsidRPr="00D017CA">
        <w:rPr>
          <w:rFonts w:ascii="Times New Roman" w:eastAsia="楷体" w:hAnsi="Times New Roman" w:hint="eastAsia"/>
          <w:color w:val="2E74B5" w:themeColor="accent1" w:themeShade="BF"/>
          <w:sz w:val="24"/>
          <w:szCs w:val="24"/>
        </w:rPr>
        <w:t>形成差异化</w:t>
      </w:r>
      <w:r w:rsidRPr="00D017CA">
        <w:rPr>
          <w:rFonts w:ascii="Times New Roman" w:eastAsia="楷体" w:hAnsi="Times New Roman" w:hint="eastAsia"/>
          <w:color w:val="2E74B5" w:themeColor="accent1" w:themeShade="BF"/>
          <w:sz w:val="24"/>
          <w:szCs w:val="24"/>
        </w:rPr>
        <w:lastRenderedPageBreak/>
        <w:t>布局，二者虽属不同产品形态，</w:t>
      </w:r>
      <w:r>
        <w:rPr>
          <w:rFonts w:ascii="Times New Roman" w:eastAsia="楷体" w:hAnsi="Times New Roman" w:hint="eastAsia"/>
          <w:color w:val="2E74B5" w:themeColor="accent1" w:themeShade="BF"/>
          <w:sz w:val="24"/>
          <w:szCs w:val="24"/>
        </w:rPr>
        <w:t>前端</w:t>
      </w:r>
      <w:r w:rsidRPr="00D017CA">
        <w:rPr>
          <w:rFonts w:ascii="Times New Roman" w:eastAsia="楷体" w:hAnsi="Times New Roman" w:hint="eastAsia"/>
          <w:color w:val="2E74B5" w:themeColor="accent1" w:themeShade="BF"/>
          <w:sz w:val="24"/>
          <w:szCs w:val="24"/>
        </w:rPr>
        <w:t>生产工艺高度重合，仅</w:t>
      </w:r>
      <w:r>
        <w:rPr>
          <w:rFonts w:ascii="Times New Roman" w:eastAsia="楷体" w:hAnsi="Times New Roman" w:hint="eastAsia"/>
          <w:color w:val="2E74B5" w:themeColor="accent1" w:themeShade="BF"/>
          <w:sz w:val="24"/>
          <w:szCs w:val="24"/>
        </w:rPr>
        <w:t>中间品（</w:t>
      </w:r>
      <w:r>
        <w:rPr>
          <w:rFonts w:ascii="Times New Roman" w:eastAsia="楷体" w:hAnsi="Times New Roman" w:hint="eastAsia"/>
          <w:color w:val="2E74B5" w:themeColor="accent1" w:themeShade="BF"/>
          <w:sz w:val="24"/>
          <w:szCs w:val="24"/>
        </w:rPr>
        <w:t>MMP</w:t>
      </w:r>
      <w:r>
        <w:rPr>
          <w:rFonts w:ascii="Times New Roman" w:eastAsia="楷体" w:hAnsi="Times New Roman" w:hint="eastAsia"/>
          <w:color w:val="2E74B5" w:themeColor="accent1" w:themeShade="BF"/>
          <w:sz w:val="24"/>
          <w:szCs w:val="24"/>
        </w:rPr>
        <w:t>）后</w:t>
      </w:r>
      <w:r w:rsidR="00CD2531">
        <w:rPr>
          <w:rFonts w:ascii="Times New Roman" w:eastAsia="楷体" w:hAnsi="Times New Roman" w:hint="eastAsia"/>
          <w:color w:val="2E74B5" w:themeColor="accent1" w:themeShade="BF"/>
          <w:sz w:val="24"/>
          <w:szCs w:val="24"/>
        </w:rPr>
        <w:t>下游工艺</w:t>
      </w:r>
      <w:r w:rsidRPr="00D017CA">
        <w:rPr>
          <w:rFonts w:ascii="Times New Roman" w:eastAsia="楷体" w:hAnsi="Times New Roman" w:hint="eastAsia"/>
          <w:color w:val="2E74B5" w:themeColor="accent1" w:themeShade="BF"/>
          <w:sz w:val="24"/>
          <w:szCs w:val="24"/>
        </w:rPr>
        <w:t>环节存在差异。关于经济效益，因固体与液体产品的生产成本及市场价格体系不同，暂无法直接横向比较效益优劣。公司</w:t>
      </w:r>
      <w:proofErr w:type="gramStart"/>
      <w:r w:rsidRPr="00D017CA">
        <w:rPr>
          <w:rFonts w:ascii="Times New Roman" w:eastAsia="楷体" w:hAnsi="Times New Roman" w:hint="eastAsia"/>
          <w:color w:val="2E74B5" w:themeColor="accent1" w:themeShade="BF"/>
          <w:sz w:val="24"/>
          <w:szCs w:val="24"/>
        </w:rPr>
        <w:t>在</w:t>
      </w:r>
      <w:r w:rsidR="00701205">
        <w:rPr>
          <w:rFonts w:ascii="Times New Roman" w:eastAsia="楷体" w:hAnsi="Times New Roman" w:hint="eastAsia"/>
          <w:color w:val="2E74B5" w:themeColor="accent1" w:themeShade="BF"/>
          <w:sz w:val="24"/>
          <w:szCs w:val="24"/>
        </w:rPr>
        <w:t>定增</w:t>
      </w:r>
      <w:r w:rsidR="002A7576">
        <w:rPr>
          <w:rFonts w:ascii="Times New Roman" w:eastAsia="楷体" w:hAnsi="Times New Roman" w:hint="eastAsia"/>
          <w:color w:val="2E74B5" w:themeColor="accent1" w:themeShade="BF"/>
          <w:sz w:val="24"/>
          <w:szCs w:val="24"/>
        </w:rPr>
        <w:t>募集</w:t>
      </w:r>
      <w:proofErr w:type="gramEnd"/>
      <w:r w:rsidR="002A7576">
        <w:rPr>
          <w:rFonts w:ascii="Times New Roman" w:eastAsia="楷体" w:hAnsi="Times New Roman" w:hint="eastAsia"/>
          <w:color w:val="2E74B5" w:themeColor="accent1" w:themeShade="BF"/>
          <w:sz w:val="24"/>
          <w:szCs w:val="24"/>
        </w:rPr>
        <w:t>报告书</w:t>
      </w:r>
      <w:r w:rsidRPr="00D017CA">
        <w:rPr>
          <w:rFonts w:ascii="Times New Roman" w:eastAsia="楷体" w:hAnsi="Times New Roman" w:hint="eastAsia"/>
          <w:color w:val="2E74B5" w:themeColor="accent1" w:themeShade="BF"/>
          <w:sz w:val="24"/>
          <w:szCs w:val="24"/>
        </w:rPr>
        <w:t>中披露</w:t>
      </w:r>
      <w:r w:rsidR="002A7576">
        <w:rPr>
          <w:rFonts w:ascii="Times New Roman" w:eastAsia="楷体" w:hAnsi="Times New Roman" w:hint="eastAsia"/>
          <w:color w:val="2E74B5" w:themeColor="accent1" w:themeShade="BF"/>
          <w:sz w:val="24"/>
          <w:szCs w:val="24"/>
        </w:rPr>
        <w:t>了</w:t>
      </w:r>
      <w:r w:rsidRPr="00D017CA">
        <w:rPr>
          <w:rFonts w:ascii="Times New Roman" w:eastAsia="楷体" w:hAnsi="Times New Roman" w:hint="eastAsia"/>
          <w:color w:val="2E74B5" w:themeColor="accent1" w:themeShade="BF"/>
          <w:sz w:val="24"/>
          <w:szCs w:val="24"/>
        </w:rPr>
        <w:t>固体</w:t>
      </w:r>
      <w:r>
        <w:rPr>
          <w:rFonts w:ascii="Times New Roman" w:eastAsia="楷体" w:hAnsi="Times New Roman" w:hint="eastAsia"/>
          <w:color w:val="2E74B5" w:themeColor="accent1" w:themeShade="BF"/>
          <w:sz w:val="24"/>
          <w:szCs w:val="24"/>
        </w:rPr>
        <w:t>蛋氨</w:t>
      </w:r>
      <w:proofErr w:type="gramStart"/>
      <w:r>
        <w:rPr>
          <w:rFonts w:ascii="Times New Roman" w:eastAsia="楷体" w:hAnsi="Times New Roman" w:hint="eastAsia"/>
          <w:color w:val="2E74B5" w:themeColor="accent1" w:themeShade="BF"/>
          <w:sz w:val="24"/>
          <w:szCs w:val="24"/>
        </w:rPr>
        <w:t>酸</w:t>
      </w:r>
      <w:r w:rsidRPr="00D017CA">
        <w:rPr>
          <w:rFonts w:ascii="Times New Roman" w:eastAsia="楷体" w:hAnsi="Times New Roman" w:hint="eastAsia"/>
          <w:color w:val="2E74B5" w:themeColor="accent1" w:themeShade="BF"/>
          <w:sz w:val="24"/>
          <w:szCs w:val="24"/>
        </w:rPr>
        <w:t>相关</w:t>
      </w:r>
      <w:proofErr w:type="gramEnd"/>
      <w:r w:rsidRPr="00D017CA">
        <w:rPr>
          <w:rFonts w:ascii="Times New Roman" w:eastAsia="楷体" w:hAnsi="Times New Roman" w:hint="eastAsia"/>
          <w:color w:val="2E74B5" w:themeColor="accent1" w:themeShade="BF"/>
          <w:sz w:val="24"/>
          <w:szCs w:val="24"/>
        </w:rPr>
        <w:t>数据，该产品单位生产成本在行业内具备竞争优势，</w:t>
      </w:r>
      <w:r w:rsidR="00B5500B">
        <w:rPr>
          <w:rFonts w:ascii="Times New Roman" w:eastAsia="楷体" w:hAnsi="Times New Roman" w:hint="eastAsia"/>
          <w:color w:val="2E74B5" w:themeColor="accent1" w:themeShade="BF"/>
          <w:sz w:val="24"/>
          <w:szCs w:val="24"/>
        </w:rPr>
        <w:t>公司有信心实现预计的</w:t>
      </w:r>
      <w:r w:rsidRPr="00D017CA">
        <w:rPr>
          <w:rFonts w:ascii="Times New Roman" w:eastAsia="楷体" w:hAnsi="Times New Roman" w:hint="eastAsia"/>
          <w:color w:val="2E74B5" w:themeColor="accent1" w:themeShade="BF"/>
          <w:sz w:val="24"/>
          <w:szCs w:val="24"/>
        </w:rPr>
        <w:t>经济效益</w:t>
      </w:r>
      <w:r>
        <w:rPr>
          <w:rFonts w:ascii="Times New Roman" w:eastAsia="楷体" w:hAnsi="Times New Roman" w:hint="eastAsia"/>
          <w:color w:val="2E74B5" w:themeColor="accent1" w:themeShade="BF"/>
          <w:sz w:val="24"/>
          <w:szCs w:val="24"/>
        </w:rPr>
        <w:t>。</w:t>
      </w:r>
    </w:p>
    <w:p w14:paraId="316BE27A" w14:textId="77777777" w:rsidR="00316F3F" w:rsidRDefault="00316F3F" w:rsidP="00D017CA">
      <w:pPr>
        <w:pStyle w:val="a8"/>
        <w:ind w:left="434" w:firstLine="480"/>
        <w:rPr>
          <w:rFonts w:ascii="Times New Roman" w:eastAsia="楷体" w:hAnsi="Times New Roman"/>
          <w:color w:val="2E74B5" w:themeColor="accent1" w:themeShade="BF"/>
          <w:sz w:val="24"/>
          <w:szCs w:val="24"/>
        </w:rPr>
      </w:pPr>
    </w:p>
    <w:p w14:paraId="26F11793" w14:textId="6A6D2E0D" w:rsidR="00316F3F" w:rsidRPr="00316F3F" w:rsidRDefault="00316F3F" w:rsidP="00316F3F">
      <w:pPr>
        <w:pStyle w:val="a8"/>
        <w:numPr>
          <w:ilvl w:val="3"/>
          <w:numId w:val="1"/>
        </w:numPr>
        <w:ind w:left="434" w:firstLineChars="0"/>
        <w:rPr>
          <w:rFonts w:ascii="Times New Roman" w:eastAsia="楷体" w:hAnsi="Times New Roman"/>
          <w:sz w:val="24"/>
          <w:szCs w:val="24"/>
        </w:rPr>
      </w:pPr>
      <w:r w:rsidRPr="00316F3F">
        <w:rPr>
          <w:rFonts w:ascii="Times New Roman" w:eastAsia="楷体" w:hAnsi="Times New Roman" w:hint="eastAsia"/>
          <w:sz w:val="24"/>
          <w:szCs w:val="24"/>
        </w:rPr>
        <w:t>公司双支柱战略中的第二支柱的特种产品未来发展前景和市场容量？</w:t>
      </w:r>
    </w:p>
    <w:p w14:paraId="0E2BC5C8" w14:textId="62076199" w:rsidR="00D017CA" w:rsidRDefault="00B42433" w:rsidP="00B42433">
      <w:pPr>
        <w:pStyle w:val="a8"/>
        <w:ind w:left="434" w:firstLine="480"/>
        <w:rPr>
          <w:rFonts w:ascii="Times New Roman" w:eastAsia="楷体" w:hAnsi="Times New Roman"/>
          <w:color w:val="2E74B5" w:themeColor="accent1" w:themeShade="BF"/>
          <w:sz w:val="24"/>
          <w:szCs w:val="24"/>
        </w:rPr>
      </w:pPr>
      <w:r w:rsidRPr="00634280">
        <w:rPr>
          <w:rFonts w:ascii="Times New Roman" w:eastAsia="楷体" w:hAnsi="Times New Roman" w:hint="eastAsia"/>
          <w:color w:val="2E74B5" w:themeColor="accent1" w:themeShade="BF"/>
          <w:sz w:val="24"/>
          <w:szCs w:val="24"/>
        </w:rPr>
        <w:t>安迪苏在特种产品领域布局多元，包含产品类达</w:t>
      </w:r>
      <w:r w:rsidR="002A7576">
        <w:rPr>
          <w:rFonts w:ascii="Times New Roman" w:eastAsia="楷体" w:hAnsi="Times New Roman" w:hint="eastAsia"/>
          <w:color w:val="2E74B5" w:themeColor="accent1" w:themeShade="BF"/>
          <w:sz w:val="24"/>
          <w:szCs w:val="24"/>
        </w:rPr>
        <w:t>数百</w:t>
      </w:r>
      <w:r w:rsidRPr="00634280">
        <w:rPr>
          <w:rFonts w:ascii="Times New Roman" w:eastAsia="楷体" w:hAnsi="Times New Roman" w:hint="eastAsia"/>
          <w:color w:val="2E74B5" w:themeColor="accent1" w:themeShade="BF"/>
          <w:sz w:val="24"/>
          <w:szCs w:val="24"/>
        </w:rPr>
        <w:t>种，核心业务板块呈现差异化竞争优势。第一大业务贡献来自于反刍动物类产品，市场份额</w:t>
      </w:r>
      <w:proofErr w:type="gramStart"/>
      <w:r w:rsidRPr="00634280">
        <w:rPr>
          <w:rFonts w:ascii="Times New Roman" w:eastAsia="楷体" w:hAnsi="Times New Roman" w:hint="eastAsia"/>
          <w:color w:val="2E74B5" w:themeColor="accent1" w:themeShade="BF"/>
          <w:sz w:val="24"/>
          <w:szCs w:val="24"/>
        </w:rPr>
        <w:t>占比逾</w:t>
      </w:r>
      <w:proofErr w:type="gramEnd"/>
      <w:r w:rsidRPr="00634280">
        <w:rPr>
          <w:rFonts w:ascii="Times New Roman" w:eastAsia="楷体" w:hAnsi="Times New Roman" w:hint="eastAsia"/>
          <w:color w:val="2E74B5" w:themeColor="accent1" w:themeShade="BF"/>
          <w:sz w:val="24"/>
          <w:szCs w:val="24"/>
        </w:rPr>
        <w:t>50%</w:t>
      </w:r>
      <w:r w:rsidRPr="00634280">
        <w:rPr>
          <w:rFonts w:ascii="Times New Roman" w:eastAsia="楷体" w:hAnsi="Times New Roman" w:hint="eastAsia"/>
          <w:color w:val="2E74B5" w:themeColor="accent1" w:themeShade="BF"/>
          <w:sz w:val="24"/>
          <w:szCs w:val="24"/>
        </w:rPr>
        <w:t>，尽管其下游乳业市场</w:t>
      </w:r>
      <w:r w:rsidR="000B052D">
        <w:rPr>
          <w:rFonts w:ascii="Times New Roman" w:eastAsia="楷体" w:hAnsi="Times New Roman" w:hint="eastAsia"/>
          <w:color w:val="2E74B5" w:themeColor="accent1" w:themeShade="BF"/>
          <w:sz w:val="24"/>
          <w:szCs w:val="24"/>
        </w:rPr>
        <w:t>在不同的国家和区域</w:t>
      </w:r>
      <w:r w:rsidRPr="00634280">
        <w:rPr>
          <w:rFonts w:ascii="Times New Roman" w:eastAsia="楷体" w:hAnsi="Times New Roman" w:hint="eastAsia"/>
          <w:color w:val="2E74B5" w:themeColor="accent1" w:themeShade="BF"/>
          <w:sz w:val="24"/>
          <w:szCs w:val="24"/>
        </w:rPr>
        <w:t>存在</w:t>
      </w:r>
      <w:r w:rsidR="000B052D">
        <w:rPr>
          <w:rFonts w:ascii="Times New Roman" w:eastAsia="楷体" w:hAnsi="Times New Roman" w:hint="eastAsia"/>
          <w:color w:val="2E74B5" w:themeColor="accent1" w:themeShade="BF"/>
          <w:sz w:val="24"/>
          <w:szCs w:val="24"/>
        </w:rPr>
        <w:t>不同的周</w:t>
      </w:r>
      <w:r w:rsidRPr="00634280">
        <w:rPr>
          <w:rFonts w:ascii="Times New Roman" w:eastAsia="楷体" w:hAnsi="Times New Roman" w:hint="eastAsia"/>
          <w:color w:val="2E74B5" w:themeColor="accent1" w:themeShade="BF"/>
          <w:sz w:val="24"/>
          <w:szCs w:val="24"/>
        </w:rPr>
        <w:t>期性波动——如</w:t>
      </w:r>
      <w:r w:rsidR="00482281">
        <w:rPr>
          <w:rFonts w:ascii="Times New Roman" w:eastAsia="楷体" w:hAnsi="Times New Roman" w:hint="eastAsia"/>
          <w:color w:val="2E74B5" w:themeColor="accent1" w:themeShade="BF"/>
          <w:sz w:val="24"/>
          <w:szCs w:val="24"/>
        </w:rPr>
        <w:t>今年北美市场增长较快，而中</w:t>
      </w:r>
      <w:r w:rsidRPr="00634280">
        <w:rPr>
          <w:rFonts w:ascii="Times New Roman" w:eastAsia="楷体" w:hAnsi="Times New Roman" w:hint="eastAsia"/>
          <w:color w:val="2E74B5" w:themeColor="accent1" w:themeShade="BF"/>
          <w:sz w:val="24"/>
          <w:szCs w:val="24"/>
        </w:rPr>
        <w:t>国</w:t>
      </w:r>
      <w:r w:rsidR="00482281">
        <w:rPr>
          <w:rFonts w:ascii="Times New Roman" w:eastAsia="楷体" w:hAnsi="Times New Roman" w:hint="eastAsia"/>
          <w:color w:val="2E74B5" w:themeColor="accent1" w:themeShade="BF"/>
          <w:sz w:val="24"/>
          <w:szCs w:val="24"/>
        </w:rPr>
        <w:t>市场</w:t>
      </w:r>
      <w:r w:rsidR="00FF6196">
        <w:rPr>
          <w:rFonts w:ascii="Times New Roman" w:eastAsia="楷体" w:hAnsi="Times New Roman" w:hint="eastAsia"/>
          <w:color w:val="2E74B5" w:themeColor="accent1" w:themeShade="BF"/>
          <w:sz w:val="24"/>
          <w:szCs w:val="24"/>
        </w:rPr>
        <w:t>则</w:t>
      </w:r>
      <w:r w:rsidRPr="00634280">
        <w:rPr>
          <w:rFonts w:ascii="Times New Roman" w:eastAsia="楷体" w:hAnsi="Times New Roman" w:hint="eastAsia"/>
          <w:color w:val="2E74B5" w:themeColor="accent1" w:themeShade="BF"/>
          <w:sz w:val="24"/>
          <w:szCs w:val="24"/>
        </w:rPr>
        <w:t>因行业重整导致需求疲软，公司预计该调整将于明年收官</w:t>
      </w:r>
      <w:r w:rsidR="006D7C25">
        <w:rPr>
          <w:rFonts w:ascii="Times New Roman" w:eastAsia="楷体" w:hAnsi="Times New Roman" w:hint="eastAsia"/>
          <w:color w:val="2E74B5" w:themeColor="accent1" w:themeShade="BF"/>
          <w:sz w:val="24"/>
          <w:szCs w:val="24"/>
        </w:rPr>
        <w:t>。公司</w:t>
      </w:r>
      <w:r w:rsidRPr="00634280">
        <w:rPr>
          <w:rFonts w:ascii="Times New Roman" w:eastAsia="楷体" w:hAnsi="Times New Roman" w:hint="eastAsia"/>
          <w:color w:val="2E74B5" w:themeColor="accent1" w:themeShade="BF"/>
          <w:sz w:val="24"/>
          <w:szCs w:val="24"/>
        </w:rPr>
        <w:t>并拟于今年底前后推出升级</w:t>
      </w:r>
      <w:proofErr w:type="gramStart"/>
      <w:r w:rsidRPr="00634280">
        <w:rPr>
          <w:rFonts w:ascii="Times New Roman" w:eastAsia="楷体" w:hAnsi="Times New Roman" w:hint="eastAsia"/>
          <w:color w:val="2E74B5" w:themeColor="accent1" w:themeShade="BF"/>
          <w:sz w:val="24"/>
          <w:szCs w:val="24"/>
        </w:rPr>
        <w:t>版创新</w:t>
      </w:r>
      <w:proofErr w:type="gramEnd"/>
      <w:r w:rsidRPr="00634280">
        <w:rPr>
          <w:rFonts w:ascii="Times New Roman" w:eastAsia="楷体" w:hAnsi="Times New Roman" w:hint="eastAsia"/>
          <w:color w:val="2E74B5" w:themeColor="accent1" w:themeShade="BF"/>
          <w:sz w:val="24"/>
          <w:szCs w:val="24"/>
        </w:rPr>
        <w:t>产品，依托现有全球领先品质巩固行业龙头地位。第二大业务酶制剂聚焦提升饲料消化率，受益于原料成本上涨带来的市场需求激增，虽面临产品</w:t>
      </w:r>
      <w:proofErr w:type="gramStart"/>
      <w:r w:rsidRPr="00634280">
        <w:rPr>
          <w:rFonts w:ascii="Times New Roman" w:eastAsia="楷体" w:hAnsi="Times New Roman" w:hint="eastAsia"/>
          <w:color w:val="2E74B5" w:themeColor="accent1" w:themeShade="BF"/>
          <w:sz w:val="24"/>
          <w:szCs w:val="24"/>
        </w:rPr>
        <w:t>大宗化</w:t>
      </w:r>
      <w:proofErr w:type="gramEnd"/>
      <w:r w:rsidRPr="00634280">
        <w:rPr>
          <w:rFonts w:ascii="Times New Roman" w:eastAsia="楷体" w:hAnsi="Times New Roman" w:hint="eastAsia"/>
          <w:color w:val="2E74B5" w:themeColor="accent1" w:themeShade="BF"/>
          <w:sz w:val="24"/>
          <w:szCs w:val="24"/>
        </w:rPr>
        <w:t>趋势，但公司凭借</w:t>
      </w:r>
      <w:r w:rsidRPr="00634280">
        <w:rPr>
          <w:rFonts w:ascii="Times New Roman" w:eastAsia="楷体" w:hAnsi="Times New Roman" w:hint="eastAsia"/>
          <w:color w:val="2E74B5" w:themeColor="accent1" w:themeShade="BF"/>
          <w:sz w:val="24"/>
          <w:szCs w:val="24"/>
        </w:rPr>
        <w:t>25</w:t>
      </w:r>
      <w:r w:rsidRPr="00634280">
        <w:rPr>
          <w:rFonts w:ascii="Times New Roman" w:eastAsia="楷体" w:hAnsi="Times New Roman" w:hint="eastAsia"/>
          <w:color w:val="2E74B5" w:themeColor="accent1" w:themeShade="BF"/>
          <w:sz w:val="24"/>
          <w:szCs w:val="24"/>
        </w:rPr>
        <w:t>年技术积淀深耕</w:t>
      </w:r>
      <w:proofErr w:type="gramStart"/>
      <w:r w:rsidRPr="00634280">
        <w:rPr>
          <w:rFonts w:ascii="Times New Roman" w:eastAsia="楷体" w:hAnsi="Times New Roman" w:hint="eastAsia"/>
          <w:color w:val="2E74B5" w:themeColor="accent1" w:themeShade="BF"/>
          <w:sz w:val="24"/>
          <w:szCs w:val="24"/>
        </w:rPr>
        <w:t>高端非</w:t>
      </w:r>
      <w:proofErr w:type="gramEnd"/>
      <w:r w:rsidRPr="00634280">
        <w:rPr>
          <w:rFonts w:ascii="Times New Roman" w:eastAsia="楷体" w:hAnsi="Times New Roman" w:hint="eastAsia"/>
          <w:color w:val="2E74B5" w:themeColor="accent1" w:themeShade="BF"/>
          <w:sz w:val="24"/>
          <w:szCs w:val="24"/>
        </w:rPr>
        <w:t>淀粉多糖酶领域，同步推进高附加值植酸酶研发，计划未来推出两款新品，预计</w:t>
      </w:r>
      <w:r w:rsidRPr="00634280">
        <w:rPr>
          <w:rFonts w:ascii="Times New Roman" w:eastAsia="楷体" w:hAnsi="Times New Roman" w:hint="eastAsia"/>
          <w:color w:val="2E74B5" w:themeColor="accent1" w:themeShade="BF"/>
          <w:sz w:val="24"/>
          <w:szCs w:val="24"/>
        </w:rPr>
        <w:t>2027</w:t>
      </w:r>
      <w:r w:rsidRPr="00634280">
        <w:rPr>
          <w:rFonts w:ascii="Times New Roman" w:eastAsia="楷体" w:hAnsi="Times New Roman" w:hint="eastAsia"/>
          <w:color w:val="2E74B5" w:themeColor="accent1" w:themeShade="BF"/>
          <w:sz w:val="24"/>
          <w:szCs w:val="24"/>
        </w:rPr>
        <w:t>年实现显著财务增长。第三大板块围绕“营养促健康”理念展开，响应</w:t>
      </w:r>
      <w:proofErr w:type="gramStart"/>
      <w:r w:rsidRPr="00634280">
        <w:rPr>
          <w:rFonts w:ascii="Times New Roman" w:eastAsia="楷体" w:hAnsi="Times New Roman" w:hint="eastAsia"/>
          <w:color w:val="2E74B5" w:themeColor="accent1" w:themeShade="BF"/>
          <w:sz w:val="24"/>
          <w:szCs w:val="24"/>
        </w:rPr>
        <w:t>全球禁抗政策</w:t>
      </w:r>
      <w:proofErr w:type="gramEnd"/>
      <w:r w:rsidRPr="00634280">
        <w:rPr>
          <w:rFonts w:ascii="Times New Roman" w:eastAsia="楷体" w:hAnsi="Times New Roman" w:hint="eastAsia"/>
          <w:color w:val="2E74B5" w:themeColor="accent1" w:themeShade="BF"/>
          <w:sz w:val="24"/>
          <w:szCs w:val="24"/>
        </w:rPr>
        <w:t>，通过三大举措强化竞争力：加速</w:t>
      </w:r>
      <w:r w:rsidR="0080594B">
        <w:rPr>
          <w:rFonts w:ascii="Times New Roman" w:eastAsia="楷体" w:hAnsi="Times New Roman" w:hint="eastAsia"/>
          <w:color w:val="2E74B5" w:themeColor="accent1" w:themeShade="BF"/>
          <w:sz w:val="24"/>
          <w:szCs w:val="24"/>
        </w:rPr>
        <w:t>中国南京及欧洲西班牙</w:t>
      </w:r>
      <w:r w:rsidRPr="00634280">
        <w:rPr>
          <w:rFonts w:ascii="Times New Roman" w:eastAsia="楷体" w:hAnsi="Times New Roman" w:hint="eastAsia"/>
          <w:color w:val="2E74B5" w:themeColor="accent1" w:themeShade="BF"/>
          <w:sz w:val="24"/>
          <w:szCs w:val="24"/>
        </w:rPr>
        <w:t>特种加工厂等本地化产能建设；</w:t>
      </w:r>
      <w:r w:rsidR="00150284">
        <w:rPr>
          <w:rFonts w:ascii="Times New Roman" w:eastAsia="楷体" w:hAnsi="Times New Roman" w:hint="eastAsia"/>
          <w:color w:val="2E74B5" w:themeColor="accent1" w:themeShade="BF"/>
          <w:sz w:val="24"/>
          <w:szCs w:val="24"/>
        </w:rPr>
        <w:t>进一步</w:t>
      </w:r>
      <w:r w:rsidRPr="00634280">
        <w:rPr>
          <w:rFonts w:ascii="Times New Roman" w:eastAsia="楷体" w:hAnsi="Times New Roman" w:hint="eastAsia"/>
          <w:color w:val="2E74B5" w:themeColor="accent1" w:themeShade="BF"/>
          <w:sz w:val="24"/>
          <w:szCs w:val="24"/>
        </w:rPr>
        <w:t>整合</w:t>
      </w:r>
      <w:r w:rsidR="00150284">
        <w:rPr>
          <w:rFonts w:ascii="Times New Roman" w:eastAsia="楷体" w:hAnsi="Times New Roman" w:hint="eastAsia"/>
          <w:color w:val="2E74B5" w:themeColor="accent1" w:themeShade="BF"/>
          <w:sz w:val="24"/>
          <w:szCs w:val="24"/>
        </w:rPr>
        <w:t>近年的</w:t>
      </w:r>
      <w:r w:rsidRPr="00634280">
        <w:rPr>
          <w:rFonts w:ascii="Times New Roman" w:eastAsia="楷体" w:hAnsi="Times New Roman" w:hint="eastAsia"/>
          <w:color w:val="2E74B5" w:themeColor="accent1" w:themeShade="BF"/>
          <w:sz w:val="24"/>
          <w:szCs w:val="24"/>
        </w:rPr>
        <w:t>并购标的，借助全球销售网络快速实现商业化；持续加大研发丰富产品矩阵。</w:t>
      </w:r>
      <w:r w:rsidR="00F94202" w:rsidRPr="00634280">
        <w:rPr>
          <w:rFonts w:ascii="Times New Roman" w:eastAsia="楷体" w:hAnsi="Times New Roman" w:hint="eastAsia"/>
          <w:color w:val="2E74B5" w:themeColor="accent1" w:themeShade="BF"/>
          <w:sz w:val="24"/>
          <w:szCs w:val="24"/>
        </w:rPr>
        <w:t>我们</w:t>
      </w:r>
      <w:r w:rsidRPr="00634280">
        <w:rPr>
          <w:rFonts w:ascii="Times New Roman" w:eastAsia="楷体" w:hAnsi="Times New Roman" w:hint="eastAsia"/>
          <w:color w:val="2E74B5" w:themeColor="accent1" w:themeShade="BF"/>
          <w:sz w:val="24"/>
          <w:szCs w:val="24"/>
        </w:rPr>
        <w:t>认为，依托上述三大产品线的战略协同及本地化、创新驱动的发展路径，特种业务有望从过往的高单位数增长跃升至双位数增速，展现强劲成长动能</w:t>
      </w:r>
      <w:r w:rsidR="003C07E2">
        <w:rPr>
          <w:rFonts w:ascii="Times New Roman" w:eastAsia="楷体" w:hAnsi="Times New Roman" w:hint="eastAsia"/>
          <w:color w:val="2E74B5" w:themeColor="accent1" w:themeShade="BF"/>
          <w:sz w:val="24"/>
          <w:szCs w:val="24"/>
        </w:rPr>
        <w:t>同时进一步提升盈利水平</w:t>
      </w:r>
      <w:r w:rsidRPr="00634280">
        <w:rPr>
          <w:rFonts w:ascii="Times New Roman" w:eastAsia="楷体" w:hAnsi="Times New Roman" w:hint="eastAsia"/>
          <w:color w:val="2E74B5" w:themeColor="accent1" w:themeShade="BF"/>
          <w:sz w:val="24"/>
          <w:szCs w:val="24"/>
        </w:rPr>
        <w:t>。</w:t>
      </w:r>
    </w:p>
    <w:p w14:paraId="384188DF" w14:textId="77777777" w:rsidR="001A1D1B" w:rsidRDefault="001A1D1B" w:rsidP="00B42433">
      <w:pPr>
        <w:pStyle w:val="a8"/>
        <w:ind w:left="434" w:firstLine="480"/>
        <w:rPr>
          <w:rFonts w:ascii="Times New Roman" w:eastAsia="楷体" w:hAnsi="Times New Roman"/>
          <w:color w:val="2E74B5" w:themeColor="accent1" w:themeShade="BF"/>
          <w:sz w:val="24"/>
          <w:szCs w:val="24"/>
        </w:rPr>
      </w:pPr>
    </w:p>
    <w:p w14:paraId="5AFEDAC0" w14:textId="72D6008D" w:rsidR="001A1D1B" w:rsidRDefault="001A1D1B" w:rsidP="001A1D1B">
      <w:pPr>
        <w:pStyle w:val="a8"/>
        <w:numPr>
          <w:ilvl w:val="3"/>
          <w:numId w:val="1"/>
        </w:numPr>
        <w:ind w:left="434" w:firstLineChars="0"/>
        <w:rPr>
          <w:rFonts w:ascii="Times New Roman" w:eastAsia="楷体" w:hAnsi="Times New Roman"/>
          <w:sz w:val="24"/>
          <w:szCs w:val="24"/>
        </w:rPr>
      </w:pPr>
      <w:r w:rsidRPr="001A1D1B">
        <w:rPr>
          <w:rFonts w:ascii="Times New Roman" w:eastAsia="楷体" w:hAnsi="Times New Roman" w:hint="eastAsia"/>
          <w:sz w:val="24"/>
          <w:szCs w:val="24"/>
        </w:rPr>
        <w:t>公司的五年规划？</w:t>
      </w:r>
    </w:p>
    <w:p w14:paraId="2C5BE98F" w14:textId="0D4B756C" w:rsidR="003F1E98" w:rsidRPr="00A20329" w:rsidRDefault="00432EB8" w:rsidP="00432EB8">
      <w:pPr>
        <w:pStyle w:val="a8"/>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00CD6911" w:rsidRPr="00CD6911">
        <w:rPr>
          <w:rFonts w:ascii="Times New Roman" w:eastAsia="楷体" w:hAnsi="Times New Roman" w:hint="eastAsia"/>
          <w:color w:val="2E74B5" w:themeColor="accent1" w:themeShade="BF"/>
          <w:sz w:val="24"/>
          <w:szCs w:val="24"/>
        </w:rPr>
        <w:t>公司正积极推进“十五五”规划的研究与编制工作。从整体方向看，规划聚焦两大核心领域：一是以蛋氨酸、维生素为代表的功能性产品研发与生产，其中泉州固体蛋氨酸项目计划于</w:t>
      </w:r>
      <w:r w:rsidR="00CD6911" w:rsidRPr="00CD6911">
        <w:rPr>
          <w:rFonts w:ascii="Times New Roman" w:eastAsia="楷体" w:hAnsi="Times New Roman" w:hint="eastAsia"/>
          <w:color w:val="2E74B5" w:themeColor="accent1" w:themeShade="BF"/>
          <w:sz w:val="24"/>
          <w:szCs w:val="24"/>
        </w:rPr>
        <w:t>2027</w:t>
      </w:r>
      <w:r w:rsidR="00CD6911" w:rsidRPr="00CD6911">
        <w:rPr>
          <w:rFonts w:ascii="Times New Roman" w:eastAsia="楷体" w:hAnsi="Times New Roman" w:hint="eastAsia"/>
          <w:color w:val="2E74B5" w:themeColor="accent1" w:themeShade="BF"/>
          <w:sz w:val="24"/>
          <w:szCs w:val="24"/>
        </w:rPr>
        <w:t>年</w:t>
      </w:r>
      <w:r w:rsidR="00CA49D2">
        <w:rPr>
          <w:rFonts w:ascii="Times New Roman" w:eastAsia="楷体" w:hAnsi="Times New Roman" w:hint="eastAsia"/>
          <w:color w:val="2E74B5" w:themeColor="accent1" w:themeShade="BF"/>
          <w:sz w:val="24"/>
          <w:szCs w:val="24"/>
        </w:rPr>
        <w:t>投入运营</w:t>
      </w:r>
      <w:r w:rsidR="00CD6911" w:rsidRPr="00CD6911">
        <w:rPr>
          <w:rFonts w:ascii="Times New Roman" w:eastAsia="楷体" w:hAnsi="Times New Roman" w:hint="eastAsia"/>
          <w:color w:val="2E74B5" w:themeColor="accent1" w:themeShade="BF"/>
          <w:sz w:val="24"/>
          <w:szCs w:val="24"/>
        </w:rPr>
        <w:t>，将成为营</w:t>
      </w:r>
      <w:proofErr w:type="gramStart"/>
      <w:r w:rsidR="00CD6911" w:rsidRPr="00CD6911">
        <w:rPr>
          <w:rFonts w:ascii="Times New Roman" w:eastAsia="楷体" w:hAnsi="Times New Roman" w:hint="eastAsia"/>
          <w:color w:val="2E74B5" w:themeColor="accent1" w:themeShade="BF"/>
          <w:sz w:val="24"/>
          <w:szCs w:val="24"/>
        </w:rPr>
        <w:t>收增长</w:t>
      </w:r>
      <w:proofErr w:type="gramEnd"/>
      <w:r w:rsidR="00CD6911" w:rsidRPr="00CD6911">
        <w:rPr>
          <w:rFonts w:ascii="Times New Roman" w:eastAsia="楷体" w:hAnsi="Times New Roman" w:hint="eastAsia"/>
          <w:color w:val="2E74B5" w:themeColor="accent1" w:themeShade="BF"/>
          <w:sz w:val="24"/>
          <w:szCs w:val="24"/>
        </w:rPr>
        <w:t>的重要引擎</w:t>
      </w:r>
      <w:r w:rsidR="008C5754">
        <w:rPr>
          <w:rFonts w:ascii="Times New Roman" w:eastAsia="楷体" w:hAnsi="Times New Roman" w:hint="eastAsia"/>
          <w:color w:val="2E74B5" w:themeColor="accent1" w:themeShade="BF"/>
          <w:sz w:val="24"/>
          <w:szCs w:val="24"/>
        </w:rPr>
        <w:t>之一。</w:t>
      </w:r>
      <w:r w:rsidR="00A20329">
        <w:rPr>
          <w:rFonts w:ascii="Times New Roman" w:eastAsia="楷体" w:hAnsi="Times New Roman" w:hint="eastAsia"/>
          <w:color w:val="2E74B5" w:themeColor="accent1" w:themeShade="BF"/>
          <w:sz w:val="24"/>
          <w:szCs w:val="24"/>
        </w:rPr>
        <w:t>同时，公司正在</w:t>
      </w:r>
      <w:r w:rsidR="00A20329" w:rsidRPr="00A20329">
        <w:rPr>
          <w:rFonts w:ascii="Times New Roman" w:eastAsia="楷体" w:hAnsi="Times New Roman" w:hint="eastAsia"/>
          <w:color w:val="2E74B5" w:themeColor="accent1" w:themeShade="BF"/>
          <w:sz w:val="24"/>
          <w:szCs w:val="24"/>
        </w:rPr>
        <w:t>研究分析</w:t>
      </w:r>
      <w:r w:rsidR="00A20329">
        <w:rPr>
          <w:rFonts w:ascii="Times New Roman" w:eastAsia="楷体" w:hAnsi="Times New Roman" w:hint="eastAsia"/>
          <w:color w:val="2E74B5" w:themeColor="accent1" w:themeShade="BF"/>
          <w:sz w:val="24"/>
          <w:szCs w:val="24"/>
        </w:rPr>
        <w:t>的</w:t>
      </w:r>
      <w:r w:rsidR="00A20329" w:rsidRPr="00A20329">
        <w:rPr>
          <w:rFonts w:ascii="Times New Roman" w:eastAsia="楷体" w:hAnsi="Times New Roman" w:hint="eastAsia"/>
          <w:color w:val="2E74B5" w:themeColor="accent1" w:themeShade="BF"/>
          <w:sz w:val="24"/>
          <w:szCs w:val="24"/>
        </w:rPr>
        <w:t>在美元区液体蛋氨酸生产平台的可行性</w:t>
      </w:r>
      <w:r w:rsidR="008C5754" w:rsidRPr="00A20329">
        <w:rPr>
          <w:rFonts w:ascii="Times New Roman" w:eastAsia="楷体" w:hAnsi="Times New Roman" w:hint="eastAsia"/>
          <w:color w:val="2E74B5" w:themeColor="accent1" w:themeShade="BF"/>
          <w:sz w:val="24"/>
          <w:szCs w:val="24"/>
        </w:rPr>
        <w:t>；二是</w:t>
      </w:r>
      <w:r w:rsidR="00CD6911" w:rsidRPr="00A20329">
        <w:rPr>
          <w:rFonts w:ascii="Times New Roman" w:eastAsia="楷体" w:hAnsi="Times New Roman" w:hint="eastAsia"/>
          <w:color w:val="2E74B5" w:themeColor="accent1" w:themeShade="BF"/>
          <w:sz w:val="24"/>
          <w:szCs w:val="24"/>
        </w:rPr>
        <w:t>在特种产品方面，公司将充分释放前期研发及并购项目的潜力，通过</w:t>
      </w:r>
      <w:proofErr w:type="gramStart"/>
      <w:r w:rsidR="00CD6911" w:rsidRPr="00A20329">
        <w:rPr>
          <w:rFonts w:ascii="Times New Roman" w:eastAsia="楷体" w:hAnsi="Times New Roman" w:hint="eastAsia"/>
          <w:color w:val="2E74B5" w:themeColor="accent1" w:themeShade="BF"/>
          <w:sz w:val="24"/>
          <w:szCs w:val="24"/>
        </w:rPr>
        <w:t>提升市占率</w:t>
      </w:r>
      <w:proofErr w:type="gramEnd"/>
      <w:r w:rsidR="00CD6911" w:rsidRPr="00A20329">
        <w:rPr>
          <w:rFonts w:ascii="Times New Roman" w:eastAsia="楷体" w:hAnsi="Times New Roman" w:hint="eastAsia"/>
          <w:color w:val="2E74B5" w:themeColor="accent1" w:themeShade="BF"/>
          <w:sz w:val="24"/>
          <w:szCs w:val="24"/>
        </w:rPr>
        <w:t>实现双位数增长目标，并考虑通过新并购项目进一步补强战略布局。此外，公司致力于同步提升运营效率与盈利能力，通过规模扩张与利润率改善的双重驱动，最终实现利润水平的显著提升。</w:t>
      </w:r>
    </w:p>
    <w:p w14:paraId="02DCB37C" w14:textId="77777777" w:rsidR="005F7E2E" w:rsidRDefault="005F7E2E" w:rsidP="003F1E98">
      <w:pPr>
        <w:pStyle w:val="a8"/>
        <w:ind w:left="434" w:firstLineChars="0" w:firstLine="0"/>
        <w:rPr>
          <w:rFonts w:ascii="Times New Roman" w:eastAsia="楷体" w:hAnsi="Times New Roman"/>
          <w:sz w:val="24"/>
          <w:szCs w:val="24"/>
        </w:rPr>
      </w:pPr>
    </w:p>
    <w:p w14:paraId="768E7269" w14:textId="6E8431B6" w:rsidR="003F1E98" w:rsidRDefault="003F1E98" w:rsidP="001A1D1B">
      <w:pPr>
        <w:pStyle w:val="a8"/>
        <w:numPr>
          <w:ilvl w:val="3"/>
          <w:numId w:val="1"/>
        </w:numPr>
        <w:ind w:left="434" w:firstLineChars="0"/>
        <w:rPr>
          <w:rFonts w:ascii="Times New Roman" w:eastAsia="楷体" w:hAnsi="Times New Roman"/>
          <w:sz w:val="24"/>
          <w:szCs w:val="24"/>
        </w:rPr>
      </w:pPr>
      <w:r>
        <w:rPr>
          <w:rFonts w:ascii="Times New Roman" w:eastAsia="楷体" w:hAnsi="Times New Roman" w:hint="eastAsia"/>
          <w:sz w:val="24"/>
          <w:szCs w:val="24"/>
        </w:rPr>
        <w:t>斐康蛋白进展情况？</w:t>
      </w:r>
    </w:p>
    <w:p w14:paraId="6649251A" w14:textId="19257703" w:rsidR="003F1E98" w:rsidRDefault="00BD1C25" w:rsidP="00BD1C25">
      <w:pPr>
        <w:pStyle w:val="a8"/>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Pr="00BD1C25">
        <w:rPr>
          <w:rFonts w:ascii="Times New Roman" w:eastAsia="楷体" w:hAnsi="Times New Roman" w:hint="eastAsia"/>
          <w:color w:val="2E74B5" w:themeColor="accent1" w:themeShade="BF"/>
          <w:sz w:val="24"/>
          <w:szCs w:val="24"/>
        </w:rPr>
        <w:t>斐康</w:t>
      </w:r>
      <w:r w:rsidRPr="00BD1C25">
        <w:rPr>
          <w:rFonts w:ascii="Times New Roman" w:eastAsia="楷体" w:hAnsi="Times New Roman" w:hint="eastAsia"/>
          <w:color w:val="2E74B5" w:themeColor="accent1" w:themeShade="BF"/>
          <w:sz w:val="24"/>
          <w:szCs w:val="24"/>
        </w:rPr>
        <w:t>®</w:t>
      </w:r>
      <w:r w:rsidRPr="00BD1C25">
        <w:rPr>
          <w:rFonts w:ascii="Times New Roman" w:eastAsia="楷体" w:hAnsi="Times New Roman" w:hint="eastAsia"/>
          <w:color w:val="2E74B5" w:themeColor="accent1" w:themeShade="BF"/>
          <w:sz w:val="24"/>
          <w:szCs w:val="24"/>
        </w:rPr>
        <w:t>是一款营养丰富、安全可靠的单细胞蛋白产品，更重要的是，它是一种真正可持续的产品，可以通过占用较少土地和使用少量的水生产出单细胞蛋白，用于替代动物蛋白。斐康</w:t>
      </w:r>
      <w:r w:rsidRPr="00BD1C25">
        <w:rPr>
          <w:rFonts w:ascii="Times New Roman" w:eastAsia="楷体" w:hAnsi="Times New Roman" w:hint="eastAsia"/>
          <w:color w:val="2E74B5" w:themeColor="accent1" w:themeShade="BF"/>
          <w:sz w:val="24"/>
          <w:szCs w:val="24"/>
        </w:rPr>
        <w:t>®</w:t>
      </w:r>
      <w:r w:rsidRPr="00BD1C25">
        <w:rPr>
          <w:rFonts w:ascii="Times New Roman" w:eastAsia="楷体" w:hAnsi="Times New Roman" w:hint="eastAsia"/>
          <w:color w:val="2E74B5" w:themeColor="accent1" w:themeShade="BF"/>
          <w:sz w:val="24"/>
          <w:szCs w:val="24"/>
        </w:rPr>
        <w:t>对于整个水产养殖，甚至动物养殖的未来可持续发展具有重要意义。</w:t>
      </w:r>
      <w:proofErr w:type="gramStart"/>
      <w:r w:rsidRPr="00BD1C25">
        <w:rPr>
          <w:rFonts w:ascii="Times New Roman" w:eastAsia="楷体" w:hAnsi="Times New Roman" w:hint="eastAsia"/>
          <w:color w:val="2E74B5" w:themeColor="accent1" w:themeShade="BF"/>
          <w:sz w:val="24"/>
          <w:szCs w:val="24"/>
        </w:rPr>
        <w:t>恺</w:t>
      </w:r>
      <w:proofErr w:type="gramEnd"/>
      <w:r w:rsidRPr="00BD1C25">
        <w:rPr>
          <w:rFonts w:ascii="Times New Roman" w:eastAsia="楷体" w:hAnsi="Times New Roman" w:hint="eastAsia"/>
          <w:color w:val="2E74B5" w:themeColor="accent1" w:themeShade="BF"/>
          <w:sz w:val="24"/>
          <w:szCs w:val="24"/>
        </w:rPr>
        <w:t>迪苏重庆工厂是全球第一个使用颠覆性发酵技术开展规模化生产的示范性生产单元。其技术的先进性及首创性意味着其需要更多的时间进行开发和研究，同时也受到当地政府大力支持。项目目前仍在持续的爬坡过程中，该工厂自</w:t>
      </w:r>
      <w:r w:rsidRPr="00BD1C25">
        <w:rPr>
          <w:rFonts w:ascii="Times New Roman" w:eastAsia="楷体" w:hAnsi="Times New Roman" w:hint="eastAsia"/>
          <w:color w:val="2E74B5" w:themeColor="accent1" w:themeShade="BF"/>
          <w:sz w:val="24"/>
          <w:szCs w:val="24"/>
        </w:rPr>
        <w:t>2024</w:t>
      </w:r>
      <w:r w:rsidRPr="00BD1C25">
        <w:rPr>
          <w:rFonts w:ascii="Times New Roman" w:eastAsia="楷体" w:hAnsi="Times New Roman" w:hint="eastAsia"/>
          <w:color w:val="2E74B5" w:themeColor="accent1" w:themeShade="BF"/>
          <w:sz w:val="24"/>
          <w:szCs w:val="24"/>
        </w:rPr>
        <w:t>年第二季度以来稳定运行并成功交付合格产品；</w:t>
      </w:r>
      <w:r w:rsidRPr="00BD1C25">
        <w:rPr>
          <w:rFonts w:ascii="Times New Roman" w:eastAsia="楷体" w:hAnsi="Times New Roman" w:hint="eastAsia"/>
          <w:color w:val="2E74B5" w:themeColor="accent1" w:themeShade="BF"/>
          <w:sz w:val="24"/>
          <w:szCs w:val="24"/>
        </w:rPr>
        <w:t>2025</w:t>
      </w:r>
      <w:r w:rsidRPr="00BD1C25">
        <w:rPr>
          <w:rFonts w:ascii="Times New Roman" w:eastAsia="楷体" w:hAnsi="Times New Roman" w:hint="eastAsia"/>
          <w:color w:val="2E74B5" w:themeColor="accent1" w:themeShade="BF"/>
          <w:sz w:val="24"/>
          <w:szCs w:val="24"/>
        </w:rPr>
        <w:t>年上半年，公司收到更多水产市场的大额订单，</w:t>
      </w:r>
      <w:r w:rsidRPr="00BD1C25">
        <w:rPr>
          <w:rFonts w:ascii="Times New Roman" w:eastAsia="楷体" w:hAnsi="Times New Roman" w:hint="eastAsia"/>
          <w:color w:val="2E74B5" w:themeColor="accent1" w:themeShade="BF"/>
          <w:sz w:val="24"/>
          <w:szCs w:val="24"/>
        </w:rPr>
        <w:lastRenderedPageBreak/>
        <w:t>针对宠物市场的</w:t>
      </w:r>
      <w:proofErr w:type="gramStart"/>
      <w:r w:rsidRPr="00BD1C25">
        <w:rPr>
          <w:rFonts w:ascii="Times New Roman" w:eastAsia="楷体" w:hAnsi="Times New Roman" w:hint="eastAsia"/>
          <w:color w:val="2E74B5" w:themeColor="accent1" w:themeShade="BF"/>
          <w:sz w:val="24"/>
          <w:szCs w:val="24"/>
        </w:rPr>
        <w:t>试销售</w:t>
      </w:r>
      <w:proofErr w:type="gramEnd"/>
      <w:r w:rsidRPr="00BD1C25">
        <w:rPr>
          <w:rFonts w:ascii="Times New Roman" w:eastAsia="楷体" w:hAnsi="Times New Roman" w:hint="eastAsia"/>
          <w:color w:val="2E74B5" w:themeColor="accent1" w:themeShade="BF"/>
          <w:sz w:val="24"/>
          <w:szCs w:val="24"/>
        </w:rPr>
        <w:t>持续开展，更多的公司尝试在宠物干粮中添加该产品。与此同时，安迪苏也将积极探索一切可行方案，以迅速灵活的方式执行既定计划，积极应对由于创新斐康</w:t>
      </w:r>
      <w:r w:rsidRPr="00BD1C25">
        <w:rPr>
          <w:rFonts w:ascii="Times New Roman" w:eastAsia="楷体" w:hAnsi="Times New Roman" w:hint="eastAsia"/>
          <w:color w:val="2E74B5" w:themeColor="accent1" w:themeShade="BF"/>
          <w:sz w:val="24"/>
          <w:szCs w:val="24"/>
        </w:rPr>
        <w:t>®</w:t>
      </w:r>
      <w:r w:rsidRPr="00BD1C25">
        <w:rPr>
          <w:rFonts w:ascii="Times New Roman" w:eastAsia="楷体" w:hAnsi="Times New Roman" w:hint="eastAsia"/>
          <w:color w:val="2E74B5" w:themeColor="accent1" w:themeShade="BF"/>
          <w:sz w:val="24"/>
          <w:szCs w:val="24"/>
        </w:rPr>
        <w:t>蛋白技术较预期需要更长的时间才能实现全面工业化而可能导致的各类负面影响。</w:t>
      </w:r>
    </w:p>
    <w:p w14:paraId="72F45144" w14:textId="77777777" w:rsidR="00822EE0" w:rsidRPr="00BD1C25" w:rsidRDefault="00822EE0" w:rsidP="00BD1C25">
      <w:pPr>
        <w:pStyle w:val="a8"/>
        <w:ind w:left="434" w:firstLineChars="0" w:firstLine="0"/>
        <w:rPr>
          <w:rFonts w:ascii="Times New Roman" w:eastAsia="楷体" w:hAnsi="Times New Roman"/>
          <w:color w:val="2E74B5" w:themeColor="accent1" w:themeShade="BF"/>
          <w:sz w:val="24"/>
          <w:szCs w:val="24"/>
        </w:rPr>
      </w:pPr>
    </w:p>
    <w:p w14:paraId="13CACDE2" w14:textId="08413AE4" w:rsidR="003F1E98" w:rsidRDefault="003F1E98" w:rsidP="001A1D1B">
      <w:pPr>
        <w:pStyle w:val="a8"/>
        <w:numPr>
          <w:ilvl w:val="3"/>
          <w:numId w:val="1"/>
        </w:numPr>
        <w:ind w:left="434" w:firstLineChars="0"/>
        <w:rPr>
          <w:rFonts w:ascii="Times New Roman" w:eastAsia="楷体" w:hAnsi="Times New Roman"/>
          <w:sz w:val="24"/>
          <w:szCs w:val="24"/>
        </w:rPr>
      </w:pPr>
      <w:r>
        <w:rPr>
          <w:rFonts w:ascii="Times New Roman" w:eastAsia="楷体" w:hAnsi="Times New Roman" w:hint="eastAsia"/>
          <w:sz w:val="24"/>
          <w:szCs w:val="24"/>
        </w:rPr>
        <w:t>公司蛋氨酸</w:t>
      </w:r>
      <w:r w:rsidRPr="003F1E98">
        <w:rPr>
          <w:rFonts w:ascii="Times New Roman" w:eastAsia="楷体" w:hAnsi="Times New Roman" w:hint="eastAsia"/>
          <w:sz w:val="24"/>
          <w:szCs w:val="24"/>
        </w:rPr>
        <w:t>喷涂设备的投放进程，历经多年市场拓展后，是否已进入收尾阶段</w:t>
      </w:r>
      <w:r>
        <w:rPr>
          <w:rFonts w:ascii="Times New Roman" w:eastAsia="楷体" w:hAnsi="Times New Roman" w:hint="eastAsia"/>
          <w:sz w:val="24"/>
          <w:szCs w:val="24"/>
        </w:rPr>
        <w:t>？</w:t>
      </w:r>
    </w:p>
    <w:p w14:paraId="27E4D049" w14:textId="62743A70" w:rsidR="00532D66" w:rsidRPr="00AC4138" w:rsidRDefault="00AC4138" w:rsidP="00AC4138">
      <w:pPr>
        <w:pStyle w:val="a8"/>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0007061E">
        <w:rPr>
          <w:rFonts w:ascii="Times New Roman" w:eastAsia="楷体" w:hAnsi="Times New Roman" w:hint="eastAsia"/>
          <w:color w:val="2E74B5" w:themeColor="accent1" w:themeShade="BF"/>
          <w:sz w:val="24"/>
          <w:szCs w:val="24"/>
        </w:rPr>
        <w:t>关于</w:t>
      </w:r>
      <w:r w:rsidRPr="00AC4138">
        <w:rPr>
          <w:rFonts w:ascii="Times New Roman" w:eastAsia="楷体" w:hAnsi="Times New Roman" w:hint="eastAsia"/>
          <w:color w:val="2E74B5" w:themeColor="accent1" w:themeShade="BF"/>
          <w:sz w:val="24"/>
          <w:szCs w:val="24"/>
        </w:rPr>
        <w:t>液体</w:t>
      </w:r>
      <w:r w:rsidR="0007061E">
        <w:rPr>
          <w:rFonts w:ascii="Times New Roman" w:eastAsia="楷体" w:hAnsi="Times New Roman" w:hint="eastAsia"/>
          <w:color w:val="2E74B5" w:themeColor="accent1" w:themeShade="BF"/>
          <w:sz w:val="24"/>
          <w:szCs w:val="24"/>
        </w:rPr>
        <w:t>蛋氨酸喷涂设备</w:t>
      </w:r>
      <w:r w:rsidRPr="00AC4138">
        <w:rPr>
          <w:rFonts w:ascii="Times New Roman" w:eastAsia="楷体" w:hAnsi="Times New Roman" w:hint="eastAsia"/>
          <w:color w:val="2E74B5" w:themeColor="accent1" w:themeShade="BF"/>
          <w:sz w:val="24"/>
          <w:szCs w:val="24"/>
        </w:rPr>
        <w:t>，尽管安迪苏</w:t>
      </w:r>
      <w:r w:rsidR="00D0733B">
        <w:rPr>
          <w:rFonts w:ascii="Times New Roman" w:eastAsia="楷体" w:hAnsi="Times New Roman" w:hint="eastAsia"/>
          <w:color w:val="2E74B5" w:themeColor="accent1" w:themeShade="BF"/>
          <w:sz w:val="24"/>
          <w:szCs w:val="24"/>
        </w:rPr>
        <w:t>在国内</w:t>
      </w:r>
      <w:r w:rsidRPr="00AC4138">
        <w:rPr>
          <w:rFonts w:ascii="Times New Roman" w:eastAsia="楷体" w:hAnsi="Times New Roman" w:hint="eastAsia"/>
          <w:color w:val="2E74B5" w:themeColor="accent1" w:themeShade="BF"/>
          <w:sz w:val="24"/>
          <w:szCs w:val="24"/>
        </w:rPr>
        <w:t>通过持续努力已实现液</w:t>
      </w:r>
      <w:r w:rsidR="0007061E">
        <w:rPr>
          <w:rFonts w:ascii="Times New Roman" w:eastAsia="楷体" w:hAnsi="Times New Roman" w:hint="eastAsia"/>
          <w:color w:val="2E74B5" w:themeColor="accent1" w:themeShade="BF"/>
          <w:sz w:val="24"/>
          <w:szCs w:val="24"/>
        </w:rPr>
        <w:t>体</w:t>
      </w:r>
      <w:r w:rsidRPr="00AC4138">
        <w:rPr>
          <w:rFonts w:ascii="Times New Roman" w:eastAsia="楷体" w:hAnsi="Times New Roman" w:hint="eastAsia"/>
          <w:color w:val="2E74B5" w:themeColor="accent1" w:themeShade="BF"/>
          <w:sz w:val="24"/>
          <w:szCs w:val="24"/>
        </w:rPr>
        <w:t>产品的市场</w:t>
      </w:r>
      <w:r w:rsidR="006B5BF2">
        <w:rPr>
          <w:rFonts w:ascii="Times New Roman" w:eastAsia="楷体" w:hAnsi="Times New Roman" w:hint="eastAsia"/>
          <w:color w:val="2E74B5" w:themeColor="accent1" w:themeShade="BF"/>
          <w:sz w:val="24"/>
          <w:szCs w:val="24"/>
        </w:rPr>
        <w:t>渗透率持续</w:t>
      </w:r>
      <w:r w:rsidRPr="00AC4138">
        <w:rPr>
          <w:rFonts w:ascii="Times New Roman" w:eastAsia="楷体" w:hAnsi="Times New Roman" w:hint="eastAsia"/>
          <w:color w:val="2E74B5" w:themeColor="accent1" w:themeShade="BF"/>
          <w:sz w:val="24"/>
          <w:szCs w:val="24"/>
        </w:rPr>
        <w:t>提升，但当前中国市场仍以固体蛋氨酸为主导，其渗透率</w:t>
      </w:r>
      <w:r w:rsidR="00A5023E">
        <w:rPr>
          <w:rFonts w:ascii="Times New Roman" w:eastAsia="楷体" w:hAnsi="Times New Roman" w:hint="eastAsia"/>
          <w:color w:val="2E74B5" w:themeColor="accent1" w:themeShade="BF"/>
          <w:sz w:val="24"/>
          <w:szCs w:val="24"/>
        </w:rPr>
        <w:t>仍然超</w:t>
      </w:r>
      <w:r w:rsidRPr="00AC4138">
        <w:rPr>
          <w:rFonts w:ascii="Times New Roman" w:eastAsia="楷体" w:hAnsi="Times New Roman" w:hint="eastAsia"/>
          <w:color w:val="2E74B5" w:themeColor="accent1" w:themeShade="BF"/>
          <w:sz w:val="24"/>
          <w:szCs w:val="24"/>
        </w:rPr>
        <w:t>60%</w:t>
      </w:r>
      <w:r w:rsidRPr="00AC4138">
        <w:rPr>
          <w:rFonts w:ascii="Times New Roman" w:eastAsia="楷体" w:hAnsi="Times New Roman" w:hint="eastAsia"/>
          <w:color w:val="2E74B5" w:themeColor="accent1" w:themeShade="BF"/>
          <w:sz w:val="24"/>
          <w:szCs w:val="24"/>
        </w:rPr>
        <w:t>，表明液体</w:t>
      </w:r>
      <w:r w:rsidR="00D0733B">
        <w:rPr>
          <w:rFonts w:ascii="Times New Roman" w:eastAsia="楷体" w:hAnsi="Times New Roman" w:hint="eastAsia"/>
          <w:color w:val="2E74B5" w:themeColor="accent1" w:themeShade="BF"/>
          <w:sz w:val="24"/>
          <w:szCs w:val="24"/>
        </w:rPr>
        <w:t>喷涂</w:t>
      </w:r>
      <w:r w:rsidRPr="00AC4138">
        <w:rPr>
          <w:rFonts w:ascii="Times New Roman" w:eastAsia="楷体" w:hAnsi="Times New Roman" w:hint="eastAsia"/>
          <w:color w:val="2E74B5" w:themeColor="accent1" w:themeShade="BF"/>
          <w:sz w:val="24"/>
          <w:szCs w:val="24"/>
        </w:rPr>
        <w:t>设备的普及仍有较大发展空间。随着饲料工业加速整合及生产流程向工业化、科学化方向转型，对精准营养配送的需求日益增长，这将持续带动液体</w:t>
      </w:r>
      <w:r w:rsidR="0007061E">
        <w:rPr>
          <w:rFonts w:ascii="Times New Roman" w:eastAsia="楷体" w:hAnsi="Times New Roman" w:hint="eastAsia"/>
          <w:color w:val="2E74B5" w:themeColor="accent1" w:themeShade="BF"/>
          <w:sz w:val="24"/>
          <w:szCs w:val="24"/>
        </w:rPr>
        <w:t>蛋氨酸</w:t>
      </w:r>
      <w:r w:rsidRPr="00AC4138">
        <w:rPr>
          <w:rFonts w:ascii="Times New Roman" w:eastAsia="楷体" w:hAnsi="Times New Roman" w:hint="eastAsia"/>
          <w:color w:val="2E74B5" w:themeColor="accent1" w:themeShade="BF"/>
          <w:sz w:val="24"/>
          <w:szCs w:val="24"/>
        </w:rPr>
        <w:t>喷涂设备的应用拓展。从区域发展来看，除中国市场外，东南亚及拉美等新兴市场因养殖业规模化发展和饲料加工技术升级，对液体</w:t>
      </w:r>
      <w:r w:rsidR="00D0733B">
        <w:rPr>
          <w:rFonts w:ascii="Times New Roman" w:eastAsia="楷体" w:hAnsi="Times New Roman" w:hint="eastAsia"/>
          <w:color w:val="2E74B5" w:themeColor="accent1" w:themeShade="BF"/>
          <w:sz w:val="24"/>
          <w:szCs w:val="24"/>
        </w:rPr>
        <w:t>蛋氨酸喷涂</w:t>
      </w:r>
      <w:r w:rsidRPr="00AC4138">
        <w:rPr>
          <w:rFonts w:ascii="Times New Roman" w:eastAsia="楷体" w:hAnsi="Times New Roman" w:hint="eastAsia"/>
          <w:color w:val="2E74B5" w:themeColor="accent1" w:themeShade="BF"/>
          <w:sz w:val="24"/>
          <w:szCs w:val="24"/>
        </w:rPr>
        <w:t>设备的需求亦将呈现持续增长态势。</w:t>
      </w:r>
    </w:p>
    <w:p w14:paraId="16BE919C" w14:textId="77777777" w:rsidR="00532D66" w:rsidRDefault="00532D66" w:rsidP="00AC4138">
      <w:pPr>
        <w:pStyle w:val="a8"/>
        <w:ind w:left="434" w:firstLineChars="0" w:firstLine="0"/>
        <w:rPr>
          <w:rFonts w:ascii="Times New Roman" w:eastAsia="楷体" w:hAnsi="Times New Roman"/>
          <w:sz w:val="24"/>
          <w:szCs w:val="24"/>
        </w:rPr>
      </w:pPr>
    </w:p>
    <w:p w14:paraId="053FC8DB" w14:textId="7F206E49" w:rsidR="003F1E98" w:rsidRDefault="000A7ED6" w:rsidP="001A1D1B">
      <w:pPr>
        <w:pStyle w:val="a8"/>
        <w:numPr>
          <w:ilvl w:val="3"/>
          <w:numId w:val="1"/>
        </w:numPr>
        <w:ind w:left="434" w:firstLineChars="0"/>
        <w:rPr>
          <w:rFonts w:ascii="Times New Roman" w:eastAsia="楷体" w:hAnsi="Times New Roman"/>
          <w:sz w:val="24"/>
          <w:szCs w:val="24"/>
        </w:rPr>
      </w:pPr>
      <w:r>
        <w:rPr>
          <w:rFonts w:ascii="Times New Roman" w:eastAsia="楷体" w:hAnsi="Times New Roman" w:hint="eastAsia"/>
          <w:sz w:val="24"/>
          <w:szCs w:val="24"/>
        </w:rPr>
        <w:t>考虑到公司近期股价走势，公司如何看待定向增发项目的定价？</w:t>
      </w:r>
    </w:p>
    <w:p w14:paraId="68A830F5" w14:textId="31E7323B" w:rsidR="00DD2B25" w:rsidRDefault="004D7B4C" w:rsidP="004D7B4C">
      <w:pPr>
        <w:pStyle w:val="a8"/>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Pr="004D7B4C">
        <w:rPr>
          <w:rFonts w:ascii="Times New Roman" w:eastAsia="楷体" w:hAnsi="Times New Roman" w:hint="eastAsia"/>
          <w:color w:val="2E74B5" w:themeColor="accent1" w:themeShade="BF"/>
          <w:sz w:val="24"/>
          <w:szCs w:val="24"/>
        </w:rPr>
        <w:t>公司本次向不超过</w:t>
      </w:r>
      <w:r w:rsidRPr="004D7B4C">
        <w:rPr>
          <w:rFonts w:ascii="Times New Roman" w:eastAsia="楷体" w:hAnsi="Times New Roman" w:hint="eastAsia"/>
          <w:color w:val="2E74B5" w:themeColor="accent1" w:themeShade="BF"/>
          <w:sz w:val="24"/>
          <w:szCs w:val="24"/>
        </w:rPr>
        <w:t>35</w:t>
      </w:r>
      <w:r w:rsidRPr="004D7B4C">
        <w:rPr>
          <w:rFonts w:ascii="Times New Roman" w:eastAsia="楷体" w:hAnsi="Times New Roman" w:hint="eastAsia"/>
          <w:color w:val="2E74B5" w:themeColor="accent1" w:themeShade="BF"/>
          <w:sz w:val="24"/>
          <w:szCs w:val="24"/>
        </w:rPr>
        <w:t>名符合条件的特定对象发行</w:t>
      </w:r>
      <w:r w:rsidRPr="004D7B4C">
        <w:rPr>
          <w:rFonts w:ascii="Times New Roman" w:eastAsia="楷体" w:hAnsi="Times New Roman" w:hint="eastAsia"/>
          <w:color w:val="2E74B5" w:themeColor="accent1" w:themeShade="BF"/>
          <w:sz w:val="24"/>
          <w:szCs w:val="24"/>
        </w:rPr>
        <w:t>A</w:t>
      </w:r>
      <w:r w:rsidRPr="004D7B4C">
        <w:rPr>
          <w:rFonts w:ascii="Times New Roman" w:eastAsia="楷体" w:hAnsi="Times New Roman" w:hint="eastAsia"/>
          <w:color w:val="2E74B5" w:themeColor="accent1" w:themeShade="BF"/>
          <w:sz w:val="24"/>
          <w:szCs w:val="24"/>
        </w:rPr>
        <w:t>股股票，始终秉持公平、公正、公开的原则，严格遵守中国证监会及上海证券交易所的相关法律法规，所有重大决策均以公司长期发展和全体股东利益最大化为出发点。目前，该项目已于</w:t>
      </w:r>
      <w:r w:rsidRPr="004D7B4C">
        <w:rPr>
          <w:rFonts w:ascii="Times New Roman" w:eastAsia="楷体" w:hAnsi="Times New Roman" w:hint="eastAsia"/>
          <w:color w:val="2E74B5" w:themeColor="accent1" w:themeShade="BF"/>
          <w:sz w:val="24"/>
          <w:szCs w:val="24"/>
        </w:rPr>
        <w:t>2025</w:t>
      </w:r>
      <w:r w:rsidRPr="004D7B4C">
        <w:rPr>
          <w:rFonts w:ascii="Times New Roman" w:eastAsia="楷体" w:hAnsi="Times New Roman" w:hint="eastAsia"/>
          <w:color w:val="2E74B5" w:themeColor="accent1" w:themeShade="BF"/>
          <w:sz w:val="24"/>
          <w:szCs w:val="24"/>
        </w:rPr>
        <w:t>年</w:t>
      </w:r>
      <w:r w:rsidRPr="004D7B4C">
        <w:rPr>
          <w:rFonts w:ascii="Times New Roman" w:eastAsia="楷体" w:hAnsi="Times New Roman" w:hint="eastAsia"/>
          <w:color w:val="2E74B5" w:themeColor="accent1" w:themeShade="BF"/>
          <w:sz w:val="24"/>
          <w:szCs w:val="24"/>
        </w:rPr>
        <w:t>8</w:t>
      </w:r>
      <w:r w:rsidRPr="004D7B4C">
        <w:rPr>
          <w:rFonts w:ascii="Times New Roman" w:eastAsia="楷体" w:hAnsi="Times New Roman" w:hint="eastAsia"/>
          <w:color w:val="2E74B5" w:themeColor="accent1" w:themeShade="BF"/>
          <w:sz w:val="24"/>
          <w:szCs w:val="24"/>
        </w:rPr>
        <w:t>月</w:t>
      </w:r>
      <w:r w:rsidRPr="004D7B4C">
        <w:rPr>
          <w:rFonts w:ascii="Times New Roman" w:eastAsia="楷体" w:hAnsi="Times New Roman" w:hint="eastAsia"/>
          <w:color w:val="2E74B5" w:themeColor="accent1" w:themeShade="BF"/>
          <w:sz w:val="24"/>
          <w:szCs w:val="24"/>
        </w:rPr>
        <w:t>7</w:t>
      </w:r>
      <w:r w:rsidRPr="004D7B4C">
        <w:rPr>
          <w:rFonts w:ascii="Times New Roman" w:eastAsia="楷体" w:hAnsi="Times New Roman" w:hint="eastAsia"/>
          <w:color w:val="2E74B5" w:themeColor="accent1" w:themeShade="BF"/>
          <w:sz w:val="24"/>
          <w:szCs w:val="24"/>
        </w:rPr>
        <w:t>日经上交所审核通过，并于</w:t>
      </w:r>
      <w:r w:rsidRPr="004D7B4C">
        <w:rPr>
          <w:rFonts w:ascii="Times New Roman" w:eastAsia="楷体" w:hAnsi="Times New Roman" w:hint="eastAsia"/>
          <w:color w:val="2E74B5" w:themeColor="accent1" w:themeShade="BF"/>
          <w:sz w:val="24"/>
          <w:szCs w:val="24"/>
        </w:rPr>
        <w:t>8</w:t>
      </w:r>
      <w:r w:rsidRPr="004D7B4C">
        <w:rPr>
          <w:rFonts w:ascii="Times New Roman" w:eastAsia="楷体" w:hAnsi="Times New Roman" w:hint="eastAsia"/>
          <w:color w:val="2E74B5" w:themeColor="accent1" w:themeShade="BF"/>
          <w:sz w:val="24"/>
          <w:szCs w:val="24"/>
        </w:rPr>
        <w:t>月</w:t>
      </w:r>
      <w:r w:rsidRPr="004D7B4C">
        <w:rPr>
          <w:rFonts w:ascii="Times New Roman" w:eastAsia="楷体" w:hAnsi="Times New Roman" w:hint="eastAsia"/>
          <w:color w:val="2E74B5" w:themeColor="accent1" w:themeShade="BF"/>
          <w:sz w:val="24"/>
          <w:szCs w:val="24"/>
        </w:rPr>
        <w:t>17</w:t>
      </w:r>
      <w:r w:rsidRPr="004D7B4C">
        <w:rPr>
          <w:rFonts w:ascii="Times New Roman" w:eastAsia="楷体" w:hAnsi="Times New Roman" w:hint="eastAsia"/>
          <w:color w:val="2E74B5" w:themeColor="accent1" w:themeShade="BF"/>
          <w:sz w:val="24"/>
          <w:szCs w:val="24"/>
        </w:rPr>
        <w:t>日进入证监会注册阶段。待完成证监会注册手续后，公司将审慎择取发行良机，全力保障发行品质，切实捍卫全体投资者权益。由于当前公司流通盘较小，</w:t>
      </w:r>
      <w:r w:rsidR="005366F7">
        <w:rPr>
          <w:rFonts w:ascii="Times New Roman" w:eastAsia="楷体" w:hAnsi="Times New Roman" w:hint="eastAsia"/>
          <w:color w:val="2E74B5" w:themeColor="accent1" w:themeShade="BF"/>
          <w:sz w:val="24"/>
          <w:szCs w:val="24"/>
        </w:rPr>
        <w:t>很大</w:t>
      </w:r>
      <w:r w:rsidR="005E73CA">
        <w:rPr>
          <w:rFonts w:ascii="Times New Roman" w:eastAsia="楷体" w:hAnsi="Times New Roman" w:hint="eastAsia"/>
          <w:color w:val="2E74B5" w:themeColor="accent1" w:themeShade="BF"/>
          <w:sz w:val="24"/>
          <w:szCs w:val="24"/>
        </w:rPr>
        <w:t>程度上</w:t>
      </w:r>
      <w:r w:rsidRPr="004D7B4C">
        <w:rPr>
          <w:rFonts w:ascii="Times New Roman" w:eastAsia="楷体" w:hAnsi="Times New Roman" w:hint="eastAsia"/>
          <w:color w:val="2E74B5" w:themeColor="accent1" w:themeShade="BF"/>
          <w:sz w:val="24"/>
          <w:szCs w:val="24"/>
        </w:rPr>
        <w:t>制约了</w:t>
      </w:r>
      <w:r w:rsidR="005366F7">
        <w:rPr>
          <w:rFonts w:ascii="Times New Roman" w:eastAsia="楷体" w:hAnsi="Times New Roman" w:hint="eastAsia"/>
          <w:color w:val="2E74B5" w:themeColor="accent1" w:themeShade="BF"/>
          <w:sz w:val="24"/>
          <w:szCs w:val="24"/>
        </w:rPr>
        <w:t>企业内在价值</w:t>
      </w:r>
      <w:r w:rsidR="0093625E">
        <w:rPr>
          <w:rFonts w:ascii="Times New Roman" w:eastAsia="楷体" w:hAnsi="Times New Roman" w:hint="eastAsia"/>
          <w:color w:val="2E74B5" w:themeColor="accent1" w:themeShade="BF"/>
          <w:sz w:val="24"/>
          <w:szCs w:val="24"/>
        </w:rPr>
        <w:t>的真正体现</w:t>
      </w:r>
      <w:r w:rsidRPr="004D7B4C">
        <w:rPr>
          <w:rFonts w:ascii="Times New Roman" w:eastAsia="楷体" w:hAnsi="Times New Roman" w:hint="eastAsia"/>
          <w:color w:val="2E74B5" w:themeColor="accent1" w:themeShade="BF"/>
          <w:sz w:val="24"/>
          <w:szCs w:val="24"/>
        </w:rPr>
        <w:t>。本次</w:t>
      </w:r>
      <w:r w:rsidR="0031151D">
        <w:rPr>
          <w:rFonts w:ascii="Times New Roman" w:eastAsia="楷体" w:hAnsi="Times New Roman" w:hint="eastAsia"/>
          <w:color w:val="2E74B5" w:themeColor="accent1" w:themeShade="BF"/>
          <w:sz w:val="24"/>
          <w:szCs w:val="24"/>
        </w:rPr>
        <w:t>定向增发</w:t>
      </w:r>
      <w:r w:rsidRPr="004D7B4C">
        <w:rPr>
          <w:rFonts w:ascii="Times New Roman" w:eastAsia="楷体" w:hAnsi="Times New Roman" w:hint="eastAsia"/>
          <w:color w:val="2E74B5" w:themeColor="accent1" w:themeShade="BF"/>
          <w:sz w:val="24"/>
          <w:szCs w:val="24"/>
        </w:rPr>
        <w:t>完成后，公司</w:t>
      </w:r>
      <w:r w:rsidR="0011681B">
        <w:rPr>
          <w:rFonts w:ascii="Times New Roman" w:eastAsia="楷体" w:hAnsi="Times New Roman" w:hint="eastAsia"/>
          <w:color w:val="2E74B5" w:themeColor="accent1" w:themeShade="BF"/>
          <w:sz w:val="24"/>
          <w:szCs w:val="24"/>
        </w:rPr>
        <w:t>流动比例有望获得明细提升</w:t>
      </w:r>
      <w:r w:rsidRPr="004D7B4C">
        <w:rPr>
          <w:rFonts w:ascii="Times New Roman" w:eastAsia="楷体" w:hAnsi="Times New Roman" w:hint="eastAsia"/>
          <w:color w:val="2E74B5" w:themeColor="accent1" w:themeShade="BF"/>
          <w:sz w:val="24"/>
          <w:szCs w:val="24"/>
        </w:rPr>
        <w:t>，</w:t>
      </w:r>
      <w:r w:rsidR="0011681B">
        <w:rPr>
          <w:rFonts w:ascii="Times New Roman" w:eastAsia="楷体" w:hAnsi="Times New Roman" w:hint="eastAsia"/>
          <w:color w:val="2E74B5" w:themeColor="accent1" w:themeShade="BF"/>
          <w:sz w:val="24"/>
          <w:szCs w:val="24"/>
        </w:rPr>
        <w:t>从而</w:t>
      </w:r>
      <w:r w:rsidRPr="004D7B4C">
        <w:rPr>
          <w:rFonts w:ascii="Times New Roman" w:eastAsia="楷体" w:hAnsi="Times New Roman" w:hint="eastAsia"/>
          <w:color w:val="2E74B5" w:themeColor="accent1" w:themeShade="BF"/>
          <w:sz w:val="24"/>
          <w:szCs w:val="24"/>
        </w:rPr>
        <w:t>为市值管理</w:t>
      </w:r>
      <w:r w:rsidR="00B85863">
        <w:rPr>
          <w:rFonts w:ascii="Times New Roman" w:eastAsia="楷体" w:hAnsi="Times New Roman" w:hint="eastAsia"/>
          <w:color w:val="2E74B5" w:themeColor="accent1" w:themeShade="BF"/>
          <w:sz w:val="24"/>
          <w:szCs w:val="24"/>
        </w:rPr>
        <w:t>举措的有效实施创</w:t>
      </w:r>
      <w:r w:rsidRPr="004D7B4C">
        <w:rPr>
          <w:rFonts w:ascii="Times New Roman" w:eastAsia="楷体" w:hAnsi="Times New Roman" w:hint="eastAsia"/>
          <w:color w:val="2E74B5" w:themeColor="accent1" w:themeShade="BF"/>
          <w:sz w:val="24"/>
          <w:szCs w:val="24"/>
        </w:rPr>
        <w:t>造更充分的市场条件。</w:t>
      </w:r>
      <w:r w:rsidR="00980979">
        <w:rPr>
          <w:rFonts w:ascii="Times New Roman" w:eastAsia="楷体" w:hAnsi="Times New Roman" w:hint="eastAsia"/>
          <w:color w:val="2E74B5" w:themeColor="accent1" w:themeShade="BF"/>
          <w:sz w:val="24"/>
          <w:szCs w:val="24"/>
        </w:rPr>
        <w:t>未来，公司将持续开展</w:t>
      </w:r>
      <w:r w:rsidRPr="004D7B4C">
        <w:rPr>
          <w:rFonts w:ascii="Times New Roman" w:eastAsia="楷体" w:hAnsi="Times New Roman" w:hint="eastAsia"/>
          <w:color w:val="2E74B5" w:themeColor="accent1" w:themeShade="BF"/>
          <w:sz w:val="24"/>
          <w:szCs w:val="24"/>
        </w:rPr>
        <w:t>科学高效的市值管理，</w:t>
      </w:r>
      <w:r w:rsidR="00C567AC">
        <w:rPr>
          <w:rFonts w:ascii="Times New Roman" w:eastAsia="楷体" w:hAnsi="Times New Roman" w:hint="eastAsia"/>
          <w:color w:val="2E74B5" w:themeColor="accent1" w:themeShade="BF"/>
          <w:sz w:val="24"/>
          <w:szCs w:val="24"/>
        </w:rPr>
        <w:t>力争</w:t>
      </w:r>
      <w:r w:rsidRPr="004D7B4C">
        <w:rPr>
          <w:rFonts w:ascii="Times New Roman" w:eastAsia="楷体" w:hAnsi="Times New Roman" w:hint="eastAsia"/>
          <w:color w:val="2E74B5" w:themeColor="accent1" w:themeShade="BF"/>
          <w:sz w:val="24"/>
          <w:szCs w:val="24"/>
        </w:rPr>
        <w:t>将</w:t>
      </w:r>
      <w:r w:rsidR="001441A1">
        <w:rPr>
          <w:rFonts w:ascii="Times New Roman" w:eastAsia="楷体" w:hAnsi="Times New Roman" w:hint="eastAsia"/>
          <w:color w:val="2E74B5" w:themeColor="accent1" w:themeShade="BF"/>
          <w:sz w:val="24"/>
          <w:szCs w:val="24"/>
        </w:rPr>
        <w:t>公司</w:t>
      </w:r>
      <w:r w:rsidRPr="004D7B4C">
        <w:rPr>
          <w:rFonts w:ascii="Times New Roman" w:eastAsia="楷体" w:hAnsi="Times New Roman" w:hint="eastAsia"/>
          <w:color w:val="2E74B5" w:themeColor="accent1" w:themeShade="BF"/>
          <w:sz w:val="24"/>
          <w:szCs w:val="24"/>
        </w:rPr>
        <w:t>经营成果与内在价值充分反映于资本市场表现。</w:t>
      </w:r>
      <w:r w:rsidRPr="004D7B4C">
        <w:rPr>
          <w:rFonts w:ascii="Times New Roman" w:eastAsia="楷体" w:hAnsi="Times New Roman" w:hint="eastAsia"/>
          <w:color w:val="2E74B5" w:themeColor="accent1" w:themeShade="BF"/>
          <w:sz w:val="24"/>
          <w:szCs w:val="24"/>
        </w:rPr>
        <w:t xml:space="preserve"> </w:t>
      </w:r>
    </w:p>
    <w:p w14:paraId="554EBB4E" w14:textId="77777777" w:rsidR="00D644B7" w:rsidRDefault="00D644B7" w:rsidP="004D7B4C">
      <w:pPr>
        <w:pStyle w:val="a8"/>
        <w:ind w:left="434" w:firstLineChars="0" w:firstLine="0"/>
        <w:rPr>
          <w:rFonts w:ascii="Times New Roman" w:eastAsia="楷体" w:hAnsi="Times New Roman"/>
          <w:color w:val="2E74B5" w:themeColor="accent1" w:themeShade="BF"/>
          <w:sz w:val="24"/>
          <w:szCs w:val="24"/>
        </w:rPr>
      </w:pPr>
    </w:p>
    <w:p w14:paraId="3A75C132" w14:textId="6CCC9F95" w:rsidR="00D644B7" w:rsidRDefault="00103523" w:rsidP="00103523">
      <w:pPr>
        <w:pStyle w:val="a8"/>
        <w:numPr>
          <w:ilvl w:val="3"/>
          <w:numId w:val="1"/>
        </w:numPr>
        <w:ind w:left="434" w:firstLineChars="0"/>
        <w:rPr>
          <w:rFonts w:ascii="Times New Roman" w:eastAsia="楷体" w:hAnsi="Times New Roman"/>
          <w:sz w:val="24"/>
          <w:szCs w:val="24"/>
        </w:rPr>
      </w:pPr>
      <w:r w:rsidRPr="00103523">
        <w:rPr>
          <w:rFonts w:ascii="Times New Roman" w:eastAsia="楷体" w:hAnsi="Times New Roman" w:hint="eastAsia"/>
          <w:sz w:val="24"/>
          <w:szCs w:val="24"/>
        </w:rPr>
        <w:t>公司上半年</w:t>
      </w:r>
      <w:r w:rsidR="00D1711D">
        <w:rPr>
          <w:rFonts w:ascii="Times New Roman" w:eastAsia="楷体" w:hAnsi="Times New Roman" w:hint="eastAsia"/>
          <w:sz w:val="24"/>
          <w:szCs w:val="24"/>
        </w:rPr>
        <w:t>功能性</w:t>
      </w:r>
      <w:r w:rsidRPr="00103523">
        <w:rPr>
          <w:rFonts w:ascii="Times New Roman" w:eastAsia="楷体" w:hAnsi="Times New Roman" w:hint="eastAsia"/>
          <w:sz w:val="24"/>
          <w:szCs w:val="24"/>
        </w:rPr>
        <w:t>的营业收入增长</w:t>
      </w:r>
      <w:r w:rsidRPr="00103523">
        <w:rPr>
          <w:rFonts w:ascii="Times New Roman" w:eastAsia="楷体" w:hAnsi="Times New Roman" w:hint="eastAsia"/>
          <w:sz w:val="24"/>
          <w:szCs w:val="24"/>
        </w:rPr>
        <w:t>20%</w:t>
      </w:r>
      <w:r w:rsidRPr="00103523">
        <w:rPr>
          <w:rFonts w:ascii="Times New Roman" w:eastAsia="楷体" w:hAnsi="Times New Roman" w:hint="eastAsia"/>
          <w:sz w:val="24"/>
          <w:szCs w:val="24"/>
        </w:rPr>
        <w:t>，毛利率有所下降的主要原因是？</w:t>
      </w:r>
    </w:p>
    <w:p w14:paraId="2D3ED166" w14:textId="50F07D6E" w:rsidR="00B560F3" w:rsidRPr="00585D7A" w:rsidRDefault="00B560F3" w:rsidP="00B560F3">
      <w:pPr>
        <w:pStyle w:val="a8"/>
        <w:ind w:left="434" w:firstLineChars="0" w:firstLine="0"/>
        <w:rPr>
          <w:rFonts w:ascii="Times New Roman" w:eastAsia="楷体" w:hAnsi="Times New Roman"/>
          <w:color w:val="2E74B5" w:themeColor="accent1" w:themeShade="BF"/>
          <w:sz w:val="24"/>
          <w:szCs w:val="24"/>
        </w:rPr>
      </w:pPr>
      <w:r w:rsidRPr="00585D7A">
        <w:rPr>
          <w:rFonts w:ascii="Times New Roman" w:eastAsia="楷体" w:hAnsi="Times New Roman" w:hint="eastAsia"/>
          <w:color w:val="2E74B5" w:themeColor="accent1" w:themeShade="BF"/>
          <w:sz w:val="24"/>
          <w:szCs w:val="24"/>
        </w:rPr>
        <w:t xml:space="preserve">        </w:t>
      </w:r>
      <w:r w:rsidRPr="00585D7A">
        <w:rPr>
          <w:rFonts w:ascii="Times New Roman" w:eastAsia="楷体" w:hAnsi="Times New Roman" w:hint="eastAsia"/>
          <w:color w:val="2E74B5" w:themeColor="accent1" w:themeShade="BF"/>
          <w:sz w:val="24"/>
          <w:szCs w:val="24"/>
        </w:rPr>
        <w:t>上半年公司功能性产品的毛利率受多重因素影响呈现波动。功能性产品包括液体、固体蛋氨酸和维生素。尽管液体蛋氨</w:t>
      </w:r>
      <w:proofErr w:type="gramStart"/>
      <w:r w:rsidRPr="00585D7A">
        <w:rPr>
          <w:rFonts w:ascii="Times New Roman" w:eastAsia="楷体" w:hAnsi="Times New Roman" w:hint="eastAsia"/>
          <w:color w:val="2E74B5" w:themeColor="accent1" w:themeShade="BF"/>
          <w:sz w:val="24"/>
          <w:szCs w:val="24"/>
        </w:rPr>
        <w:t>酸表现</w:t>
      </w:r>
      <w:proofErr w:type="gramEnd"/>
      <w:r w:rsidRPr="00585D7A">
        <w:rPr>
          <w:rFonts w:ascii="Times New Roman" w:eastAsia="楷体" w:hAnsi="Times New Roman" w:hint="eastAsia"/>
          <w:color w:val="2E74B5" w:themeColor="accent1" w:themeShade="BF"/>
          <w:sz w:val="24"/>
          <w:szCs w:val="24"/>
        </w:rPr>
        <w:t>稳健，但维生素与固体蛋</w:t>
      </w:r>
      <w:proofErr w:type="gramStart"/>
      <w:r w:rsidRPr="00585D7A">
        <w:rPr>
          <w:rFonts w:ascii="Times New Roman" w:eastAsia="楷体" w:hAnsi="Times New Roman" w:hint="eastAsia"/>
          <w:color w:val="2E74B5" w:themeColor="accent1" w:themeShade="BF"/>
          <w:sz w:val="24"/>
          <w:szCs w:val="24"/>
        </w:rPr>
        <w:t>氨酸两大</w:t>
      </w:r>
      <w:proofErr w:type="gramEnd"/>
      <w:r w:rsidRPr="00585D7A">
        <w:rPr>
          <w:rFonts w:ascii="Times New Roman" w:eastAsia="楷体" w:hAnsi="Times New Roman" w:hint="eastAsia"/>
          <w:color w:val="2E74B5" w:themeColor="accent1" w:themeShade="BF"/>
          <w:sz w:val="24"/>
          <w:szCs w:val="24"/>
        </w:rPr>
        <w:t>业务板块对整体毛利率产生一定影响。维生素业务方面，公司除自产维生素</w:t>
      </w:r>
      <w:r w:rsidRPr="00585D7A">
        <w:rPr>
          <w:rFonts w:ascii="Times New Roman" w:eastAsia="楷体" w:hAnsi="Times New Roman" w:hint="eastAsia"/>
          <w:color w:val="2E74B5" w:themeColor="accent1" w:themeShade="BF"/>
          <w:sz w:val="24"/>
          <w:szCs w:val="24"/>
        </w:rPr>
        <w:t>A</w:t>
      </w:r>
      <w:r w:rsidRPr="00585D7A">
        <w:rPr>
          <w:rFonts w:ascii="Times New Roman" w:eastAsia="楷体" w:hAnsi="Times New Roman" w:hint="eastAsia"/>
          <w:color w:val="2E74B5" w:themeColor="accent1" w:themeShade="BF"/>
          <w:sz w:val="24"/>
          <w:szCs w:val="24"/>
        </w:rPr>
        <w:t>外均，其他维生素品类属贸易范畴，利润</w:t>
      </w:r>
      <w:r w:rsidR="00C567AC">
        <w:rPr>
          <w:rFonts w:ascii="Times New Roman" w:eastAsia="楷体" w:hAnsi="Times New Roman" w:hint="eastAsia"/>
          <w:color w:val="2E74B5" w:themeColor="accent1" w:themeShade="BF"/>
          <w:sz w:val="24"/>
          <w:szCs w:val="24"/>
        </w:rPr>
        <w:t>水平</w:t>
      </w:r>
      <w:r w:rsidR="00295F81">
        <w:rPr>
          <w:rFonts w:ascii="Times New Roman" w:eastAsia="楷体" w:hAnsi="Times New Roman" w:hint="eastAsia"/>
          <w:color w:val="2E74B5" w:themeColor="accent1" w:themeShade="BF"/>
          <w:sz w:val="24"/>
          <w:szCs w:val="24"/>
        </w:rPr>
        <w:t>相对</w:t>
      </w:r>
      <w:r w:rsidR="00873418">
        <w:rPr>
          <w:rFonts w:ascii="Times New Roman" w:eastAsia="楷体" w:hAnsi="Times New Roman" w:hint="eastAsia"/>
          <w:color w:val="2E74B5" w:themeColor="accent1" w:themeShade="BF"/>
          <w:sz w:val="24"/>
          <w:szCs w:val="24"/>
        </w:rPr>
        <w:t>较窄</w:t>
      </w:r>
      <w:r w:rsidRPr="00585D7A">
        <w:rPr>
          <w:rFonts w:ascii="Times New Roman" w:eastAsia="楷体" w:hAnsi="Times New Roman" w:hint="eastAsia"/>
          <w:color w:val="2E74B5" w:themeColor="accent1" w:themeShade="BF"/>
          <w:sz w:val="24"/>
          <w:szCs w:val="24"/>
        </w:rPr>
        <w:t>且易受市场价格波动冲击，致使</w:t>
      </w:r>
      <w:r w:rsidRPr="00585D7A">
        <w:rPr>
          <w:rFonts w:ascii="Times New Roman" w:eastAsia="楷体" w:hAnsi="Times New Roman" w:hint="eastAsia"/>
          <w:color w:val="2E74B5" w:themeColor="accent1" w:themeShade="BF"/>
          <w:sz w:val="24"/>
          <w:szCs w:val="24"/>
        </w:rPr>
        <w:t>2025</w:t>
      </w:r>
      <w:r w:rsidRPr="00585D7A">
        <w:rPr>
          <w:rFonts w:ascii="Times New Roman" w:eastAsia="楷体" w:hAnsi="Times New Roman" w:hint="eastAsia"/>
          <w:color w:val="2E74B5" w:themeColor="accent1" w:themeShade="BF"/>
          <w:sz w:val="24"/>
          <w:szCs w:val="24"/>
        </w:rPr>
        <w:t>年与</w:t>
      </w:r>
      <w:r w:rsidRPr="00585D7A">
        <w:rPr>
          <w:rFonts w:ascii="Times New Roman" w:eastAsia="楷体" w:hAnsi="Times New Roman" w:hint="eastAsia"/>
          <w:color w:val="2E74B5" w:themeColor="accent1" w:themeShade="BF"/>
          <w:sz w:val="24"/>
          <w:szCs w:val="24"/>
        </w:rPr>
        <w:t>2024</w:t>
      </w:r>
      <w:r w:rsidRPr="00585D7A">
        <w:rPr>
          <w:rFonts w:ascii="Times New Roman" w:eastAsia="楷体" w:hAnsi="Times New Roman" w:hint="eastAsia"/>
          <w:color w:val="2E74B5" w:themeColor="accent1" w:themeShade="BF"/>
          <w:sz w:val="24"/>
          <w:szCs w:val="24"/>
        </w:rPr>
        <w:t>年利润贡献呈现差异；固体蛋氨酸方面：公司关闭老旧工厂后，现存工厂仍沿用</w:t>
      </w:r>
      <w:r w:rsidR="008E72DD">
        <w:rPr>
          <w:rFonts w:ascii="Times New Roman" w:eastAsia="楷体" w:hAnsi="Times New Roman" w:hint="eastAsia"/>
          <w:color w:val="2E74B5" w:themeColor="accent1" w:themeShade="BF"/>
          <w:sz w:val="24"/>
          <w:szCs w:val="24"/>
        </w:rPr>
        <w:t>历史</w:t>
      </w:r>
      <w:r w:rsidRPr="00585D7A">
        <w:rPr>
          <w:rFonts w:ascii="Times New Roman" w:eastAsia="楷体" w:hAnsi="Times New Roman" w:hint="eastAsia"/>
          <w:color w:val="2E74B5" w:themeColor="accent1" w:themeShade="BF"/>
          <w:sz w:val="24"/>
          <w:szCs w:val="24"/>
        </w:rPr>
        <w:t>传统工艺</w:t>
      </w:r>
      <w:r w:rsidR="008E72DD">
        <w:rPr>
          <w:rFonts w:ascii="Times New Roman" w:eastAsia="楷体" w:hAnsi="Times New Roman" w:hint="eastAsia"/>
          <w:color w:val="2E74B5" w:themeColor="accent1" w:themeShade="BF"/>
          <w:sz w:val="24"/>
          <w:szCs w:val="24"/>
        </w:rPr>
        <w:t>导致</w:t>
      </w:r>
      <w:r w:rsidRPr="00585D7A">
        <w:rPr>
          <w:rFonts w:ascii="Times New Roman" w:eastAsia="楷体" w:hAnsi="Times New Roman" w:hint="eastAsia"/>
          <w:color w:val="2E74B5" w:themeColor="accent1" w:themeShade="BF"/>
          <w:sz w:val="24"/>
          <w:szCs w:val="24"/>
        </w:rPr>
        <w:t>较高的原材料成</w:t>
      </w:r>
      <w:r w:rsidR="00D97DDE">
        <w:rPr>
          <w:rFonts w:ascii="Times New Roman" w:eastAsia="楷体" w:hAnsi="Times New Roman" w:hint="eastAsia"/>
          <w:color w:val="2E74B5" w:themeColor="accent1" w:themeShade="BF"/>
          <w:sz w:val="24"/>
          <w:szCs w:val="24"/>
        </w:rPr>
        <w:t>本较高</w:t>
      </w:r>
      <w:r w:rsidR="008928E5">
        <w:rPr>
          <w:rFonts w:ascii="Times New Roman" w:eastAsia="楷体" w:hAnsi="Times New Roman" w:hint="eastAsia"/>
          <w:color w:val="2E74B5" w:themeColor="accent1" w:themeShade="BF"/>
          <w:sz w:val="24"/>
          <w:szCs w:val="24"/>
        </w:rPr>
        <w:t>限制了</w:t>
      </w:r>
      <w:r w:rsidRPr="00585D7A">
        <w:rPr>
          <w:rFonts w:ascii="Times New Roman" w:eastAsia="楷体" w:hAnsi="Times New Roman" w:hint="eastAsia"/>
          <w:color w:val="2E74B5" w:themeColor="accent1" w:themeShade="BF"/>
          <w:sz w:val="24"/>
          <w:szCs w:val="24"/>
        </w:rPr>
        <w:t>盈利空间。加之第二季度南京工厂及欧洲工厂实施</w:t>
      </w:r>
      <w:r w:rsidR="008928E5">
        <w:rPr>
          <w:rFonts w:ascii="Times New Roman" w:eastAsia="楷体" w:hAnsi="Times New Roman" w:hint="eastAsia"/>
          <w:color w:val="2E74B5" w:themeColor="accent1" w:themeShade="BF"/>
          <w:sz w:val="24"/>
          <w:szCs w:val="24"/>
        </w:rPr>
        <w:t>停产</w:t>
      </w:r>
      <w:r w:rsidRPr="00585D7A">
        <w:rPr>
          <w:rFonts w:ascii="Times New Roman" w:eastAsia="楷体" w:hAnsi="Times New Roman" w:hint="eastAsia"/>
          <w:color w:val="2E74B5" w:themeColor="accent1" w:themeShade="BF"/>
          <w:sz w:val="24"/>
          <w:szCs w:val="24"/>
        </w:rPr>
        <w:t>检修，期间产能阶段性走低并伴随检修支出，</w:t>
      </w:r>
      <w:r w:rsidR="006F0875">
        <w:rPr>
          <w:rFonts w:ascii="Times New Roman" w:eastAsia="楷体" w:hAnsi="Times New Roman" w:hint="eastAsia"/>
          <w:color w:val="2E74B5" w:themeColor="accent1" w:themeShade="BF"/>
          <w:sz w:val="24"/>
          <w:szCs w:val="24"/>
        </w:rPr>
        <w:t>暂时性</w:t>
      </w:r>
      <w:r w:rsidRPr="00585D7A">
        <w:rPr>
          <w:rFonts w:ascii="Times New Roman" w:eastAsia="楷体" w:hAnsi="Times New Roman" w:hint="eastAsia"/>
          <w:color w:val="2E74B5" w:themeColor="accent1" w:themeShade="BF"/>
          <w:sz w:val="24"/>
          <w:szCs w:val="24"/>
        </w:rPr>
        <w:t>影响了公司功能性产品板块的毛利率。</w:t>
      </w:r>
    </w:p>
    <w:p w14:paraId="1EE9A366" w14:textId="77777777" w:rsidR="007D0665" w:rsidRDefault="007D0665" w:rsidP="007D0665">
      <w:pPr>
        <w:pStyle w:val="a8"/>
        <w:ind w:left="420" w:firstLineChars="0" w:firstLine="0"/>
        <w:rPr>
          <w:rFonts w:ascii="Times New Roman" w:eastAsia="楷体" w:hAnsi="Times New Roman"/>
          <w:sz w:val="24"/>
          <w:szCs w:val="24"/>
        </w:rPr>
      </w:pPr>
    </w:p>
    <w:p w14:paraId="7D9DE181" w14:textId="5BB51CE8" w:rsidR="007D0665" w:rsidRDefault="00177873" w:rsidP="00177873">
      <w:pPr>
        <w:pStyle w:val="a8"/>
        <w:numPr>
          <w:ilvl w:val="3"/>
          <w:numId w:val="1"/>
        </w:numPr>
        <w:ind w:left="434" w:firstLineChars="0"/>
        <w:rPr>
          <w:rFonts w:ascii="Times New Roman" w:eastAsia="楷体" w:hAnsi="Times New Roman"/>
          <w:sz w:val="24"/>
          <w:szCs w:val="24"/>
        </w:rPr>
      </w:pPr>
      <w:r>
        <w:rPr>
          <w:rFonts w:ascii="Times New Roman" w:eastAsia="楷体" w:hAnsi="Times New Roman" w:hint="eastAsia"/>
          <w:sz w:val="24"/>
          <w:szCs w:val="24"/>
        </w:rPr>
        <w:t>公司的</w:t>
      </w:r>
      <w:r w:rsidRPr="00177873">
        <w:rPr>
          <w:rFonts w:ascii="Times New Roman" w:eastAsia="楷体" w:hAnsi="Times New Roman" w:hint="eastAsia"/>
          <w:sz w:val="24"/>
          <w:szCs w:val="24"/>
        </w:rPr>
        <w:t>生产与销售活动的季节性分布特征及其在不同市场中的表现</w:t>
      </w:r>
      <w:r>
        <w:rPr>
          <w:rFonts w:ascii="Times New Roman" w:eastAsia="楷体" w:hAnsi="Times New Roman" w:hint="eastAsia"/>
          <w:sz w:val="24"/>
          <w:szCs w:val="24"/>
        </w:rPr>
        <w:t>？</w:t>
      </w:r>
    </w:p>
    <w:p w14:paraId="223E297A" w14:textId="024A3D42" w:rsidR="00DB2667" w:rsidRDefault="00DB2667" w:rsidP="00482A44">
      <w:pPr>
        <w:pStyle w:val="a8"/>
        <w:tabs>
          <w:tab w:val="left" w:pos="993"/>
        </w:tabs>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Pr="00DB2667">
        <w:rPr>
          <w:rFonts w:ascii="Times New Roman" w:eastAsia="楷体" w:hAnsi="Times New Roman" w:hint="eastAsia"/>
          <w:color w:val="2E74B5" w:themeColor="accent1" w:themeShade="BF"/>
          <w:sz w:val="24"/>
          <w:szCs w:val="24"/>
        </w:rPr>
        <w:t>公司生产排产遵循的核心原则是以南京工厂的低成本优势为优先，结合西班牙工厂的灵活性进行动态调配。具体而言，无论是否处于传统生产旺季，均以充分释放南京工厂产能为首要目标，因其具备显著的成本竞争力。然而，鉴于跨国运输中存在的关税、非贸易壁垒及供应</w:t>
      </w:r>
      <w:proofErr w:type="gramStart"/>
      <w:r w:rsidRPr="00DB2667">
        <w:rPr>
          <w:rFonts w:ascii="Times New Roman" w:eastAsia="楷体" w:hAnsi="Times New Roman" w:hint="eastAsia"/>
          <w:color w:val="2E74B5" w:themeColor="accent1" w:themeShade="BF"/>
          <w:sz w:val="24"/>
          <w:szCs w:val="24"/>
        </w:rPr>
        <w:t>链综合</w:t>
      </w:r>
      <w:proofErr w:type="gramEnd"/>
      <w:r w:rsidRPr="00DB2667">
        <w:rPr>
          <w:rFonts w:ascii="Times New Roman" w:eastAsia="楷体" w:hAnsi="Times New Roman" w:hint="eastAsia"/>
          <w:color w:val="2E74B5" w:themeColor="accent1" w:themeShade="BF"/>
          <w:sz w:val="24"/>
          <w:szCs w:val="24"/>
        </w:rPr>
        <w:t>成本等因素，若向特定区域（如美洲市场）直接出口产品经济性不足时，则依托西班牙工厂作为区域化生产基地，实现本地化供应。这一策略旨在通过双平台协同运作，既发挥南京工厂的成本优势，又借助西班牙工厂的区位灵活性，确保能够高效响应全球客户需求，尤其在面对新增订单时，可快速调动两地产能资源，平衡成本控制与市场覆盖的双重目标。</w:t>
      </w:r>
    </w:p>
    <w:p w14:paraId="681EE21A" w14:textId="77777777" w:rsidR="007B42DC" w:rsidRDefault="007B42DC" w:rsidP="00DB2667">
      <w:pPr>
        <w:pStyle w:val="a8"/>
        <w:ind w:left="434" w:firstLineChars="0" w:firstLine="0"/>
        <w:rPr>
          <w:rFonts w:ascii="Times New Roman" w:eastAsia="楷体" w:hAnsi="Times New Roman"/>
          <w:color w:val="2E74B5" w:themeColor="accent1" w:themeShade="BF"/>
          <w:sz w:val="24"/>
          <w:szCs w:val="24"/>
        </w:rPr>
      </w:pPr>
    </w:p>
    <w:p w14:paraId="1B77AAF7" w14:textId="0AE35C65" w:rsidR="007B42DC" w:rsidRDefault="007B42DC" w:rsidP="007B42DC">
      <w:pPr>
        <w:pStyle w:val="a8"/>
        <w:numPr>
          <w:ilvl w:val="3"/>
          <w:numId w:val="1"/>
        </w:numPr>
        <w:ind w:left="434" w:firstLineChars="0"/>
        <w:rPr>
          <w:rFonts w:ascii="Times New Roman" w:eastAsia="楷体" w:hAnsi="Times New Roman"/>
          <w:sz w:val="24"/>
          <w:szCs w:val="24"/>
        </w:rPr>
      </w:pPr>
      <w:r w:rsidRPr="007B42DC">
        <w:rPr>
          <w:rFonts w:ascii="Times New Roman" w:eastAsia="楷体" w:hAnsi="Times New Roman" w:hint="eastAsia"/>
          <w:sz w:val="24"/>
          <w:szCs w:val="24"/>
        </w:rPr>
        <w:t>公司的脱瓶颈项目</w:t>
      </w:r>
      <w:r>
        <w:rPr>
          <w:rFonts w:ascii="Times New Roman" w:eastAsia="楷体" w:hAnsi="Times New Roman" w:hint="eastAsia"/>
          <w:sz w:val="24"/>
          <w:szCs w:val="24"/>
        </w:rPr>
        <w:t>预计可</w:t>
      </w:r>
      <w:r w:rsidRPr="007B42DC">
        <w:rPr>
          <w:rFonts w:ascii="Times New Roman" w:eastAsia="楷体" w:hAnsi="Times New Roman" w:hint="eastAsia"/>
          <w:sz w:val="24"/>
          <w:szCs w:val="24"/>
        </w:rPr>
        <w:t>为公司新增</w:t>
      </w:r>
      <w:r>
        <w:rPr>
          <w:rFonts w:ascii="Times New Roman" w:eastAsia="楷体" w:hAnsi="Times New Roman" w:hint="eastAsia"/>
          <w:sz w:val="24"/>
          <w:szCs w:val="24"/>
        </w:rPr>
        <w:t>产能约</w:t>
      </w:r>
      <w:r w:rsidRPr="007B42DC">
        <w:rPr>
          <w:rFonts w:ascii="Times New Roman" w:eastAsia="楷体" w:hAnsi="Times New Roman" w:hint="eastAsia"/>
          <w:sz w:val="24"/>
          <w:szCs w:val="24"/>
        </w:rPr>
        <w:t>多少？</w:t>
      </w:r>
    </w:p>
    <w:p w14:paraId="5029D69B" w14:textId="3F926428" w:rsidR="00482A44" w:rsidRDefault="00482A44" w:rsidP="00482A44">
      <w:pPr>
        <w:pStyle w:val="a8"/>
        <w:tabs>
          <w:tab w:val="left" w:pos="993"/>
        </w:tabs>
        <w:ind w:left="434" w:firstLineChars="0" w:firstLine="0"/>
        <w:rPr>
          <w:rFonts w:ascii="Times New Roman" w:eastAsia="楷体" w:hAnsi="Times New Roman"/>
          <w:color w:val="2E74B5" w:themeColor="accent1" w:themeShade="BF"/>
          <w:sz w:val="24"/>
          <w:szCs w:val="24"/>
        </w:rPr>
      </w:pPr>
      <w:r w:rsidRPr="00482A44">
        <w:rPr>
          <w:rFonts w:ascii="Times New Roman" w:eastAsia="楷体" w:hAnsi="Times New Roman" w:hint="eastAsia"/>
          <w:color w:val="2E74B5" w:themeColor="accent1" w:themeShade="BF"/>
          <w:sz w:val="24"/>
          <w:szCs w:val="24"/>
        </w:rPr>
        <w:t xml:space="preserve">        </w:t>
      </w:r>
      <w:r w:rsidRPr="00482A44">
        <w:rPr>
          <w:rFonts w:ascii="Times New Roman" w:eastAsia="楷体" w:hAnsi="Times New Roman" w:hint="eastAsia"/>
          <w:color w:val="2E74B5" w:themeColor="accent1" w:themeShade="BF"/>
          <w:sz w:val="24"/>
          <w:szCs w:val="24"/>
        </w:rPr>
        <w:t>公司的脱瓶颈项目通过渐进式产能扩张，预计可有效提升约</w:t>
      </w:r>
      <w:r w:rsidRPr="00482A44">
        <w:rPr>
          <w:rFonts w:ascii="Times New Roman" w:eastAsia="楷体" w:hAnsi="Times New Roman" w:hint="eastAsia"/>
          <w:color w:val="2E74B5" w:themeColor="accent1" w:themeShade="BF"/>
          <w:sz w:val="24"/>
          <w:szCs w:val="24"/>
        </w:rPr>
        <w:t>15%</w:t>
      </w:r>
      <w:r w:rsidRPr="00482A44">
        <w:rPr>
          <w:rFonts w:ascii="Times New Roman" w:eastAsia="楷体" w:hAnsi="Times New Roman" w:hint="eastAsia"/>
          <w:color w:val="2E74B5" w:themeColor="accent1" w:themeShade="BF"/>
          <w:sz w:val="24"/>
          <w:szCs w:val="24"/>
        </w:rPr>
        <w:t>的生产能力。该项目具有显著的经济性特征，表现为资本投入规模较小但产出效益突出。这一举措对安迪苏的综合竞争力提升具有关键作用，能够以有限的资金投入实现产能与市场响应能力的双重优化，为公司长期发展提供有力支撑。</w:t>
      </w:r>
    </w:p>
    <w:p w14:paraId="0BA6366F" w14:textId="77777777" w:rsidR="00DF296F" w:rsidRDefault="00DF296F" w:rsidP="00482A44">
      <w:pPr>
        <w:pStyle w:val="a8"/>
        <w:tabs>
          <w:tab w:val="left" w:pos="993"/>
        </w:tabs>
        <w:ind w:left="434" w:firstLineChars="0" w:firstLine="0"/>
        <w:rPr>
          <w:rFonts w:ascii="Times New Roman" w:eastAsia="楷体" w:hAnsi="Times New Roman"/>
          <w:color w:val="2E74B5" w:themeColor="accent1" w:themeShade="BF"/>
          <w:sz w:val="24"/>
          <w:szCs w:val="24"/>
        </w:rPr>
      </w:pPr>
    </w:p>
    <w:p w14:paraId="56E353D6" w14:textId="29AD713B" w:rsidR="00C1228C" w:rsidRDefault="00C1228C" w:rsidP="00DF296F">
      <w:pPr>
        <w:pStyle w:val="a8"/>
        <w:numPr>
          <w:ilvl w:val="3"/>
          <w:numId w:val="1"/>
        </w:numPr>
        <w:ind w:left="434" w:firstLineChars="0"/>
        <w:rPr>
          <w:rFonts w:ascii="Times New Roman" w:eastAsia="楷体" w:hAnsi="Times New Roman"/>
          <w:sz w:val="24"/>
          <w:szCs w:val="24"/>
        </w:rPr>
      </w:pPr>
      <w:r w:rsidRPr="00C1228C">
        <w:rPr>
          <w:rFonts w:ascii="Times New Roman" w:eastAsia="楷体" w:hAnsi="Times New Roman" w:hint="eastAsia"/>
          <w:sz w:val="24"/>
          <w:szCs w:val="24"/>
        </w:rPr>
        <w:t>请问贵公司的</w:t>
      </w:r>
      <w:proofErr w:type="gramStart"/>
      <w:r w:rsidRPr="00C1228C">
        <w:rPr>
          <w:rFonts w:ascii="Times New Roman" w:eastAsia="楷体" w:hAnsi="Times New Roman" w:hint="eastAsia"/>
          <w:sz w:val="24"/>
          <w:szCs w:val="24"/>
        </w:rPr>
        <w:t>定增</w:t>
      </w:r>
      <w:r w:rsidR="00943C90">
        <w:rPr>
          <w:rFonts w:ascii="Times New Roman" w:eastAsia="楷体" w:hAnsi="Times New Roman" w:hint="eastAsia"/>
          <w:sz w:val="24"/>
          <w:szCs w:val="24"/>
        </w:rPr>
        <w:t>属于</w:t>
      </w:r>
      <w:proofErr w:type="gramEnd"/>
      <w:r w:rsidR="00943C90">
        <w:rPr>
          <w:rFonts w:ascii="Times New Roman" w:eastAsia="楷体" w:hAnsi="Times New Roman" w:hint="eastAsia"/>
          <w:sz w:val="24"/>
          <w:szCs w:val="24"/>
        </w:rPr>
        <w:t>一般程序还是简易程序，项目</w:t>
      </w:r>
      <w:r w:rsidRPr="00C1228C">
        <w:rPr>
          <w:rFonts w:ascii="Times New Roman" w:eastAsia="楷体" w:hAnsi="Times New Roman" w:hint="eastAsia"/>
          <w:sz w:val="24"/>
          <w:szCs w:val="24"/>
        </w:rPr>
        <w:t>获批后，什么时候开始实施？</w:t>
      </w:r>
    </w:p>
    <w:p w14:paraId="1635669E" w14:textId="4FA64B59" w:rsidR="00C1228C" w:rsidRDefault="00C1228C" w:rsidP="005E2FF0">
      <w:pPr>
        <w:pStyle w:val="a8"/>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00943C90">
        <w:rPr>
          <w:rFonts w:ascii="Times New Roman" w:eastAsia="楷体" w:hAnsi="Times New Roman" w:hint="eastAsia"/>
          <w:color w:val="2E74B5" w:themeColor="accent1" w:themeShade="BF"/>
          <w:sz w:val="24"/>
          <w:szCs w:val="24"/>
        </w:rPr>
        <w:t>安迪苏</w:t>
      </w:r>
      <w:r w:rsidRPr="00C1228C">
        <w:rPr>
          <w:rFonts w:ascii="Times New Roman" w:eastAsia="楷体" w:hAnsi="Times New Roman" w:hint="eastAsia"/>
          <w:color w:val="2E74B5" w:themeColor="accent1" w:themeShade="BF"/>
          <w:sz w:val="24"/>
          <w:szCs w:val="24"/>
        </w:rPr>
        <w:t>本次向不超过</w:t>
      </w:r>
      <w:r w:rsidRPr="00C1228C">
        <w:rPr>
          <w:rFonts w:ascii="Times New Roman" w:eastAsia="楷体" w:hAnsi="Times New Roman" w:hint="eastAsia"/>
          <w:color w:val="2E74B5" w:themeColor="accent1" w:themeShade="BF"/>
          <w:sz w:val="24"/>
          <w:szCs w:val="24"/>
        </w:rPr>
        <w:t>35</w:t>
      </w:r>
      <w:r w:rsidRPr="00C1228C">
        <w:rPr>
          <w:rFonts w:ascii="Times New Roman" w:eastAsia="楷体" w:hAnsi="Times New Roman" w:hint="eastAsia"/>
          <w:color w:val="2E74B5" w:themeColor="accent1" w:themeShade="BF"/>
          <w:sz w:val="24"/>
          <w:szCs w:val="24"/>
        </w:rPr>
        <w:t>名符合条件的特定对象发行</w:t>
      </w:r>
      <w:r w:rsidRPr="00C1228C">
        <w:rPr>
          <w:rFonts w:ascii="Times New Roman" w:eastAsia="楷体" w:hAnsi="Times New Roman" w:hint="eastAsia"/>
          <w:color w:val="2E74B5" w:themeColor="accent1" w:themeShade="BF"/>
          <w:sz w:val="24"/>
          <w:szCs w:val="24"/>
        </w:rPr>
        <w:t>A</w:t>
      </w:r>
      <w:r w:rsidRPr="00C1228C">
        <w:rPr>
          <w:rFonts w:ascii="Times New Roman" w:eastAsia="楷体" w:hAnsi="Times New Roman" w:hint="eastAsia"/>
          <w:color w:val="2E74B5" w:themeColor="accent1" w:themeShade="BF"/>
          <w:sz w:val="24"/>
          <w:szCs w:val="24"/>
        </w:rPr>
        <w:t>股股票</w:t>
      </w:r>
      <w:r w:rsidR="00943C90">
        <w:rPr>
          <w:rFonts w:ascii="Times New Roman" w:eastAsia="楷体" w:hAnsi="Times New Roman" w:hint="eastAsia"/>
          <w:color w:val="2E74B5" w:themeColor="accent1" w:themeShade="BF"/>
          <w:sz w:val="24"/>
          <w:szCs w:val="24"/>
        </w:rPr>
        <w:t>属于一般程序。公司</w:t>
      </w:r>
      <w:r w:rsidRPr="00C1228C">
        <w:rPr>
          <w:rFonts w:ascii="Times New Roman" w:eastAsia="楷体" w:hAnsi="Times New Roman" w:hint="eastAsia"/>
          <w:color w:val="2E74B5" w:themeColor="accent1" w:themeShade="BF"/>
          <w:sz w:val="24"/>
          <w:szCs w:val="24"/>
        </w:rPr>
        <w:t>始终秉持公平、公正、公开的原则，严格遵守中国证监会及上海证券交易所的相关法律法规，所有重大决策均以公司长期发展和全体股东利益最大化为出发点。本次向特定对象发行经董事会、股东会审议通过，不存在任何利益输送行为。</w:t>
      </w:r>
      <w:proofErr w:type="gramStart"/>
      <w:r w:rsidRPr="00C1228C">
        <w:rPr>
          <w:rFonts w:ascii="Times New Roman" w:eastAsia="楷体" w:hAnsi="Times New Roman" w:hint="eastAsia"/>
          <w:color w:val="2E74B5" w:themeColor="accent1" w:themeShade="BF"/>
          <w:sz w:val="24"/>
          <w:szCs w:val="24"/>
        </w:rPr>
        <w:t>本次定增定价</w:t>
      </w:r>
      <w:proofErr w:type="gramEnd"/>
      <w:r w:rsidRPr="00C1228C">
        <w:rPr>
          <w:rFonts w:ascii="Times New Roman" w:eastAsia="楷体" w:hAnsi="Times New Roman" w:hint="eastAsia"/>
          <w:color w:val="2E74B5" w:themeColor="accent1" w:themeShade="BF"/>
          <w:sz w:val="24"/>
          <w:szCs w:val="24"/>
        </w:rPr>
        <w:t>严格遵循监管规定，最终发行价格将通过市场化询价确定，确保合</w:t>
      </w:r>
      <w:proofErr w:type="gramStart"/>
      <w:r w:rsidRPr="00C1228C">
        <w:rPr>
          <w:rFonts w:ascii="Times New Roman" w:eastAsia="楷体" w:hAnsi="Times New Roman" w:hint="eastAsia"/>
          <w:color w:val="2E74B5" w:themeColor="accent1" w:themeShade="BF"/>
          <w:sz w:val="24"/>
          <w:szCs w:val="24"/>
        </w:rPr>
        <w:t>规</w:t>
      </w:r>
      <w:proofErr w:type="gramEnd"/>
      <w:r w:rsidRPr="00C1228C">
        <w:rPr>
          <w:rFonts w:ascii="Times New Roman" w:eastAsia="楷体" w:hAnsi="Times New Roman" w:hint="eastAsia"/>
          <w:color w:val="2E74B5" w:themeColor="accent1" w:themeShade="BF"/>
          <w:sz w:val="24"/>
          <w:szCs w:val="24"/>
        </w:rPr>
        <w:t>性。目前，该项目已于</w:t>
      </w:r>
      <w:r w:rsidRPr="00C1228C">
        <w:rPr>
          <w:rFonts w:ascii="Times New Roman" w:eastAsia="楷体" w:hAnsi="Times New Roman" w:hint="eastAsia"/>
          <w:color w:val="2E74B5" w:themeColor="accent1" w:themeShade="BF"/>
          <w:sz w:val="24"/>
          <w:szCs w:val="24"/>
        </w:rPr>
        <w:t>2025</w:t>
      </w:r>
      <w:r w:rsidRPr="00C1228C">
        <w:rPr>
          <w:rFonts w:ascii="Times New Roman" w:eastAsia="楷体" w:hAnsi="Times New Roman" w:hint="eastAsia"/>
          <w:color w:val="2E74B5" w:themeColor="accent1" w:themeShade="BF"/>
          <w:sz w:val="24"/>
          <w:szCs w:val="24"/>
        </w:rPr>
        <w:t>年</w:t>
      </w:r>
      <w:r w:rsidRPr="00C1228C">
        <w:rPr>
          <w:rFonts w:ascii="Times New Roman" w:eastAsia="楷体" w:hAnsi="Times New Roman" w:hint="eastAsia"/>
          <w:color w:val="2E74B5" w:themeColor="accent1" w:themeShade="BF"/>
          <w:sz w:val="24"/>
          <w:szCs w:val="24"/>
        </w:rPr>
        <w:t>8</w:t>
      </w:r>
      <w:r w:rsidRPr="00C1228C">
        <w:rPr>
          <w:rFonts w:ascii="Times New Roman" w:eastAsia="楷体" w:hAnsi="Times New Roman" w:hint="eastAsia"/>
          <w:color w:val="2E74B5" w:themeColor="accent1" w:themeShade="BF"/>
          <w:sz w:val="24"/>
          <w:szCs w:val="24"/>
        </w:rPr>
        <w:t>月</w:t>
      </w:r>
      <w:r w:rsidRPr="00C1228C">
        <w:rPr>
          <w:rFonts w:ascii="Times New Roman" w:eastAsia="楷体" w:hAnsi="Times New Roman" w:hint="eastAsia"/>
          <w:color w:val="2E74B5" w:themeColor="accent1" w:themeShade="BF"/>
          <w:sz w:val="24"/>
          <w:szCs w:val="24"/>
        </w:rPr>
        <w:t>7</w:t>
      </w:r>
      <w:r w:rsidRPr="00C1228C">
        <w:rPr>
          <w:rFonts w:ascii="Times New Roman" w:eastAsia="楷体" w:hAnsi="Times New Roman" w:hint="eastAsia"/>
          <w:color w:val="2E74B5" w:themeColor="accent1" w:themeShade="BF"/>
          <w:sz w:val="24"/>
          <w:szCs w:val="24"/>
        </w:rPr>
        <w:t>日经上交所审核通过，并于</w:t>
      </w:r>
      <w:r w:rsidRPr="00C1228C">
        <w:rPr>
          <w:rFonts w:ascii="Times New Roman" w:eastAsia="楷体" w:hAnsi="Times New Roman" w:hint="eastAsia"/>
          <w:color w:val="2E74B5" w:themeColor="accent1" w:themeShade="BF"/>
          <w:sz w:val="24"/>
          <w:szCs w:val="24"/>
        </w:rPr>
        <w:t>8</w:t>
      </w:r>
      <w:r w:rsidRPr="00C1228C">
        <w:rPr>
          <w:rFonts w:ascii="Times New Roman" w:eastAsia="楷体" w:hAnsi="Times New Roman" w:hint="eastAsia"/>
          <w:color w:val="2E74B5" w:themeColor="accent1" w:themeShade="BF"/>
          <w:sz w:val="24"/>
          <w:szCs w:val="24"/>
        </w:rPr>
        <w:t>月</w:t>
      </w:r>
      <w:r w:rsidRPr="00C1228C">
        <w:rPr>
          <w:rFonts w:ascii="Times New Roman" w:eastAsia="楷体" w:hAnsi="Times New Roman" w:hint="eastAsia"/>
          <w:color w:val="2E74B5" w:themeColor="accent1" w:themeShade="BF"/>
          <w:sz w:val="24"/>
          <w:szCs w:val="24"/>
        </w:rPr>
        <w:t>17</w:t>
      </w:r>
      <w:r w:rsidRPr="00C1228C">
        <w:rPr>
          <w:rFonts w:ascii="Times New Roman" w:eastAsia="楷体" w:hAnsi="Times New Roman" w:hint="eastAsia"/>
          <w:color w:val="2E74B5" w:themeColor="accent1" w:themeShade="BF"/>
          <w:sz w:val="24"/>
          <w:szCs w:val="24"/>
        </w:rPr>
        <w:t>日进入证监会注册阶段，待完成证监会注册手续后，公司将审慎择取发行良机，全力保障发行品质，切实捍卫全体投资者权益。公司正紧锣密鼓地筹备在多地举办的路演</w:t>
      </w:r>
      <w:proofErr w:type="gramStart"/>
      <w:r w:rsidRPr="00C1228C">
        <w:rPr>
          <w:rFonts w:ascii="Times New Roman" w:eastAsia="楷体" w:hAnsi="Times New Roman" w:hint="eastAsia"/>
          <w:color w:val="2E74B5" w:themeColor="accent1" w:themeShade="BF"/>
          <w:sz w:val="24"/>
          <w:szCs w:val="24"/>
        </w:rPr>
        <w:t>及反路演</w:t>
      </w:r>
      <w:proofErr w:type="gramEnd"/>
      <w:r w:rsidRPr="00C1228C">
        <w:rPr>
          <w:rFonts w:ascii="Times New Roman" w:eastAsia="楷体" w:hAnsi="Times New Roman" w:hint="eastAsia"/>
          <w:color w:val="2E74B5" w:themeColor="accent1" w:themeShade="BF"/>
          <w:sz w:val="24"/>
          <w:szCs w:val="24"/>
        </w:rPr>
        <w:t>活动，获得了很多投资者的关注。公司高度重视中小投资者权益保护，已建立完善的治理结构和信息披露机制，确保所有股东享有平等知情权和参与权。本次增发方案充分考虑市场环境、行业趋势及公司实际需求，旨在优化资本结构、支持业务发展，最终将为全体股东创造更大价值，最终发行将在完成证监会注册之后的一年间择机完成，同时</w:t>
      </w:r>
      <w:proofErr w:type="gramStart"/>
      <w:r w:rsidRPr="00C1228C">
        <w:rPr>
          <w:rFonts w:ascii="Times New Roman" w:eastAsia="楷体" w:hAnsi="Times New Roman" w:hint="eastAsia"/>
          <w:color w:val="2E74B5" w:themeColor="accent1" w:themeShade="BF"/>
          <w:sz w:val="24"/>
          <w:szCs w:val="24"/>
        </w:rPr>
        <w:t>募投项目</w:t>
      </w:r>
      <w:proofErr w:type="gramEnd"/>
      <w:r w:rsidRPr="00C1228C">
        <w:rPr>
          <w:rFonts w:ascii="Times New Roman" w:eastAsia="楷体" w:hAnsi="Times New Roman" w:hint="eastAsia"/>
          <w:color w:val="2E74B5" w:themeColor="accent1" w:themeShade="BF"/>
          <w:sz w:val="24"/>
          <w:szCs w:val="24"/>
        </w:rPr>
        <w:t>进展顺利，公司亦希望尽快完成发行工作以支持“双支柱”战略的高效推进。</w:t>
      </w:r>
    </w:p>
    <w:p w14:paraId="18E650D5" w14:textId="77777777" w:rsidR="005E2FF0" w:rsidRPr="005E2FF0" w:rsidRDefault="005E2FF0" w:rsidP="005E2FF0">
      <w:pPr>
        <w:pStyle w:val="a8"/>
        <w:ind w:left="434" w:firstLineChars="0" w:firstLine="0"/>
        <w:rPr>
          <w:rFonts w:ascii="Times New Roman" w:eastAsia="楷体" w:hAnsi="Times New Roman"/>
          <w:color w:val="2E74B5" w:themeColor="accent1" w:themeShade="BF"/>
          <w:sz w:val="24"/>
          <w:szCs w:val="24"/>
        </w:rPr>
      </w:pPr>
    </w:p>
    <w:p w14:paraId="1800762C" w14:textId="0DFDA659" w:rsidR="00DF296F" w:rsidRDefault="00DF296F" w:rsidP="00DF296F">
      <w:pPr>
        <w:pStyle w:val="a8"/>
        <w:numPr>
          <w:ilvl w:val="3"/>
          <w:numId w:val="1"/>
        </w:numPr>
        <w:ind w:left="434" w:firstLineChars="0"/>
        <w:rPr>
          <w:rFonts w:ascii="Times New Roman" w:eastAsia="楷体" w:hAnsi="Times New Roman"/>
          <w:sz w:val="24"/>
          <w:szCs w:val="24"/>
        </w:rPr>
      </w:pPr>
      <w:r w:rsidRPr="00DF296F">
        <w:rPr>
          <w:rFonts w:ascii="Times New Roman" w:eastAsia="楷体" w:hAnsi="Times New Roman" w:hint="eastAsia"/>
          <w:sz w:val="24"/>
          <w:szCs w:val="24"/>
        </w:rPr>
        <w:t>公司股价自</w:t>
      </w:r>
      <w:r w:rsidRPr="00DF296F">
        <w:rPr>
          <w:rFonts w:ascii="Times New Roman" w:eastAsia="楷体" w:hAnsi="Times New Roman" w:hint="eastAsia"/>
          <w:sz w:val="24"/>
          <w:szCs w:val="24"/>
        </w:rPr>
        <w:t>2015</w:t>
      </w:r>
      <w:r w:rsidRPr="00DF296F">
        <w:rPr>
          <w:rFonts w:ascii="Times New Roman" w:eastAsia="楷体" w:hAnsi="Times New Roman" w:hint="eastAsia"/>
          <w:sz w:val="24"/>
          <w:szCs w:val="24"/>
        </w:rPr>
        <w:t>年</w:t>
      </w:r>
      <w:r w:rsidRPr="00DF296F">
        <w:rPr>
          <w:rFonts w:ascii="Times New Roman" w:eastAsia="楷体" w:hAnsi="Times New Roman" w:hint="eastAsia"/>
          <w:sz w:val="24"/>
          <w:szCs w:val="24"/>
        </w:rPr>
        <w:t>9</w:t>
      </w:r>
      <w:r w:rsidRPr="00DF296F">
        <w:rPr>
          <w:rFonts w:ascii="Times New Roman" w:eastAsia="楷体" w:hAnsi="Times New Roman" w:hint="eastAsia"/>
          <w:sz w:val="24"/>
          <w:szCs w:val="24"/>
        </w:rPr>
        <w:t>月至今，</w:t>
      </w:r>
      <w:r w:rsidRPr="00DF296F">
        <w:rPr>
          <w:rFonts w:ascii="Times New Roman" w:eastAsia="楷体" w:hAnsi="Times New Roman" w:hint="eastAsia"/>
          <w:sz w:val="24"/>
          <w:szCs w:val="24"/>
        </w:rPr>
        <w:t>10</w:t>
      </w:r>
      <w:r w:rsidRPr="00DF296F">
        <w:rPr>
          <w:rFonts w:ascii="Times New Roman" w:eastAsia="楷体" w:hAnsi="Times New Roman" w:hint="eastAsia"/>
          <w:sz w:val="24"/>
          <w:szCs w:val="24"/>
        </w:rPr>
        <w:t>年间一直低位横盘，期间股息率又远不及同期银行利率，请问公司还有没有更好的回报投资者的方式？</w:t>
      </w:r>
    </w:p>
    <w:p w14:paraId="0AA5484C" w14:textId="78051236" w:rsidR="00DF296F" w:rsidRPr="00DF296F" w:rsidRDefault="00DF296F" w:rsidP="00DF296F">
      <w:pPr>
        <w:pStyle w:val="a8"/>
        <w:ind w:left="434" w:firstLineChars="0" w:firstLine="0"/>
        <w:rPr>
          <w:rFonts w:ascii="Times New Roman" w:eastAsia="楷体" w:hAnsi="Times New Roman"/>
          <w:sz w:val="24"/>
          <w:szCs w:val="24"/>
        </w:rPr>
      </w:pPr>
      <w:r>
        <w:rPr>
          <w:rFonts w:ascii="Times New Roman" w:eastAsia="楷体" w:hAnsi="Times New Roman" w:hint="eastAsia"/>
          <w:sz w:val="24"/>
          <w:szCs w:val="24"/>
        </w:rPr>
        <w:t xml:space="preserve">        </w:t>
      </w:r>
      <w:r w:rsidRPr="00DF296F">
        <w:rPr>
          <w:rFonts w:ascii="Times New Roman" w:eastAsia="楷体" w:hAnsi="Times New Roman" w:hint="eastAsia"/>
          <w:color w:val="2E74B5" w:themeColor="accent1" w:themeShade="BF"/>
          <w:sz w:val="24"/>
          <w:szCs w:val="24"/>
        </w:rPr>
        <w:t>自</w:t>
      </w:r>
      <w:r w:rsidRPr="00DF296F">
        <w:rPr>
          <w:rFonts w:ascii="Times New Roman" w:eastAsia="楷体" w:hAnsi="Times New Roman" w:hint="eastAsia"/>
          <w:color w:val="2E74B5" w:themeColor="accent1" w:themeShade="BF"/>
          <w:sz w:val="24"/>
          <w:szCs w:val="24"/>
        </w:rPr>
        <w:t>2016</w:t>
      </w:r>
      <w:r w:rsidRPr="00DF296F">
        <w:rPr>
          <w:rFonts w:ascii="Times New Roman" w:eastAsia="楷体" w:hAnsi="Times New Roman" w:hint="eastAsia"/>
          <w:color w:val="2E74B5" w:themeColor="accent1" w:themeShade="BF"/>
          <w:sz w:val="24"/>
          <w:szCs w:val="24"/>
        </w:rPr>
        <w:t>年以来，公司营业收入稳步增长，自</w:t>
      </w:r>
      <w:r w:rsidRPr="00DF296F">
        <w:rPr>
          <w:rFonts w:ascii="Times New Roman" w:eastAsia="楷体" w:hAnsi="Times New Roman" w:hint="eastAsia"/>
          <w:color w:val="2E74B5" w:themeColor="accent1" w:themeShade="BF"/>
          <w:sz w:val="24"/>
          <w:szCs w:val="24"/>
        </w:rPr>
        <w:t>2016</w:t>
      </w:r>
      <w:r w:rsidRPr="00DF296F">
        <w:rPr>
          <w:rFonts w:ascii="Times New Roman" w:eastAsia="楷体" w:hAnsi="Times New Roman" w:hint="eastAsia"/>
          <w:color w:val="2E74B5" w:themeColor="accent1" w:themeShade="BF"/>
          <w:sz w:val="24"/>
          <w:szCs w:val="24"/>
        </w:rPr>
        <w:t>年</w:t>
      </w:r>
      <w:r w:rsidRPr="00DF296F">
        <w:rPr>
          <w:rFonts w:ascii="Times New Roman" w:eastAsia="楷体" w:hAnsi="Times New Roman" w:hint="eastAsia"/>
          <w:color w:val="2E74B5" w:themeColor="accent1" w:themeShade="BF"/>
          <w:sz w:val="24"/>
          <w:szCs w:val="24"/>
        </w:rPr>
        <w:t>106.88</w:t>
      </w:r>
      <w:r w:rsidRPr="00DF296F">
        <w:rPr>
          <w:rFonts w:ascii="Times New Roman" w:eastAsia="楷体" w:hAnsi="Times New Roman" w:hint="eastAsia"/>
          <w:color w:val="2E74B5" w:themeColor="accent1" w:themeShade="BF"/>
          <w:sz w:val="24"/>
          <w:szCs w:val="24"/>
        </w:rPr>
        <w:t>亿元增长至</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年的</w:t>
      </w:r>
      <w:r w:rsidRPr="00DF296F">
        <w:rPr>
          <w:rFonts w:ascii="Times New Roman" w:eastAsia="楷体" w:hAnsi="Times New Roman" w:hint="eastAsia"/>
          <w:color w:val="2E74B5" w:themeColor="accent1" w:themeShade="BF"/>
          <w:sz w:val="24"/>
          <w:szCs w:val="24"/>
        </w:rPr>
        <w:t>155.34</w:t>
      </w:r>
      <w:r w:rsidRPr="00DF296F">
        <w:rPr>
          <w:rFonts w:ascii="Times New Roman" w:eastAsia="楷体" w:hAnsi="Times New Roman" w:hint="eastAsia"/>
          <w:color w:val="2E74B5" w:themeColor="accent1" w:themeShade="BF"/>
          <w:sz w:val="24"/>
          <w:szCs w:val="24"/>
        </w:rPr>
        <w:t>亿元，其中特种品业务更是实现了快速增长，从</w:t>
      </w:r>
      <w:r w:rsidRPr="00DF296F">
        <w:rPr>
          <w:rFonts w:ascii="Times New Roman" w:eastAsia="楷体" w:hAnsi="Times New Roman" w:hint="eastAsia"/>
          <w:color w:val="2E74B5" w:themeColor="accent1" w:themeShade="BF"/>
          <w:sz w:val="24"/>
          <w:szCs w:val="24"/>
        </w:rPr>
        <w:t>13</w:t>
      </w:r>
      <w:r w:rsidRPr="00DF296F">
        <w:rPr>
          <w:rFonts w:ascii="Times New Roman" w:eastAsia="楷体" w:hAnsi="Times New Roman" w:hint="eastAsia"/>
          <w:color w:val="2E74B5" w:themeColor="accent1" w:themeShade="BF"/>
          <w:sz w:val="24"/>
          <w:szCs w:val="24"/>
        </w:rPr>
        <w:t>亿元的水平增长至</w:t>
      </w:r>
      <w:r w:rsidRPr="00DF296F">
        <w:rPr>
          <w:rFonts w:ascii="Times New Roman" w:eastAsia="楷体" w:hAnsi="Times New Roman" w:hint="eastAsia"/>
          <w:color w:val="2E74B5" w:themeColor="accent1" w:themeShade="BF"/>
          <w:sz w:val="24"/>
          <w:szCs w:val="24"/>
        </w:rPr>
        <w:t>39</w:t>
      </w:r>
      <w:r w:rsidRPr="00DF296F">
        <w:rPr>
          <w:rFonts w:ascii="Times New Roman" w:eastAsia="楷体" w:hAnsi="Times New Roman" w:hint="eastAsia"/>
          <w:color w:val="2E74B5" w:themeColor="accent1" w:themeShade="BF"/>
          <w:sz w:val="24"/>
          <w:szCs w:val="24"/>
        </w:rPr>
        <w:t>亿，助力安迪苏核心业务毛利率维持在行业领先水平。安迪苏始终专注于动物营养添加剂领域，凭借深厚的技术积淀与全球化布局，逐步扩展业务范围并提升核心产品竞争力，成为全球动物营养与健康行业领军者。尽管期间受原材料价格波动、行业周期调整等外部因素影响，由于极低的流通盘水平，限制了公司股价得以充分反映其内在价值的能力。公司过去十年的经营性现金流水平非常强劲，支持了安迪苏使用自有资金支持资本开支、研发项目和外部并购，同时保持较低的资产负债率水平，低于同业平均水平，充分展现了稳健的经营韧性。在公司全力实现有盈利可持续的增长的基础上，公司将在更多维度发力改善，包括但不限于提升长期分红比例，定向增发计划，充分发挥国有企业属性优势协同创效、更大规模、更多层次地开展与各类投资者的沟通活动等。</w:t>
      </w:r>
      <w:r w:rsidRPr="00DF296F">
        <w:rPr>
          <w:rFonts w:ascii="Times New Roman" w:eastAsia="楷体" w:hAnsi="Times New Roman" w:hint="eastAsia"/>
          <w:color w:val="2E74B5" w:themeColor="accent1" w:themeShade="BF"/>
          <w:sz w:val="24"/>
          <w:szCs w:val="24"/>
        </w:rPr>
        <w:t>1</w:t>
      </w:r>
      <w:r w:rsidRPr="00DF296F">
        <w:rPr>
          <w:rFonts w:ascii="Times New Roman" w:eastAsia="楷体" w:hAnsi="Times New Roman" w:hint="eastAsia"/>
          <w:color w:val="2E74B5" w:themeColor="accent1" w:themeShade="BF"/>
          <w:sz w:val="24"/>
          <w:szCs w:val="24"/>
        </w:rPr>
        <w:t>）提升长期分红比例：为提升公司的投资价值，让广大投资者能够充分分享公司经营发展的成果，增强投资者的获得感，公司在确保自身持续稳健经营及长远发展的前提下，已将最低分红比例由</w:t>
      </w:r>
      <w:r w:rsidRPr="00DF296F">
        <w:rPr>
          <w:rFonts w:ascii="Times New Roman" w:eastAsia="楷体" w:hAnsi="Times New Roman" w:hint="eastAsia"/>
          <w:color w:val="2E74B5" w:themeColor="accent1" w:themeShade="BF"/>
          <w:sz w:val="24"/>
          <w:szCs w:val="24"/>
        </w:rPr>
        <w:t xml:space="preserve"> 30%</w:t>
      </w:r>
      <w:r w:rsidRPr="00DF296F">
        <w:rPr>
          <w:rFonts w:ascii="Times New Roman" w:eastAsia="楷体" w:hAnsi="Times New Roman" w:hint="eastAsia"/>
          <w:color w:val="2E74B5" w:themeColor="accent1" w:themeShade="BF"/>
          <w:sz w:val="24"/>
          <w:szCs w:val="24"/>
        </w:rPr>
        <w:t>提升至</w:t>
      </w:r>
      <w:r w:rsidRPr="00DF296F">
        <w:rPr>
          <w:rFonts w:ascii="Times New Roman" w:eastAsia="楷体" w:hAnsi="Times New Roman" w:hint="eastAsia"/>
          <w:color w:val="2E74B5" w:themeColor="accent1" w:themeShade="BF"/>
          <w:sz w:val="24"/>
          <w:szCs w:val="24"/>
        </w:rPr>
        <w:t xml:space="preserve"> 40%</w:t>
      </w:r>
      <w:r w:rsidRPr="00DF296F">
        <w:rPr>
          <w:rFonts w:ascii="Times New Roman" w:eastAsia="楷体" w:hAnsi="Times New Roman" w:hint="eastAsia"/>
          <w:color w:val="2E74B5" w:themeColor="accent1" w:themeShade="BF"/>
          <w:sz w:val="24"/>
          <w:szCs w:val="24"/>
        </w:rPr>
        <w:t>，并分别于</w:t>
      </w:r>
      <w:r w:rsidRPr="00DF296F">
        <w:rPr>
          <w:rFonts w:ascii="Times New Roman" w:eastAsia="楷体" w:hAnsi="Times New Roman" w:hint="eastAsia"/>
          <w:color w:val="2E74B5" w:themeColor="accent1" w:themeShade="BF"/>
          <w:sz w:val="24"/>
          <w:szCs w:val="24"/>
        </w:rPr>
        <w:t xml:space="preserve"> 2025 </w:t>
      </w:r>
      <w:r w:rsidRPr="00DF296F">
        <w:rPr>
          <w:rFonts w:ascii="Times New Roman" w:eastAsia="楷体" w:hAnsi="Times New Roman" w:hint="eastAsia"/>
          <w:color w:val="2E74B5" w:themeColor="accent1" w:themeShade="BF"/>
          <w:sz w:val="24"/>
          <w:szCs w:val="24"/>
        </w:rPr>
        <w:t>年</w:t>
      </w:r>
      <w:r w:rsidRPr="00DF296F">
        <w:rPr>
          <w:rFonts w:ascii="Times New Roman" w:eastAsia="楷体" w:hAnsi="Times New Roman" w:hint="eastAsia"/>
          <w:color w:val="2E74B5" w:themeColor="accent1" w:themeShade="BF"/>
          <w:sz w:val="24"/>
          <w:szCs w:val="24"/>
        </w:rPr>
        <w:t xml:space="preserve"> 3 </w:t>
      </w:r>
      <w:r w:rsidRPr="00DF296F">
        <w:rPr>
          <w:rFonts w:ascii="Times New Roman" w:eastAsia="楷体" w:hAnsi="Times New Roman" w:hint="eastAsia"/>
          <w:color w:val="2E74B5" w:themeColor="accent1" w:themeShade="BF"/>
          <w:sz w:val="24"/>
          <w:szCs w:val="24"/>
        </w:rPr>
        <w:t>月、</w:t>
      </w:r>
      <w:r w:rsidRPr="00DF296F">
        <w:rPr>
          <w:rFonts w:ascii="Times New Roman" w:eastAsia="楷体" w:hAnsi="Times New Roman" w:hint="eastAsia"/>
          <w:color w:val="2E74B5" w:themeColor="accent1" w:themeShade="BF"/>
          <w:sz w:val="24"/>
          <w:szCs w:val="24"/>
        </w:rPr>
        <w:t xml:space="preserve">5 </w:t>
      </w:r>
      <w:proofErr w:type="gramStart"/>
      <w:r w:rsidRPr="00DF296F">
        <w:rPr>
          <w:rFonts w:ascii="Times New Roman" w:eastAsia="楷体" w:hAnsi="Times New Roman" w:hint="eastAsia"/>
          <w:color w:val="2E74B5" w:themeColor="accent1" w:themeShade="BF"/>
          <w:sz w:val="24"/>
          <w:szCs w:val="24"/>
        </w:rPr>
        <w:t>月实施</w:t>
      </w:r>
      <w:proofErr w:type="gramEnd"/>
      <w:r w:rsidRPr="00DF296F">
        <w:rPr>
          <w:rFonts w:ascii="Times New Roman" w:eastAsia="楷体" w:hAnsi="Times New Roman" w:hint="eastAsia"/>
          <w:color w:val="2E74B5" w:themeColor="accent1" w:themeShade="BF"/>
          <w:sz w:val="24"/>
          <w:szCs w:val="24"/>
        </w:rPr>
        <w:t>了中期分红和年度分红。</w:t>
      </w:r>
      <w:r w:rsidRPr="00DF296F">
        <w:rPr>
          <w:rFonts w:ascii="Times New Roman" w:eastAsia="楷体" w:hAnsi="Times New Roman" w:hint="eastAsia"/>
          <w:color w:val="2E74B5" w:themeColor="accent1" w:themeShade="BF"/>
          <w:sz w:val="24"/>
          <w:szCs w:val="24"/>
        </w:rPr>
        <w:t>2</w:t>
      </w:r>
      <w:r w:rsidRPr="00DF296F">
        <w:rPr>
          <w:rFonts w:ascii="Times New Roman" w:eastAsia="楷体" w:hAnsi="Times New Roman" w:hint="eastAsia"/>
          <w:color w:val="2E74B5" w:themeColor="accent1" w:themeShade="BF"/>
          <w:sz w:val="24"/>
          <w:szCs w:val="24"/>
        </w:rPr>
        <w:t>）定向增发项目：一方面是为了支持公司战略的发展，有效提升公司的核心竞争力和发展潜力；另一方面，公司希望通过</w:t>
      </w:r>
      <w:proofErr w:type="gramStart"/>
      <w:r w:rsidRPr="00DF296F">
        <w:rPr>
          <w:rFonts w:ascii="Times New Roman" w:eastAsia="楷体" w:hAnsi="Times New Roman" w:hint="eastAsia"/>
          <w:color w:val="2E74B5" w:themeColor="accent1" w:themeShade="BF"/>
          <w:sz w:val="24"/>
          <w:szCs w:val="24"/>
        </w:rPr>
        <w:t>此次定增优化</w:t>
      </w:r>
      <w:proofErr w:type="gramEnd"/>
      <w:r w:rsidRPr="00DF296F">
        <w:rPr>
          <w:rFonts w:ascii="Times New Roman" w:eastAsia="楷体" w:hAnsi="Times New Roman" w:hint="eastAsia"/>
          <w:color w:val="2E74B5" w:themeColor="accent1" w:themeShade="BF"/>
          <w:sz w:val="24"/>
          <w:szCs w:val="24"/>
        </w:rPr>
        <w:t>股权机构，吸引多元化的战略机构投资者，提升公司股票的流通性进而提升公司价值在资本市场的表现。</w:t>
      </w:r>
      <w:r w:rsidRPr="00DF296F">
        <w:rPr>
          <w:rFonts w:ascii="Times New Roman" w:eastAsia="楷体" w:hAnsi="Times New Roman" w:hint="eastAsia"/>
          <w:color w:val="2E74B5" w:themeColor="accent1" w:themeShade="BF"/>
          <w:sz w:val="24"/>
          <w:szCs w:val="24"/>
        </w:rPr>
        <w:t>3</w:t>
      </w:r>
      <w:r w:rsidRPr="00DF296F">
        <w:rPr>
          <w:rFonts w:ascii="Times New Roman" w:eastAsia="楷体" w:hAnsi="Times New Roman" w:hint="eastAsia"/>
          <w:color w:val="2E74B5" w:themeColor="accent1" w:themeShade="BF"/>
          <w:sz w:val="24"/>
          <w:szCs w:val="24"/>
        </w:rPr>
        <w:t>）投资者沟通：我们持续关注市场动态，积极与投资者沟通，与中、外投资者建立定期的沟通机制，向市场传递公司发展的信心与决心。</w:t>
      </w:r>
      <w:r w:rsidRPr="00DF296F">
        <w:rPr>
          <w:rFonts w:ascii="Times New Roman" w:eastAsia="楷体" w:hAnsi="Times New Roman" w:hint="eastAsia"/>
          <w:color w:val="2E74B5" w:themeColor="accent1" w:themeShade="BF"/>
          <w:sz w:val="24"/>
          <w:szCs w:val="24"/>
        </w:rPr>
        <w:t>4</w:t>
      </w:r>
      <w:r w:rsidRPr="00DF296F">
        <w:rPr>
          <w:rFonts w:ascii="Times New Roman" w:eastAsia="楷体" w:hAnsi="Times New Roman" w:hint="eastAsia"/>
          <w:color w:val="2E74B5" w:themeColor="accent1" w:themeShade="BF"/>
          <w:sz w:val="24"/>
          <w:szCs w:val="24"/>
        </w:rPr>
        <w:t>）充分发挥国有企业属性优势协同创效：作为中国中化集团旗下上市公司，公司共享集团全球化战略资源，如泉州固体蛋氨</w:t>
      </w:r>
      <w:proofErr w:type="gramStart"/>
      <w:r w:rsidRPr="00DF296F">
        <w:rPr>
          <w:rFonts w:ascii="Times New Roman" w:eastAsia="楷体" w:hAnsi="Times New Roman" w:hint="eastAsia"/>
          <w:color w:val="2E74B5" w:themeColor="accent1" w:themeShade="BF"/>
          <w:sz w:val="24"/>
          <w:szCs w:val="24"/>
        </w:rPr>
        <w:t>酸项目</w:t>
      </w:r>
      <w:proofErr w:type="gramEnd"/>
      <w:r w:rsidRPr="00DF296F">
        <w:rPr>
          <w:rFonts w:ascii="Times New Roman" w:eastAsia="楷体" w:hAnsi="Times New Roman" w:hint="eastAsia"/>
          <w:color w:val="2E74B5" w:themeColor="accent1" w:themeShade="BF"/>
          <w:sz w:val="24"/>
          <w:szCs w:val="24"/>
        </w:rPr>
        <w:t>公司通过园区</w:t>
      </w:r>
      <w:proofErr w:type="gramStart"/>
      <w:r w:rsidRPr="00DF296F">
        <w:rPr>
          <w:rFonts w:ascii="Times New Roman" w:eastAsia="楷体" w:hAnsi="Times New Roman" w:hint="eastAsia"/>
          <w:color w:val="2E74B5" w:themeColor="accent1" w:themeShade="BF"/>
          <w:sz w:val="24"/>
          <w:szCs w:val="24"/>
        </w:rPr>
        <w:t>内中化</w:t>
      </w:r>
      <w:proofErr w:type="gramEnd"/>
      <w:r w:rsidRPr="00DF296F">
        <w:rPr>
          <w:rFonts w:ascii="Times New Roman" w:eastAsia="楷体" w:hAnsi="Times New Roman" w:hint="eastAsia"/>
          <w:color w:val="2E74B5" w:themeColor="accent1" w:themeShade="BF"/>
          <w:sz w:val="24"/>
          <w:szCs w:val="24"/>
        </w:rPr>
        <w:t>泉州石化实现供应链优势；充分依托</w:t>
      </w:r>
      <w:proofErr w:type="gramStart"/>
      <w:r w:rsidRPr="00DF296F">
        <w:rPr>
          <w:rFonts w:ascii="Times New Roman" w:eastAsia="楷体" w:hAnsi="Times New Roman" w:hint="eastAsia"/>
          <w:color w:val="2E74B5" w:themeColor="accent1" w:themeShade="BF"/>
          <w:sz w:val="24"/>
          <w:szCs w:val="24"/>
        </w:rPr>
        <w:t>央企背景</w:t>
      </w:r>
      <w:proofErr w:type="gramEnd"/>
      <w:r w:rsidRPr="00DF296F">
        <w:rPr>
          <w:rFonts w:ascii="Times New Roman" w:eastAsia="楷体" w:hAnsi="Times New Roman" w:hint="eastAsia"/>
          <w:color w:val="2E74B5" w:themeColor="accent1" w:themeShade="BF"/>
          <w:sz w:val="24"/>
          <w:szCs w:val="24"/>
        </w:rPr>
        <w:t>获取低融资成本优势，为战略落地提供资金保障。</w:t>
      </w:r>
    </w:p>
    <w:p w14:paraId="1B5678EE" w14:textId="77777777" w:rsidR="00DF296F" w:rsidRDefault="00DF296F" w:rsidP="00DF296F">
      <w:pPr>
        <w:pStyle w:val="a8"/>
        <w:ind w:left="1680" w:firstLineChars="0" w:firstLine="0"/>
        <w:rPr>
          <w:rFonts w:ascii="Times New Roman" w:eastAsia="楷体" w:hAnsi="Times New Roman"/>
          <w:sz w:val="24"/>
          <w:szCs w:val="24"/>
        </w:rPr>
      </w:pPr>
    </w:p>
    <w:p w14:paraId="48E597DF" w14:textId="4856F6C4" w:rsidR="00DF296F" w:rsidRDefault="00DF296F" w:rsidP="00DF296F">
      <w:pPr>
        <w:pStyle w:val="a8"/>
        <w:numPr>
          <w:ilvl w:val="3"/>
          <w:numId w:val="1"/>
        </w:numPr>
        <w:ind w:left="434" w:firstLineChars="0"/>
        <w:rPr>
          <w:rFonts w:ascii="Times New Roman" w:eastAsia="楷体" w:hAnsi="Times New Roman"/>
          <w:sz w:val="24"/>
          <w:szCs w:val="24"/>
        </w:rPr>
      </w:pPr>
      <w:r w:rsidRPr="00DF296F">
        <w:rPr>
          <w:rFonts w:ascii="Times New Roman" w:eastAsia="楷体" w:hAnsi="Times New Roman" w:hint="eastAsia"/>
          <w:sz w:val="24"/>
          <w:szCs w:val="24"/>
        </w:rPr>
        <w:t>介绍下公司上半年同比净利润的情况</w:t>
      </w:r>
      <w:r>
        <w:rPr>
          <w:rFonts w:ascii="Times New Roman" w:eastAsia="楷体" w:hAnsi="Times New Roman" w:hint="eastAsia"/>
          <w:sz w:val="24"/>
          <w:szCs w:val="24"/>
        </w:rPr>
        <w:t>？</w:t>
      </w:r>
    </w:p>
    <w:p w14:paraId="4722453F" w14:textId="53D917DC" w:rsidR="00DF296F" w:rsidRPr="00DF296F" w:rsidRDefault="00DF296F" w:rsidP="00DF296F">
      <w:pPr>
        <w:pStyle w:val="a8"/>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Pr="00DF296F">
        <w:rPr>
          <w:rFonts w:ascii="Times New Roman" w:eastAsia="楷体" w:hAnsi="Times New Roman" w:hint="eastAsia"/>
          <w:color w:val="2E74B5" w:themeColor="accent1" w:themeShade="BF"/>
          <w:sz w:val="24"/>
          <w:szCs w:val="24"/>
        </w:rPr>
        <w:t>安迪苏在</w:t>
      </w:r>
      <w:r w:rsidRPr="00DF296F">
        <w:rPr>
          <w:rFonts w:ascii="Times New Roman" w:eastAsia="楷体" w:hAnsi="Times New Roman" w:hint="eastAsia"/>
          <w:color w:val="2E74B5" w:themeColor="accent1" w:themeShade="BF"/>
          <w:sz w:val="24"/>
          <w:szCs w:val="24"/>
        </w:rPr>
        <w:t xml:space="preserve"> 2025 </w:t>
      </w:r>
      <w:r w:rsidRPr="00DF296F">
        <w:rPr>
          <w:rFonts w:ascii="Times New Roman" w:eastAsia="楷体" w:hAnsi="Times New Roman" w:hint="eastAsia"/>
          <w:color w:val="2E74B5" w:themeColor="accent1" w:themeShade="BF"/>
          <w:sz w:val="24"/>
          <w:szCs w:val="24"/>
        </w:rPr>
        <w:t>年第二季度延续了增长势头，并于</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年上半年实现了同比盈利增长。</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年上半年，公司营业收入实现</w:t>
      </w:r>
      <w:proofErr w:type="gramStart"/>
      <w:r w:rsidRPr="00DF296F">
        <w:rPr>
          <w:rFonts w:ascii="Times New Roman" w:eastAsia="楷体" w:hAnsi="Times New Roman" w:hint="eastAsia"/>
          <w:color w:val="2E74B5" w:themeColor="accent1" w:themeShade="BF"/>
          <w:sz w:val="24"/>
          <w:szCs w:val="24"/>
        </w:rPr>
        <w:t>同比双</w:t>
      </w:r>
      <w:proofErr w:type="gramEnd"/>
      <w:r w:rsidRPr="00DF296F">
        <w:rPr>
          <w:rFonts w:ascii="Times New Roman" w:eastAsia="楷体" w:hAnsi="Times New Roman" w:hint="eastAsia"/>
          <w:color w:val="2E74B5" w:themeColor="accent1" w:themeShade="BF"/>
          <w:sz w:val="24"/>
          <w:szCs w:val="24"/>
        </w:rPr>
        <w:t>位数增长（</w:t>
      </w:r>
      <w:r w:rsidRPr="00DF296F">
        <w:rPr>
          <w:rFonts w:ascii="Times New Roman" w:eastAsia="楷体" w:hAnsi="Times New Roman" w:hint="eastAsia"/>
          <w:color w:val="2E74B5" w:themeColor="accent1" w:themeShade="BF"/>
          <w:sz w:val="24"/>
          <w:szCs w:val="24"/>
        </w:rPr>
        <w:t>+17%</w:t>
      </w:r>
      <w:r w:rsidRPr="00DF296F">
        <w:rPr>
          <w:rFonts w:ascii="Times New Roman" w:eastAsia="楷体" w:hAnsi="Times New Roman" w:hint="eastAsia"/>
          <w:color w:val="2E74B5" w:themeColor="accent1" w:themeShade="BF"/>
          <w:sz w:val="24"/>
          <w:szCs w:val="24"/>
        </w:rPr>
        <w:t>）至人民币</w:t>
      </w:r>
      <w:r w:rsidRPr="00DF296F">
        <w:rPr>
          <w:rFonts w:ascii="Times New Roman" w:eastAsia="楷体" w:hAnsi="Times New Roman" w:hint="eastAsia"/>
          <w:color w:val="2E74B5" w:themeColor="accent1" w:themeShade="BF"/>
          <w:sz w:val="24"/>
          <w:szCs w:val="24"/>
        </w:rPr>
        <w:t>85.1</w:t>
      </w:r>
      <w:r w:rsidRPr="00DF296F">
        <w:rPr>
          <w:rFonts w:ascii="Times New Roman" w:eastAsia="楷体" w:hAnsi="Times New Roman" w:hint="eastAsia"/>
          <w:color w:val="2E74B5" w:themeColor="accent1" w:themeShade="BF"/>
          <w:sz w:val="24"/>
          <w:szCs w:val="24"/>
        </w:rPr>
        <w:t>亿元，毛利润同比增长</w:t>
      </w:r>
      <w:r w:rsidRPr="00DF296F">
        <w:rPr>
          <w:rFonts w:ascii="Times New Roman" w:eastAsia="楷体" w:hAnsi="Times New Roman" w:hint="eastAsia"/>
          <w:color w:val="2E74B5" w:themeColor="accent1" w:themeShade="BF"/>
          <w:sz w:val="24"/>
          <w:szCs w:val="24"/>
        </w:rPr>
        <w:t>+6%</w:t>
      </w:r>
      <w:r w:rsidRPr="00DF296F">
        <w:rPr>
          <w:rFonts w:ascii="Times New Roman" w:eastAsia="楷体" w:hAnsi="Times New Roman" w:hint="eastAsia"/>
          <w:color w:val="2E74B5" w:themeColor="accent1" w:themeShade="BF"/>
          <w:sz w:val="24"/>
          <w:szCs w:val="24"/>
        </w:rPr>
        <w:t>至人民币</w:t>
      </w:r>
      <w:r w:rsidRPr="00DF296F">
        <w:rPr>
          <w:rFonts w:ascii="Times New Roman" w:eastAsia="楷体" w:hAnsi="Times New Roman" w:hint="eastAsia"/>
          <w:color w:val="2E74B5" w:themeColor="accent1" w:themeShade="BF"/>
          <w:sz w:val="24"/>
          <w:szCs w:val="24"/>
        </w:rPr>
        <w:t>24.2</w:t>
      </w:r>
      <w:r w:rsidRPr="00DF296F">
        <w:rPr>
          <w:rFonts w:ascii="Times New Roman" w:eastAsia="楷体" w:hAnsi="Times New Roman" w:hint="eastAsia"/>
          <w:color w:val="2E74B5" w:themeColor="accent1" w:themeShade="BF"/>
          <w:sz w:val="24"/>
          <w:szCs w:val="24"/>
        </w:rPr>
        <w:t>亿元，主要源于：蛋氨酸销量大幅增长以及灵活机动的价格管理；维生素业务的贡献；特种产品的可持续增长；运营效率提升计划带来的持续成本缩减。</w:t>
      </w:r>
      <w:r w:rsidRPr="00DF296F">
        <w:rPr>
          <w:rFonts w:ascii="Times New Roman" w:eastAsia="楷体" w:hAnsi="Times New Roman" w:hint="eastAsia"/>
          <w:color w:val="2E74B5" w:themeColor="accent1" w:themeShade="BF"/>
          <w:sz w:val="24"/>
          <w:szCs w:val="24"/>
        </w:rPr>
        <w:t>1</w:t>
      </w:r>
      <w:r w:rsidRPr="00DF296F">
        <w:rPr>
          <w:rFonts w:ascii="Times New Roman" w:eastAsia="楷体" w:hAnsi="Times New Roman" w:hint="eastAsia"/>
          <w:color w:val="2E74B5" w:themeColor="accent1" w:themeShade="BF"/>
          <w:sz w:val="24"/>
          <w:szCs w:val="24"/>
        </w:rPr>
        <w:t>）蛋氨酸方面：</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年上半年，蛋氨</w:t>
      </w:r>
      <w:proofErr w:type="gramStart"/>
      <w:r w:rsidRPr="00DF296F">
        <w:rPr>
          <w:rFonts w:ascii="Times New Roman" w:eastAsia="楷体" w:hAnsi="Times New Roman" w:hint="eastAsia"/>
          <w:color w:val="2E74B5" w:themeColor="accent1" w:themeShade="BF"/>
          <w:sz w:val="24"/>
          <w:szCs w:val="24"/>
        </w:rPr>
        <w:t>酸业务</w:t>
      </w:r>
      <w:proofErr w:type="gramEnd"/>
      <w:r w:rsidRPr="00DF296F">
        <w:rPr>
          <w:rFonts w:ascii="Times New Roman" w:eastAsia="楷体" w:hAnsi="Times New Roman" w:hint="eastAsia"/>
          <w:color w:val="2E74B5" w:themeColor="accent1" w:themeShade="BF"/>
          <w:sz w:val="24"/>
          <w:szCs w:val="24"/>
        </w:rPr>
        <w:t>销售保持增长，主要源于液体蛋氨</w:t>
      </w:r>
      <w:proofErr w:type="gramStart"/>
      <w:r w:rsidRPr="00DF296F">
        <w:rPr>
          <w:rFonts w:ascii="Times New Roman" w:eastAsia="楷体" w:hAnsi="Times New Roman" w:hint="eastAsia"/>
          <w:color w:val="2E74B5" w:themeColor="accent1" w:themeShade="BF"/>
          <w:sz w:val="24"/>
          <w:szCs w:val="24"/>
        </w:rPr>
        <w:t>酸市场</w:t>
      </w:r>
      <w:proofErr w:type="gramEnd"/>
      <w:r w:rsidRPr="00DF296F">
        <w:rPr>
          <w:rFonts w:ascii="Times New Roman" w:eastAsia="楷体" w:hAnsi="Times New Roman" w:hint="eastAsia"/>
          <w:color w:val="2E74B5" w:themeColor="accent1" w:themeShade="BF"/>
          <w:sz w:val="24"/>
          <w:szCs w:val="24"/>
        </w:rPr>
        <w:t>渗透率持续提升，销量取得大幅增长（上半年同比增长</w:t>
      </w:r>
      <w:r w:rsidRPr="00DF296F">
        <w:rPr>
          <w:rFonts w:ascii="Times New Roman" w:eastAsia="楷体" w:hAnsi="Times New Roman" w:hint="eastAsia"/>
          <w:color w:val="2E74B5" w:themeColor="accent1" w:themeShade="BF"/>
          <w:sz w:val="24"/>
          <w:szCs w:val="24"/>
        </w:rPr>
        <w:t>+16%</w:t>
      </w:r>
      <w:r w:rsidRPr="00DF296F">
        <w:rPr>
          <w:rFonts w:ascii="Times New Roman" w:eastAsia="楷体" w:hAnsi="Times New Roman" w:hint="eastAsia"/>
          <w:color w:val="2E74B5" w:themeColor="accent1" w:themeShade="BF"/>
          <w:sz w:val="24"/>
          <w:szCs w:val="24"/>
        </w:rPr>
        <w:t>，第二季度同比增长</w:t>
      </w:r>
      <w:r w:rsidRPr="00DF296F">
        <w:rPr>
          <w:rFonts w:ascii="Times New Roman" w:eastAsia="楷体" w:hAnsi="Times New Roman" w:hint="eastAsia"/>
          <w:color w:val="2E74B5" w:themeColor="accent1" w:themeShade="BF"/>
          <w:sz w:val="24"/>
          <w:szCs w:val="24"/>
        </w:rPr>
        <w:t>+9%</w:t>
      </w:r>
      <w:r w:rsidRPr="00DF296F">
        <w:rPr>
          <w:rFonts w:ascii="Times New Roman" w:eastAsia="楷体" w:hAnsi="Times New Roman" w:hint="eastAsia"/>
          <w:color w:val="2E74B5" w:themeColor="accent1" w:themeShade="BF"/>
          <w:sz w:val="24"/>
          <w:szCs w:val="24"/>
        </w:rPr>
        <w:t>）。毛利率水平受到部分区域价格下降，原材料价格上涨以及关税的不利影响，公司积极采取以下举措部分抵消了该不利影响：灵活调配产品供应</w:t>
      </w:r>
      <w:proofErr w:type="gramStart"/>
      <w:r w:rsidRPr="00DF296F">
        <w:rPr>
          <w:rFonts w:ascii="Times New Roman" w:eastAsia="楷体" w:hAnsi="Times New Roman" w:hint="eastAsia"/>
          <w:color w:val="2E74B5" w:themeColor="accent1" w:themeShade="BF"/>
          <w:sz w:val="24"/>
          <w:szCs w:val="24"/>
        </w:rPr>
        <w:t>至产品</w:t>
      </w:r>
      <w:proofErr w:type="gramEnd"/>
      <w:r w:rsidRPr="00DF296F">
        <w:rPr>
          <w:rFonts w:ascii="Times New Roman" w:eastAsia="楷体" w:hAnsi="Times New Roman" w:hint="eastAsia"/>
          <w:color w:val="2E74B5" w:themeColor="accent1" w:themeShade="BF"/>
          <w:sz w:val="24"/>
          <w:szCs w:val="24"/>
        </w:rPr>
        <w:t>价格更高的区域；主要工厂保持</w:t>
      </w:r>
      <w:proofErr w:type="gramStart"/>
      <w:r w:rsidRPr="00DF296F">
        <w:rPr>
          <w:rFonts w:ascii="Times New Roman" w:eastAsia="楷体" w:hAnsi="Times New Roman" w:hint="eastAsia"/>
          <w:color w:val="2E74B5" w:themeColor="accent1" w:themeShade="BF"/>
          <w:sz w:val="24"/>
          <w:szCs w:val="24"/>
        </w:rPr>
        <w:t>高产能</w:t>
      </w:r>
      <w:proofErr w:type="gramEnd"/>
      <w:r w:rsidRPr="00DF296F">
        <w:rPr>
          <w:rFonts w:ascii="Times New Roman" w:eastAsia="楷体" w:hAnsi="Times New Roman" w:hint="eastAsia"/>
          <w:color w:val="2E74B5" w:themeColor="accent1" w:themeShade="BF"/>
          <w:sz w:val="24"/>
          <w:szCs w:val="24"/>
        </w:rPr>
        <w:t>利用率和生产稳定性。</w:t>
      </w:r>
      <w:r w:rsidRPr="00DF296F">
        <w:rPr>
          <w:rFonts w:ascii="Times New Roman" w:eastAsia="楷体" w:hAnsi="Times New Roman" w:hint="eastAsia"/>
          <w:color w:val="2E74B5" w:themeColor="accent1" w:themeShade="BF"/>
          <w:sz w:val="24"/>
          <w:szCs w:val="24"/>
        </w:rPr>
        <w:t>2</w:t>
      </w:r>
      <w:r w:rsidRPr="00DF296F">
        <w:rPr>
          <w:rFonts w:ascii="Times New Roman" w:eastAsia="楷体" w:hAnsi="Times New Roman" w:hint="eastAsia"/>
          <w:color w:val="2E74B5" w:themeColor="accent1" w:themeShade="BF"/>
          <w:sz w:val="24"/>
          <w:szCs w:val="24"/>
        </w:rPr>
        <w:t>）维生素方面：</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年上半年来自维生素</w:t>
      </w:r>
      <w:r w:rsidRPr="00DF296F">
        <w:rPr>
          <w:rFonts w:ascii="Times New Roman" w:eastAsia="楷体" w:hAnsi="Times New Roman" w:hint="eastAsia"/>
          <w:color w:val="2E74B5" w:themeColor="accent1" w:themeShade="BF"/>
          <w:sz w:val="24"/>
          <w:szCs w:val="24"/>
        </w:rPr>
        <w:t>A</w:t>
      </w:r>
      <w:r w:rsidRPr="00DF296F">
        <w:rPr>
          <w:rFonts w:ascii="Times New Roman" w:eastAsia="楷体" w:hAnsi="Times New Roman" w:hint="eastAsia"/>
          <w:color w:val="2E74B5" w:themeColor="accent1" w:themeShade="BF"/>
          <w:sz w:val="24"/>
          <w:szCs w:val="24"/>
        </w:rPr>
        <w:t>和维生素</w:t>
      </w:r>
      <w:r w:rsidRPr="00DF296F">
        <w:rPr>
          <w:rFonts w:ascii="Times New Roman" w:eastAsia="楷体" w:hAnsi="Times New Roman" w:hint="eastAsia"/>
          <w:color w:val="2E74B5" w:themeColor="accent1" w:themeShade="BF"/>
          <w:sz w:val="24"/>
          <w:szCs w:val="24"/>
        </w:rPr>
        <w:t>E</w:t>
      </w:r>
      <w:r w:rsidRPr="00DF296F">
        <w:rPr>
          <w:rFonts w:ascii="Times New Roman" w:eastAsia="楷体" w:hAnsi="Times New Roman" w:hint="eastAsia"/>
          <w:color w:val="2E74B5" w:themeColor="accent1" w:themeShade="BF"/>
          <w:sz w:val="24"/>
          <w:szCs w:val="24"/>
        </w:rPr>
        <w:t>的销售和毛利</w:t>
      </w:r>
      <w:proofErr w:type="gramStart"/>
      <w:r w:rsidRPr="00DF296F">
        <w:rPr>
          <w:rFonts w:ascii="Times New Roman" w:eastAsia="楷体" w:hAnsi="Times New Roman" w:hint="eastAsia"/>
          <w:color w:val="2E74B5" w:themeColor="accent1" w:themeShade="BF"/>
          <w:sz w:val="24"/>
          <w:szCs w:val="24"/>
        </w:rPr>
        <w:t>贡献较</w:t>
      </w:r>
      <w:proofErr w:type="gramEnd"/>
      <w:r w:rsidRPr="00DF296F">
        <w:rPr>
          <w:rFonts w:ascii="Times New Roman" w:eastAsia="楷体" w:hAnsi="Times New Roman" w:hint="eastAsia"/>
          <w:color w:val="2E74B5" w:themeColor="accent1" w:themeShade="BF"/>
          <w:sz w:val="24"/>
          <w:szCs w:val="24"/>
        </w:rPr>
        <w:t>上年同期更多，主要归功于销量增长，抵消了产品价格在第二季度承压的不利影响。</w:t>
      </w:r>
      <w:r w:rsidRPr="00DF296F">
        <w:rPr>
          <w:rFonts w:ascii="Times New Roman" w:eastAsia="楷体" w:hAnsi="Times New Roman" w:hint="eastAsia"/>
          <w:color w:val="2E74B5" w:themeColor="accent1" w:themeShade="BF"/>
          <w:sz w:val="24"/>
          <w:szCs w:val="24"/>
        </w:rPr>
        <w:t>3</w:t>
      </w:r>
      <w:r w:rsidRPr="00DF296F">
        <w:rPr>
          <w:rFonts w:ascii="Times New Roman" w:eastAsia="楷体" w:hAnsi="Times New Roman" w:hint="eastAsia"/>
          <w:color w:val="2E74B5" w:themeColor="accent1" w:themeShade="BF"/>
          <w:sz w:val="24"/>
          <w:szCs w:val="24"/>
        </w:rPr>
        <w:t>）特种产品方面：</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年上半年，特种产品业务的营业收入（</w:t>
      </w:r>
      <w:r w:rsidRPr="00DF296F">
        <w:rPr>
          <w:rFonts w:ascii="Times New Roman" w:eastAsia="楷体" w:hAnsi="Times New Roman" w:hint="eastAsia"/>
          <w:color w:val="2E74B5" w:themeColor="accent1" w:themeShade="BF"/>
          <w:sz w:val="24"/>
          <w:szCs w:val="24"/>
        </w:rPr>
        <w:t>+9%</w:t>
      </w:r>
      <w:r w:rsidRPr="00DF296F">
        <w:rPr>
          <w:rFonts w:ascii="Times New Roman" w:eastAsia="楷体" w:hAnsi="Times New Roman" w:hint="eastAsia"/>
          <w:color w:val="2E74B5" w:themeColor="accent1" w:themeShade="BF"/>
          <w:sz w:val="24"/>
          <w:szCs w:val="24"/>
        </w:rPr>
        <w:t>）和毛利润（</w:t>
      </w:r>
      <w:r w:rsidRPr="00DF296F">
        <w:rPr>
          <w:rFonts w:ascii="Times New Roman" w:eastAsia="楷体" w:hAnsi="Times New Roman" w:hint="eastAsia"/>
          <w:color w:val="2E74B5" w:themeColor="accent1" w:themeShade="BF"/>
          <w:sz w:val="24"/>
          <w:szCs w:val="24"/>
        </w:rPr>
        <w:t>+7%</w:t>
      </w:r>
      <w:r w:rsidRPr="00DF296F">
        <w:rPr>
          <w:rFonts w:ascii="Times New Roman" w:eastAsia="楷体" w:hAnsi="Times New Roman" w:hint="eastAsia"/>
          <w:color w:val="2E74B5" w:themeColor="accent1" w:themeShade="BF"/>
          <w:sz w:val="24"/>
          <w:szCs w:val="24"/>
        </w:rPr>
        <w:t>）保持增长。稳定的增长势头主要归功于反刍动物产品（除中国以外）和猪类产品在第二季度持续的销售增长以及水产品销售的强劲反弹：北美和欧洲市场反刍动物产品销售增长强劲（斯</w:t>
      </w:r>
      <w:proofErr w:type="gramStart"/>
      <w:r w:rsidRPr="00DF296F">
        <w:rPr>
          <w:rFonts w:ascii="Times New Roman" w:eastAsia="楷体" w:hAnsi="Times New Roman" w:hint="eastAsia"/>
          <w:color w:val="2E74B5" w:themeColor="accent1" w:themeShade="BF"/>
          <w:sz w:val="24"/>
          <w:szCs w:val="24"/>
        </w:rPr>
        <w:t>特敏销售</w:t>
      </w:r>
      <w:proofErr w:type="gramEnd"/>
      <w:r w:rsidRPr="00DF296F">
        <w:rPr>
          <w:rFonts w:ascii="Times New Roman" w:eastAsia="楷体" w:hAnsi="Times New Roman" w:hint="eastAsia"/>
          <w:color w:val="2E74B5" w:themeColor="accent1" w:themeShade="BF"/>
          <w:sz w:val="24"/>
          <w:szCs w:val="24"/>
        </w:rPr>
        <w:t>增长</w:t>
      </w:r>
      <w:r w:rsidRPr="00DF296F">
        <w:rPr>
          <w:rFonts w:ascii="Times New Roman" w:eastAsia="楷体" w:hAnsi="Times New Roman" w:hint="eastAsia"/>
          <w:color w:val="2E74B5" w:themeColor="accent1" w:themeShade="BF"/>
          <w:sz w:val="24"/>
          <w:szCs w:val="24"/>
        </w:rPr>
        <w:t>+29%</w:t>
      </w:r>
      <w:r w:rsidRPr="00DF296F">
        <w:rPr>
          <w:rFonts w:ascii="Times New Roman" w:eastAsia="楷体" w:hAnsi="Times New Roman" w:hint="eastAsia"/>
          <w:color w:val="2E74B5" w:themeColor="accent1" w:themeShade="BF"/>
          <w:sz w:val="24"/>
          <w:szCs w:val="24"/>
        </w:rPr>
        <w:t>）；适口性产品取得双位数销售增长（</w:t>
      </w:r>
      <w:r w:rsidRPr="00DF296F">
        <w:rPr>
          <w:rFonts w:ascii="Times New Roman" w:eastAsia="楷体" w:hAnsi="Times New Roman" w:hint="eastAsia"/>
          <w:color w:val="2E74B5" w:themeColor="accent1" w:themeShade="BF"/>
          <w:sz w:val="24"/>
          <w:szCs w:val="24"/>
        </w:rPr>
        <w:t>+12%</w:t>
      </w:r>
      <w:r w:rsidRPr="00DF296F">
        <w:rPr>
          <w:rFonts w:ascii="Times New Roman" w:eastAsia="楷体" w:hAnsi="Times New Roman" w:hint="eastAsia"/>
          <w:color w:val="2E74B5" w:themeColor="accent1" w:themeShade="BF"/>
          <w:sz w:val="24"/>
          <w:szCs w:val="24"/>
        </w:rPr>
        <w:t>）；</w:t>
      </w:r>
      <w:proofErr w:type="spellStart"/>
      <w:r w:rsidRPr="00DF296F">
        <w:rPr>
          <w:rFonts w:ascii="Times New Roman" w:eastAsia="楷体" w:hAnsi="Times New Roman" w:hint="eastAsia"/>
          <w:color w:val="2E74B5" w:themeColor="accent1" w:themeShade="BF"/>
          <w:sz w:val="24"/>
          <w:szCs w:val="24"/>
        </w:rPr>
        <w:t>Norfeed</w:t>
      </w:r>
      <w:proofErr w:type="spellEnd"/>
      <w:r w:rsidRPr="00DF296F">
        <w:rPr>
          <w:rFonts w:ascii="Times New Roman" w:eastAsia="楷体" w:hAnsi="Times New Roman" w:hint="eastAsia"/>
          <w:color w:val="2E74B5" w:themeColor="accent1" w:themeShade="BF"/>
          <w:sz w:val="24"/>
          <w:szCs w:val="24"/>
        </w:rPr>
        <w:t>业务增长强劲（</w:t>
      </w:r>
      <w:r w:rsidRPr="00DF296F">
        <w:rPr>
          <w:rFonts w:ascii="Times New Roman" w:eastAsia="楷体" w:hAnsi="Times New Roman" w:hint="eastAsia"/>
          <w:color w:val="2E74B5" w:themeColor="accent1" w:themeShade="BF"/>
          <w:sz w:val="24"/>
          <w:szCs w:val="24"/>
        </w:rPr>
        <w:t>+18%</w:t>
      </w:r>
      <w:r w:rsidRPr="00DF296F">
        <w:rPr>
          <w:rFonts w:ascii="Times New Roman" w:eastAsia="楷体" w:hAnsi="Times New Roman" w:hint="eastAsia"/>
          <w:color w:val="2E74B5" w:themeColor="accent1" w:themeShade="BF"/>
          <w:sz w:val="24"/>
          <w:szCs w:val="24"/>
        </w:rPr>
        <w:t>）。</w:t>
      </w:r>
      <w:r w:rsidRPr="00DF296F">
        <w:rPr>
          <w:rFonts w:ascii="Times New Roman" w:eastAsia="楷体" w:hAnsi="Times New Roman" w:hint="eastAsia"/>
          <w:color w:val="2E74B5" w:themeColor="accent1" w:themeShade="BF"/>
          <w:sz w:val="24"/>
          <w:szCs w:val="24"/>
        </w:rPr>
        <w:t>2025</w:t>
      </w:r>
      <w:r w:rsidRPr="00DF296F">
        <w:rPr>
          <w:rFonts w:ascii="Times New Roman" w:eastAsia="楷体" w:hAnsi="Times New Roman" w:hint="eastAsia"/>
          <w:color w:val="2E74B5" w:themeColor="accent1" w:themeShade="BF"/>
          <w:sz w:val="24"/>
          <w:szCs w:val="24"/>
        </w:rPr>
        <w:t>年下半年，市场预计将保持强劲需求，但新增的蛋氨酸和维生素产能将进入市场，对公司业务带来挑战。安迪苏将继续保持高度灵活性，对市场变化做出迅速的反应和调整，并将全力以赴支持业务增长，提升盈利水平，为未来增长持续投入。</w:t>
      </w:r>
    </w:p>
    <w:p w14:paraId="7AF459D5" w14:textId="77777777" w:rsidR="00DF296F" w:rsidRDefault="00DF296F" w:rsidP="00DF296F">
      <w:pPr>
        <w:pStyle w:val="a8"/>
        <w:ind w:left="434" w:firstLineChars="0" w:firstLine="0"/>
        <w:rPr>
          <w:rFonts w:ascii="Times New Roman" w:eastAsia="楷体" w:hAnsi="Times New Roman"/>
          <w:sz w:val="24"/>
          <w:szCs w:val="24"/>
        </w:rPr>
      </w:pPr>
    </w:p>
    <w:p w14:paraId="1A8C2197" w14:textId="0C7D95B9" w:rsidR="00DF296F" w:rsidRPr="00DF296F" w:rsidRDefault="00DF296F" w:rsidP="00DF296F">
      <w:pPr>
        <w:pStyle w:val="a8"/>
        <w:numPr>
          <w:ilvl w:val="3"/>
          <w:numId w:val="1"/>
        </w:numPr>
        <w:ind w:left="434" w:firstLineChars="0"/>
        <w:rPr>
          <w:rFonts w:ascii="Times New Roman" w:eastAsia="楷体" w:hAnsi="Times New Roman"/>
          <w:sz w:val="24"/>
          <w:szCs w:val="24"/>
        </w:rPr>
      </w:pPr>
      <w:r w:rsidRPr="00DF296F">
        <w:rPr>
          <w:rFonts w:ascii="Times New Roman" w:eastAsia="楷体" w:hAnsi="Times New Roman" w:hint="eastAsia"/>
          <w:sz w:val="24"/>
          <w:szCs w:val="24"/>
        </w:rPr>
        <w:t>公司如何看待</w:t>
      </w:r>
      <w:r w:rsidRPr="00DF296F">
        <w:rPr>
          <w:rFonts w:ascii="Times New Roman" w:eastAsia="楷体" w:hAnsi="Times New Roman" w:hint="eastAsia"/>
          <w:sz w:val="24"/>
          <w:szCs w:val="24"/>
        </w:rPr>
        <w:t>ESG</w:t>
      </w:r>
      <w:r w:rsidRPr="00DF296F">
        <w:rPr>
          <w:rFonts w:ascii="Times New Roman" w:eastAsia="楷体" w:hAnsi="Times New Roman" w:hint="eastAsia"/>
          <w:sz w:val="24"/>
          <w:szCs w:val="24"/>
        </w:rPr>
        <w:t>报告？</w:t>
      </w:r>
    </w:p>
    <w:p w14:paraId="3BE499C9" w14:textId="6C24C52E" w:rsidR="007D0665" w:rsidRPr="001A01E1" w:rsidRDefault="00DF296F" w:rsidP="001A01E1">
      <w:pPr>
        <w:pStyle w:val="a8"/>
        <w:tabs>
          <w:tab w:val="left" w:pos="993"/>
        </w:tabs>
        <w:ind w:left="434" w:firstLineChars="0" w:firstLine="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 xml:space="preserve">        </w:t>
      </w:r>
      <w:r w:rsidRPr="00DF296F">
        <w:rPr>
          <w:rFonts w:ascii="Times New Roman" w:eastAsia="楷体" w:hAnsi="Times New Roman" w:hint="eastAsia"/>
          <w:color w:val="2E74B5" w:themeColor="accent1" w:themeShade="BF"/>
          <w:sz w:val="24"/>
          <w:szCs w:val="24"/>
        </w:rPr>
        <w:t>安迪苏持续强化</w:t>
      </w:r>
      <w:r w:rsidRPr="00DF296F">
        <w:rPr>
          <w:rFonts w:ascii="Times New Roman" w:eastAsia="楷体" w:hAnsi="Times New Roman" w:hint="eastAsia"/>
          <w:color w:val="2E74B5" w:themeColor="accent1" w:themeShade="BF"/>
          <w:sz w:val="24"/>
          <w:szCs w:val="24"/>
        </w:rPr>
        <w:t>ESG</w:t>
      </w:r>
      <w:r w:rsidRPr="00DF296F">
        <w:rPr>
          <w:rFonts w:ascii="Times New Roman" w:eastAsia="楷体" w:hAnsi="Times New Roman" w:hint="eastAsia"/>
          <w:color w:val="2E74B5" w:themeColor="accent1" w:themeShade="BF"/>
          <w:sz w:val="24"/>
          <w:szCs w:val="24"/>
        </w:rPr>
        <w:t>，将可持续发展真正融入公司战略中。公司董事会下设的战略委员会于</w:t>
      </w:r>
      <w:r w:rsidRPr="00DF296F">
        <w:rPr>
          <w:rFonts w:ascii="Times New Roman" w:eastAsia="楷体" w:hAnsi="Times New Roman" w:hint="eastAsia"/>
          <w:color w:val="2E74B5" w:themeColor="accent1" w:themeShade="BF"/>
          <w:sz w:val="24"/>
          <w:szCs w:val="24"/>
        </w:rPr>
        <w:t>2024</w:t>
      </w:r>
      <w:r w:rsidRPr="00DF296F">
        <w:rPr>
          <w:rFonts w:ascii="Times New Roman" w:eastAsia="楷体" w:hAnsi="Times New Roman" w:hint="eastAsia"/>
          <w:color w:val="2E74B5" w:themeColor="accent1" w:themeShade="BF"/>
          <w:sz w:val="24"/>
          <w:szCs w:val="24"/>
        </w:rPr>
        <w:t>年，更名为战略与可持续发展委员会，同时公司修订了《蓝星安迪苏股份有限公司董事会战略与可持续发展委员会实施细则》，细则中增添了委员会对于</w:t>
      </w:r>
      <w:r w:rsidRPr="00DF296F">
        <w:rPr>
          <w:rFonts w:ascii="Times New Roman" w:eastAsia="楷体" w:hAnsi="Times New Roman" w:hint="eastAsia"/>
          <w:color w:val="2E74B5" w:themeColor="accent1" w:themeShade="BF"/>
          <w:sz w:val="24"/>
          <w:szCs w:val="24"/>
        </w:rPr>
        <w:t>ESG</w:t>
      </w:r>
      <w:r w:rsidRPr="00DF296F">
        <w:rPr>
          <w:rFonts w:ascii="Times New Roman" w:eastAsia="楷体" w:hAnsi="Times New Roman" w:hint="eastAsia"/>
          <w:color w:val="2E74B5" w:themeColor="accent1" w:themeShade="BF"/>
          <w:sz w:val="24"/>
          <w:szCs w:val="24"/>
        </w:rPr>
        <w:t>相关事项的主要职责权限。在可持续发展的道路上，公司连续两年荣获了</w:t>
      </w:r>
      <w:r w:rsidRPr="00DF296F">
        <w:rPr>
          <w:rFonts w:ascii="Times New Roman" w:eastAsia="楷体" w:hAnsi="Times New Roman" w:hint="eastAsia"/>
          <w:color w:val="2E74B5" w:themeColor="accent1" w:themeShade="BF"/>
          <w:sz w:val="24"/>
          <w:szCs w:val="24"/>
        </w:rPr>
        <w:t>EVOVADIS</w:t>
      </w:r>
      <w:r w:rsidRPr="00DF296F">
        <w:rPr>
          <w:rFonts w:ascii="Times New Roman" w:eastAsia="楷体" w:hAnsi="Times New Roman" w:hint="eastAsia"/>
          <w:color w:val="2E74B5" w:themeColor="accent1" w:themeShade="BF"/>
          <w:sz w:val="24"/>
          <w:szCs w:val="24"/>
        </w:rPr>
        <w:t>银牌，并位列动物营养行业参评公司前</w:t>
      </w:r>
      <w:r w:rsidRPr="00DF296F">
        <w:rPr>
          <w:rFonts w:ascii="Times New Roman" w:eastAsia="楷体" w:hAnsi="Times New Roman" w:hint="eastAsia"/>
          <w:color w:val="2E74B5" w:themeColor="accent1" w:themeShade="BF"/>
          <w:sz w:val="24"/>
          <w:szCs w:val="24"/>
        </w:rPr>
        <w:t>4%</w:t>
      </w:r>
      <w:r w:rsidRPr="00DF296F">
        <w:rPr>
          <w:rFonts w:ascii="Times New Roman" w:eastAsia="楷体" w:hAnsi="Times New Roman" w:hint="eastAsia"/>
          <w:color w:val="2E74B5" w:themeColor="accent1" w:themeShade="BF"/>
          <w:sz w:val="24"/>
          <w:szCs w:val="24"/>
        </w:rPr>
        <w:t>的水平，这是对公司在可持续发展领域所取得成就的国际认可。同时，公司在“第三届上市公司可持续发展高峰论坛暨年度最佳奖项评选”中荣获第三届</w:t>
      </w:r>
      <w:r w:rsidRPr="00DF296F">
        <w:rPr>
          <w:rFonts w:ascii="Times New Roman" w:eastAsia="楷体" w:hAnsi="Times New Roman" w:hint="eastAsia"/>
          <w:color w:val="2E74B5" w:themeColor="accent1" w:themeShade="BF"/>
          <w:sz w:val="24"/>
          <w:szCs w:val="24"/>
        </w:rPr>
        <w:t>2024</w:t>
      </w:r>
      <w:r w:rsidRPr="00DF296F">
        <w:rPr>
          <w:rFonts w:ascii="Times New Roman" w:eastAsia="楷体" w:hAnsi="Times New Roman" w:hint="eastAsia"/>
          <w:color w:val="2E74B5" w:themeColor="accent1" w:themeShade="BF"/>
          <w:sz w:val="24"/>
          <w:szCs w:val="24"/>
        </w:rPr>
        <w:t>年度杰出企业大奖，并获评中国上市公司协会颁发的“</w:t>
      </w:r>
      <w:r w:rsidRPr="00DF296F">
        <w:rPr>
          <w:rFonts w:ascii="Times New Roman" w:eastAsia="楷体" w:hAnsi="Times New Roman" w:hint="eastAsia"/>
          <w:color w:val="2E74B5" w:themeColor="accent1" w:themeShade="BF"/>
          <w:sz w:val="24"/>
          <w:szCs w:val="24"/>
        </w:rPr>
        <w:t>2024</w:t>
      </w:r>
      <w:r w:rsidRPr="00DF296F">
        <w:rPr>
          <w:rFonts w:ascii="Times New Roman" w:eastAsia="楷体" w:hAnsi="Times New Roman" w:hint="eastAsia"/>
          <w:color w:val="2E74B5" w:themeColor="accent1" w:themeShade="BF"/>
          <w:sz w:val="24"/>
          <w:szCs w:val="24"/>
        </w:rPr>
        <w:t>年上市公司可持续发展优秀实践案例”，双项荣誉印证了企业在</w:t>
      </w:r>
      <w:r w:rsidRPr="00DF296F">
        <w:rPr>
          <w:rFonts w:ascii="Times New Roman" w:eastAsia="楷体" w:hAnsi="Times New Roman" w:hint="eastAsia"/>
          <w:color w:val="2E74B5" w:themeColor="accent1" w:themeShade="BF"/>
          <w:sz w:val="24"/>
          <w:szCs w:val="24"/>
        </w:rPr>
        <w:t>ESG</w:t>
      </w:r>
      <w:r w:rsidRPr="00DF296F">
        <w:rPr>
          <w:rFonts w:ascii="Times New Roman" w:eastAsia="楷体" w:hAnsi="Times New Roman" w:hint="eastAsia"/>
          <w:color w:val="2E74B5" w:themeColor="accent1" w:themeShade="BF"/>
          <w:sz w:val="24"/>
          <w:szCs w:val="24"/>
        </w:rPr>
        <w:t>治理与责任</w:t>
      </w:r>
      <w:proofErr w:type="gramStart"/>
      <w:r w:rsidRPr="00DF296F">
        <w:rPr>
          <w:rFonts w:ascii="Times New Roman" w:eastAsia="楷体" w:hAnsi="Times New Roman" w:hint="eastAsia"/>
          <w:color w:val="2E74B5" w:themeColor="accent1" w:themeShade="BF"/>
          <w:sz w:val="24"/>
          <w:szCs w:val="24"/>
        </w:rPr>
        <w:t>践行</w:t>
      </w:r>
      <w:proofErr w:type="gramEnd"/>
      <w:r w:rsidRPr="00DF296F">
        <w:rPr>
          <w:rFonts w:ascii="Times New Roman" w:eastAsia="楷体" w:hAnsi="Times New Roman" w:hint="eastAsia"/>
          <w:color w:val="2E74B5" w:themeColor="accent1" w:themeShade="BF"/>
          <w:sz w:val="24"/>
          <w:szCs w:val="24"/>
        </w:rPr>
        <w:t>方面的创新高度。公司一直致力于可持续发展，连续</w:t>
      </w:r>
      <w:r w:rsidRPr="00DF296F">
        <w:rPr>
          <w:rFonts w:ascii="Times New Roman" w:eastAsia="楷体" w:hAnsi="Times New Roman" w:hint="eastAsia"/>
          <w:color w:val="2E74B5" w:themeColor="accent1" w:themeShade="BF"/>
          <w:sz w:val="24"/>
          <w:szCs w:val="24"/>
        </w:rPr>
        <w:t>10</w:t>
      </w:r>
      <w:r w:rsidRPr="00DF296F">
        <w:rPr>
          <w:rFonts w:ascii="Times New Roman" w:eastAsia="楷体" w:hAnsi="Times New Roman" w:hint="eastAsia"/>
          <w:color w:val="2E74B5" w:themeColor="accent1" w:themeShade="BF"/>
          <w:sz w:val="24"/>
          <w:szCs w:val="24"/>
        </w:rPr>
        <w:t>年发布可持续发展报告，展示了公司在经济、社会和环境方面的表现和成果，为投资者提供了关于公司可持续发展战略的详细信息。近两年，公司在年报发布的同时披露了可持续发展报告（即</w:t>
      </w:r>
      <w:r w:rsidRPr="00DF296F">
        <w:rPr>
          <w:rFonts w:ascii="Times New Roman" w:eastAsia="楷体" w:hAnsi="Times New Roman" w:hint="eastAsia"/>
          <w:color w:val="2E74B5" w:themeColor="accent1" w:themeShade="BF"/>
          <w:sz w:val="24"/>
          <w:szCs w:val="24"/>
        </w:rPr>
        <w:t>2023</w:t>
      </w:r>
      <w:r w:rsidRPr="00DF296F">
        <w:rPr>
          <w:rFonts w:ascii="Times New Roman" w:eastAsia="楷体" w:hAnsi="Times New Roman" w:hint="eastAsia"/>
          <w:color w:val="2E74B5" w:themeColor="accent1" w:themeShade="BF"/>
          <w:sz w:val="24"/>
          <w:szCs w:val="24"/>
        </w:rPr>
        <w:t>年、</w:t>
      </w:r>
      <w:r w:rsidRPr="00DF296F">
        <w:rPr>
          <w:rFonts w:ascii="Times New Roman" w:eastAsia="楷体" w:hAnsi="Times New Roman" w:hint="eastAsia"/>
          <w:color w:val="2E74B5" w:themeColor="accent1" w:themeShade="BF"/>
          <w:sz w:val="24"/>
          <w:szCs w:val="24"/>
        </w:rPr>
        <w:t>2024</w:t>
      </w:r>
      <w:r w:rsidRPr="00DF296F">
        <w:rPr>
          <w:rFonts w:ascii="Times New Roman" w:eastAsia="楷体" w:hAnsi="Times New Roman" w:hint="eastAsia"/>
          <w:color w:val="2E74B5" w:themeColor="accent1" w:themeShade="BF"/>
          <w:sz w:val="24"/>
          <w:szCs w:val="24"/>
        </w:rPr>
        <w:t>年可持续发展报告），公司在可持续发展沟通上又提升了一个台阶。安迪苏全球布局的特殊性决定了公司需要在可持续报告的编制过程中满足多种披露规则的要求。安迪苏是一家源于法国的</w:t>
      </w:r>
      <w:r w:rsidRPr="00DF296F">
        <w:rPr>
          <w:rFonts w:ascii="Times New Roman" w:eastAsia="楷体" w:hAnsi="Times New Roman" w:hint="eastAsia"/>
          <w:color w:val="2E74B5" w:themeColor="accent1" w:themeShade="BF"/>
          <w:sz w:val="24"/>
          <w:szCs w:val="24"/>
        </w:rPr>
        <w:t>A</w:t>
      </w:r>
      <w:r w:rsidRPr="00DF296F">
        <w:rPr>
          <w:rFonts w:ascii="Times New Roman" w:eastAsia="楷体" w:hAnsi="Times New Roman" w:hint="eastAsia"/>
          <w:color w:val="2E74B5" w:themeColor="accent1" w:themeShade="BF"/>
          <w:sz w:val="24"/>
          <w:szCs w:val="24"/>
        </w:rPr>
        <w:t>股上市公司，目前在全球拥有位于中国、欧洲两大生产平台。在</w:t>
      </w:r>
      <w:r w:rsidRPr="00DF296F">
        <w:rPr>
          <w:rFonts w:ascii="Times New Roman" w:eastAsia="楷体" w:hAnsi="Times New Roman" w:hint="eastAsia"/>
          <w:color w:val="2E74B5" w:themeColor="accent1" w:themeShade="BF"/>
          <w:sz w:val="24"/>
          <w:szCs w:val="24"/>
        </w:rPr>
        <w:t>2023</w:t>
      </w:r>
      <w:r w:rsidRPr="00DF296F">
        <w:rPr>
          <w:rFonts w:ascii="Times New Roman" w:eastAsia="楷体" w:hAnsi="Times New Roman" w:hint="eastAsia"/>
          <w:color w:val="2E74B5" w:themeColor="accent1" w:themeShade="BF"/>
          <w:sz w:val="24"/>
          <w:szCs w:val="24"/>
        </w:rPr>
        <w:t>年、</w:t>
      </w:r>
      <w:r w:rsidRPr="00DF296F">
        <w:rPr>
          <w:rFonts w:ascii="Times New Roman" w:eastAsia="楷体" w:hAnsi="Times New Roman" w:hint="eastAsia"/>
          <w:color w:val="2E74B5" w:themeColor="accent1" w:themeShade="BF"/>
          <w:sz w:val="24"/>
          <w:szCs w:val="24"/>
        </w:rPr>
        <w:t>2024</w:t>
      </w:r>
      <w:r w:rsidRPr="00DF296F">
        <w:rPr>
          <w:rFonts w:ascii="Times New Roman" w:eastAsia="楷体" w:hAnsi="Times New Roman" w:hint="eastAsia"/>
          <w:color w:val="2E74B5" w:themeColor="accent1" w:themeShade="BF"/>
          <w:sz w:val="24"/>
          <w:szCs w:val="24"/>
        </w:rPr>
        <w:t>年可持续报告的编制过程中，公司严格遵循</w:t>
      </w:r>
      <w:r w:rsidRPr="00DF296F">
        <w:rPr>
          <w:rFonts w:ascii="Times New Roman" w:eastAsia="楷体" w:hAnsi="Times New Roman" w:hint="eastAsia"/>
          <w:color w:val="2E74B5" w:themeColor="accent1" w:themeShade="BF"/>
          <w:sz w:val="24"/>
          <w:szCs w:val="24"/>
        </w:rPr>
        <w:t xml:space="preserve"> GRI</w:t>
      </w:r>
      <w:r w:rsidRPr="00DF296F">
        <w:rPr>
          <w:rFonts w:ascii="Times New Roman" w:eastAsia="楷体" w:hAnsi="Times New Roman" w:hint="eastAsia"/>
          <w:color w:val="2E74B5" w:themeColor="accent1" w:themeShade="BF"/>
          <w:sz w:val="24"/>
          <w:szCs w:val="24"/>
        </w:rPr>
        <w:t>标准（全球报告倡议组织（</w:t>
      </w:r>
      <w:r w:rsidRPr="00DF296F">
        <w:rPr>
          <w:rFonts w:ascii="Times New Roman" w:eastAsia="楷体" w:hAnsi="Times New Roman" w:hint="eastAsia"/>
          <w:color w:val="2E74B5" w:themeColor="accent1" w:themeShade="BF"/>
          <w:sz w:val="24"/>
          <w:szCs w:val="24"/>
        </w:rPr>
        <w:t>Global Reporting Initiative</w:t>
      </w:r>
      <w:r w:rsidRPr="00DF296F">
        <w:rPr>
          <w:rFonts w:ascii="Times New Roman" w:eastAsia="楷体" w:hAnsi="Times New Roman" w:hint="eastAsia"/>
          <w:color w:val="2E74B5" w:themeColor="accent1" w:themeShade="BF"/>
          <w:sz w:val="24"/>
          <w:szCs w:val="24"/>
        </w:rPr>
        <w:t>）制定的一套可持续发展报告指南），同时，考虑到</w:t>
      </w:r>
      <w:r w:rsidRPr="00DF296F">
        <w:rPr>
          <w:rFonts w:ascii="Times New Roman" w:eastAsia="楷体" w:hAnsi="Times New Roman" w:hint="eastAsia"/>
          <w:color w:val="2E74B5" w:themeColor="accent1" w:themeShade="BF"/>
          <w:sz w:val="24"/>
          <w:szCs w:val="24"/>
        </w:rPr>
        <w:t>CSRD</w:t>
      </w:r>
      <w:r w:rsidRPr="00DF296F">
        <w:rPr>
          <w:rFonts w:ascii="Times New Roman" w:eastAsia="楷体" w:hAnsi="Times New Roman" w:hint="eastAsia"/>
          <w:color w:val="2E74B5" w:themeColor="accent1" w:themeShade="BF"/>
          <w:sz w:val="24"/>
          <w:szCs w:val="24"/>
        </w:rPr>
        <w:t>在欧盟成员国的实施及国内《上市公司可持续发展报告指引》的实施，公司近期展开对两套规则的学习，以保证未来公司的可持续发展报告可同时满足两地规则的披露要求。</w:t>
      </w:r>
    </w:p>
    <w:p w14:paraId="43050AF0" w14:textId="77777777" w:rsidR="006F2A8C" w:rsidRPr="0023576F" w:rsidRDefault="006F2A8C" w:rsidP="006F2A8C">
      <w:pPr>
        <w:rPr>
          <w:rFonts w:ascii="Times New Roman" w:eastAsia="楷体" w:hAnsi="Times New Roman"/>
          <w:sz w:val="24"/>
          <w:szCs w:val="24"/>
          <w:lang w:val="en-US"/>
        </w:rPr>
      </w:pPr>
    </w:p>
    <w:p w14:paraId="3907E348" w14:textId="77777777" w:rsidR="00201137" w:rsidRPr="00215542" w:rsidRDefault="00201137" w:rsidP="001D76B7">
      <w:pPr>
        <w:spacing w:after="0" w:line="240" w:lineRule="auto"/>
        <w:ind w:right="142"/>
        <w:jc w:val="right"/>
        <w:rPr>
          <w:rFonts w:ascii="Times New Roman" w:eastAsia="楷体" w:hAnsi="Times New Roman" w:cs="Times New Roman"/>
          <w:sz w:val="24"/>
          <w:szCs w:val="24"/>
        </w:rPr>
      </w:pPr>
      <w:r w:rsidRPr="00215542">
        <w:rPr>
          <w:rFonts w:ascii="Times New Roman" w:eastAsia="楷体" w:hAnsi="Times New Roman" w:cs="Times New Roman"/>
          <w:sz w:val="24"/>
          <w:szCs w:val="24"/>
        </w:rPr>
        <w:t>蓝星安迪苏股份有限公司</w:t>
      </w:r>
    </w:p>
    <w:p w14:paraId="7EA71453" w14:textId="2BA21B2D" w:rsidR="003644A9" w:rsidRPr="00215542" w:rsidRDefault="004757EC" w:rsidP="001947D3">
      <w:pPr>
        <w:spacing w:after="0" w:line="240" w:lineRule="auto"/>
        <w:ind w:right="142"/>
        <w:jc w:val="right"/>
        <w:rPr>
          <w:rFonts w:ascii="Times New Roman" w:eastAsia="楷体" w:hAnsi="Times New Roman" w:cs="Times New Roman"/>
          <w:sz w:val="24"/>
          <w:szCs w:val="24"/>
          <w:lang w:val="en-US"/>
        </w:rPr>
      </w:pPr>
      <w:r w:rsidRPr="00215542">
        <w:rPr>
          <w:rFonts w:ascii="Times New Roman" w:eastAsia="楷体" w:hAnsi="Times New Roman" w:cs="Times New Roman"/>
          <w:sz w:val="24"/>
          <w:szCs w:val="24"/>
        </w:rPr>
        <w:t>202</w:t>
      </w:r>
      <w:r w:rsidR="00AA4737" w:rsidRPr="00215542">
        <w:rPr>
          <w:rFonts w:ascii="Times New Roman" w:eastAsia="楷体" w:hAnsi="Times New Roman" w:cs="Times New Roman"/>
          <w:sz w:val="24"/>
          <w:szCs w:val="24"/>
        </w:rPr>
        <w:t>5</w:t>
      </w:r>
      <w:r w:rsidRPr="00215542">
        <w:rPr>
          <w:rFonts w:ascii="Times New Roman" w:eastAsia="楷体" w:hAnsi="Times New Roman" w:cs="Times New Roman"/>
          <w:sz w:val="24"/>
          <w:szCs w:val="24"/>
        </w:rPr>
        <w:t>年</w:t>
      </w:r>
      <w:r w:rsidR="006D2699">
        <w:rPr>
          <w:rFonts w:ascii="Times New Roman" w:eastAsia="楷体" w:hAnsi="Times New Roman" w:cs="Times New Roman" w:hint="eastAsia"/>
          <w:sz w:val="24"/>
          <w:szCs w:val="24"/>
        </w:rPr>
        <w:t>9</w:t>
      </w:r>
      <w:r w:rsidRPr="00215542">
        <w:rPr>
          <w:rFonts w:ascii="Times New Roman" w:eastAsia="楷体" w:hAnsi="Times New Roman" w:cs="Times New Roman"/>
          <w:sz w:val="24"/>
          <w:szCs w:val="24"/>
        </w:rPr>
        <w:t>月</w:t>
      </w:r>
      <w:r w:rsidR="006D2699">
        <w:rPr>
          <w:rFonts w:ascii="Times New Roman" w:eastAsia="楷体" w:hAnsi="Times New Roman" w:cs="Times New Roman" w:hint="eastAsia"/>
          <w:sz w:val="24"/>
          <w:szCs w:val="24"/>
        </w:rPr>
        <w:t>9</w:t>
      </w:r>
      <w:r w:rsidR="00201137" w:rsidRPr="00215542">
        <w:rPr>
          <w:rFonts w:ascii="Times New Roman" w:eastAsia="楷体" w:hAnsi="Times New Roman" w:cs="Times New Roman"/>
          <w:sz w:val="24"/>
          <w:szCs w:val="24"/>
        </w:rPr>
        <w:t>日</w:t>
      </w:r>
      <w:r w:rsidR="003644A9" w:rsidRPr="00215542">
        <w:rPr>
          <w:rFonts w:ascii="Times New Roman" w:eastAsia="楷体" w:hAnsi="Times New Roman" w:cs="Times New Roman"/>
          <w:sz w:val="24"/>
          <w:szCs w:val="24"/>
          <w:lang w:val="en-US"/>
        </w:rPr>
        <w:br w:type="page"/>
      </w:r>
    </w:p>
    <w:p w14:paraId="6AC3A5D1" w14:textId="77777777" w:rsidR="00887A05" w:rsidRPr="00215542" w:rsidRDefault="003644A9" w:rsidP="009B6B19">
      <w:pPr>
        <w:jc w:val="both"/>
        <w:rPr>
          <w:rFonts w:ascii="Times New Roman" w:eastAsia="楷体" w:hAnsi="Times New Roman" w:cs="Times New Roman"/>
          <w:sz w:val="24"/>
          <w:szCs w:val="24"/>
          <w:lang w:val="en-US"/>
        </w:rPr>
      </w:pPr>
      <w:bookmarkStart w:id="0" w:name="_Hlk150434639"/>
      <w:r w:rsidRPr="00215542">
        <w:rPr>
          <w:rFonts w:ascii="Times New Roman" w:eastAsia="楷体" w:hAnsi="Times New Roman" w:cs="Times New Roman"/>
          <w:sz w:val="24"/>
          <w:szCs w:val="24"/>
        </w:rPr>
        <w:t>附件清单（排名不分先后）：</w:t>
      </w:r>
    </w:p>
    <w:tbl>
      <w:tblPr>
        <w:tblW w:w="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31"/>
      </w:tblGrid>
      <w:tr w:rsidR="001C3012" w:rsidRPr="00BD44AC" w14:paraId="2A597BEF" w14:textId="77777777" w:rsidTr="001C3012">
        <w:trPr>
          <w:trHeight w:val="276"/>
        </w:trPr>
        <w:tc>
          <w:tcPr>
            <w:tcW w:w="817" w:type="dxa"/>
            <w:noWrap/>
            <w:vAlign w:val="center"/>
            <w:hideMark/>
          </w:tcPr>
          <w:bookmarkEnd w:id="0"/>
          <w:p w14:paraId="6EBD31E4" w14:textId="77777777" w:rsidR="001C3012" w:rsidRPr="00BD44AC" w:rsidRDefault="001C3012" w:rsidP="00B13B88">
            <w:pPr>
              <w:spacing w:after="0" w:line="240" w:lineRule="auto"/>
              <w:jc w:val="center"/>
              <w:rPr>
                <w:rFonts w:ascii="Times New Roman" w:eastAsia="楷体" w:hAnsi="Times New Roman" w:cs="Times New Roman"/>
                <w:sz w:val="24"/>
                <w:szCs w:val="24"/>
                <w:lang w:val="en-US"/>
              </w:rPr>
            </w:pPr>
            <w:r w:rsidRPr="00BD44AC">
              <w:rPr>
                <w:rFonts w:ascii="Times New Roman" w:eastAsia="楷体" w:hAnsi="Times New Roman" w:cs="Times New Roman"/>
                <w:sz w:val="24"/>
                <w:szCs w:val="24"/>
                <w:lang w:val="en-US"/>
              </w:rPr>
              <w:t>序号</w:t>
            </w:r>
          </w:p>
        </w:tc>
        <w:tc>
          <w:tcPr>
            <w:tcW w:w="3231" w:type="dxa"/>
            <w:noWrap/>
            <w:vAlign w:val="center"/>
            <w:hideMark/>
          </w:tcPr>
          <w:p w14:paraId="6B2FF867" w14:textId="52EE5244" w:rsidR="001C3012" w:rsidRPr="00BD44AC" w:rsidRDefault="001C3012" w:rsidP="00964972">
            <w:pPr>
              <w:spacing w:after="0" w:line="240" w:lineRule="auto"/>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机构名称</w:t>
            </w:r>
          </w:p>
        </w:tc>
      </w:tr>
      <w:tr w:rsidR="005304DC" w:rsidRPr="00BD44AC" w14:paraId="43B3A3F7" w14:textId="77777777" w:rsidTr="003855D8">
        <w:trPr>
          <w:trHeight w:val="276"/>
        </w:trPr>
        <w:tc>
          <w:tcPr>
            <w:tcW w:w="817" w:type="dxa"/>
            <w:noWrap/>
            <w:vAlign w:val="center"/>
            <w:hideMark/>
          </w:tcPr>
          <w:p w14:paraId="45F444AF" w14:textId="77777777"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1</w:t>
            </w:r>
          </w:p>
        </w:tc>
        <w:tc>
          <w:tcPr>
            <w:tcW w:w="3231" w:type="dxa"/>
            <w:noWrap/>
            <w:vAlign w:val="center"/>
          </w:tcPr>
          <w:p w14:paraId="46FBC4A4" w14:textId="5D6F543A" w:rsidR="005304DC" w:rsidRPr="00BD44AC" w:rsidRDefault="005304DC" w:rsidP="005304DC">
            <w:pPr>
              <w:spacing w:after="0" w:line="240" w:lineRule="auto"/>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rPr>
              <w:t>国信证券</w:t>
            </w:r>
          </w:p>
        </w:tc>
      </w:tr>
      <w:tr w:rsidR="005304DC" w:rsidRPr="00BD44AC" w14:paraId="416369D6" w14:textId="77777777" w:rsidTr="003855D8">
        <w:trPr>
          <w:trHeight w:val="276"/>
        </w:trPr>
        <w:tc>
          <w:tcPr>
            <w:tcW w:w="817" w:type="dxa"/>
            <w:noWrap/>
            <w:vAlign w:val="center"/>
          </w:tcPr>
          <w:p w14:paraId="0F13F956" w14:textId="5AFEE50A"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2</w:t>
            </w:r>
          </w:p>
        </w:tc>
        <w:tc>
          <w:tcPr>
            <w:tcW w:w="3231" w:type="dxa"/>
            <w:noWrap/>
            <w:vAlign w:val="center"/>
          </w:tcPr>
          <w:p w14:paraId="1A6F7836" w14:textId="610DD9B2" w:rsidR="005304DC" w:rsidRPr="00BD44AC" w:rsidRDefault="005304DC" w:rsidP="005304DC">
            <w:pPr>
              <w:spacing w:after="0" w:line="240" w:lineRule="auto"/>
              <w:rPr>
                <w:rFonts w:ascii="Times New Roman" w:eastAsia="楷体" w:hAnsi="Times New Roman" w:cs="Times New Roman"/>
                <w:color w:val="000000"/>
                <w:sz w:val="24"/>
                <w:szCs w:val="24"/>
              </w:rPr>
            </w:pPr>
            <w:r w:rsidRPr="00BD44AC">
              <w:rPr>
                <w:rFonts w:ascii="Times New Roman" w:eastAsia="楷体" w:hAnsi="Times New Roman" w:cs="Times New Roman"/>
                <w:color w:val="000000"/>
                <w:sz w:val="24"/>
                <w:szCs w:val="24"/>
              </w:rPr>
              <w:t>华</w:t>
            </w:r>
            <w:proofErr w:type="gramStart"/>
            <w:r w:rsidRPr="00BD44AC">
              <w:rPr>
                <w:rFonts w:ascii="Times New Roman" w:eastAsia="楷体" w:hAnsi="Times New Roman" w:cs="Times New Roman"/>
                <w:color w:val="000000"/>
                <w:sz w:val="24"/>
                <w:szCs w:val="24"/>
              </w:rPr>
              <w:t>福证券</w:t>
            </w:r>
            <w:proofErr w:type="gramEnd"/>
          </w:p>
        </w:tc>
      </w:tr>
      <w:tr w:rsidR="005304DC" w:rsidRPr="00BD44AC" w14:paraId="27215473" w14:textId="77777777" w:rsidTr="003855D8">
        <w:trPr>
          <w:trHeight w:val="276"/>
        </w:trPr>
        <w:tc>
          <w:tcPr>
            <w:tcW w:w="817" w:type="dxa"/>
            <w:noWrap/>
            <w:vAlign w:val="center"/>
          </w:tcPr>
          <w:p w14:paraId="410F17FB" w14:textId="7FA5A884"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3</w:t>
            </w:r>
          </w:p>
        </w:tc>
        <w:tc>
          <w:tcPr>
            <w:tcW w:w="3231" w:type="dxa"/>
            <w:noWrap/>
            <w:vAlign w:val="center"/>
          </w:tcPr>
          <w:p w14:paraId="5B109B44" w14:textId="2F1A3FFF" w:rsidR="005304DC" w:rsidRPr="00BD44AC" w:rsidRDefault="005304DC" w:rsidP="005304DC">
            <w:pPr>
              <w:spacing w:after="0" w:line="240" w:lineRule="auto"/>
              <w:rPr>
                <w:rFonts w:ascii="Times New Roman" w:eastAsia="楷体" w:hAnsi="Times New Roman" w:cs="Times New Roman"/>
                <w:color w:val="000000"/>
                <w:sz w:val="24"/>
                <w:szCs w:val="24"/>
              </w:rPr>
            </w:pPr>
            <w:r w:rsidRPr="00BD44AC">
              <w:rPr>
                <w:rFonts w:ascii="Times New Roman" w:eastAsia="楷体" w:hAnsi="Times New Roman" w:cs="Times New Roman"/>
                <w:color w:val="000000"/>
                <w:sz w:val="24"/>
                <w:szCs w:val="24"/>
              </w:rPr>
              <w:t>东兴证券</w:t>
            </w:r>
          </w:p>
        </w:tc>
      </w:tr>
      <w:tr w:rsidR="005304DC" w:rsidRPr="00BD44AC" w14:paraId="0EA7774D" w14:textId="77777777" w:rsidTr="003855D8">
        <w:trPr>
          <w:trHeight w:val="276"/>
        </w:trPr>
        <w:tc>
          <w:tcPr>
            <w:tcW w:w="817" w:type="dxa"/>
            <w:noWrap/>
            <w:vAlign w:val="center"/>
          </w:tcPr>
          <w:p w14:paraId="55F584A5" w14:textId="113EC1C6"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4</w:t>
            </w:r>
          </w:p>
        </w:tc>
        <w:tc>
          <w:tcPr>
            <w:tcW w:w="3231" w:type="dxa"/>
            <w:noWrap/>
            <w:vAlign w:val="center"/>
          </w:tcPr>
          <w:p w14:paraId="483AB10F" w14:textId="6B618110" w:rsidR="005304DC" w:rsidRPr="00BD44AC" w:rsidRDefault="005304DC" w:rsidP="005304DC">
            <w:pPr>
              <w:spacing w:after="0" w:line="240" w:lineRule="auto"/>
              <w:rPr>
                <w:rFonts w:ascii="Times New Roman" w:eastAsia="楷体" w:hAnsi="Times New Roman" w:cs="Times New Roman"/>
                <w:color w:val="000000"/>
                <w:sz w:val="24"/>
                <w:szCs w:val="24"/>
              </w:rPr>
            </w:pPr>
            <w:r w:rsidRPr="00BD44AC">
              <w:rPr>
                <w:rFonts w:ascii="Times New Roman" w:eastAsia="楷体" w:hAnsi="Times New Roman" w:cs="Times New Roman"/>
                <w:color w:val="000000"/>
                <w:sz w:val="24"/>
                <w:szCs w:val="24"/>
              </w:rPr>
              <w:t>光大证券</w:t>
            </w:r>
          </w:p>
        </w:tc>
      </w:tr>
      <w:tr w:rsidR="005304DC" w:rsidRPr="00BD44AC" w14:paraId="0D56A53A" w14:textId="77777777" w:rsidTr="003855D8">
        <w:trPr>
          <w:trHeight w:val="276"/>
        </w:trPr>
        <w:tc>
          <w:tcPr>
            <w:tcW w:w="817" w:type="dxa"/>
            <w:noWrap/>
            <w:vAlign w:val="center"/>
          </w:tcPr>
          <w:p w14:paraId="0DF4CF48" w14:textId="2F9C791C"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5</w:t>
            </w:r>
          </w:p>
        </w:tc>
        <w:tc>
          <w:tcPr>
            <w:tcW w:w="3231" w:type="dxa"/>
            <w:noWrap/>
            <w:vAlign w:val="center"/>
          </w:tcPr>
          <w:p w14:paraId="111FD5B8" w14:textId="41729AC6" w:rsidR="005304DC" w:rsidRPr="00BD44AC" w:rsidRDefault="005304DC" w:rsidP="005304DC">
            <w:pPr>
              <w:spacing w:after="0" w:line="240" w:lineRule="auto"/>
              <w:rPr>
                <w:rFonts w:ascii="Times New Roman" w:eastAsia="楷体" w:hAnsi="Times New Roman" w:cs="Times New Roman"/>
                <w:color w:val="000000"/>
                <w:sz w:val="24"/>
                <w:szCs w:val="24"/>
              </w:rPr>
            </w:pPr>
            <w:r w:rsidRPr="00BD44AC">
              <w:rPr>
                <w:rFonts w:ascii="Times New Roman" w:eastAsia="楷体" w:hAnsi="Times New Roman" w:cs="Times New Roman"/>
                <w:color w:val="000000"/>
                <w:sz w:val="24"/>
                <w:szCs w:val="24"/>
              </w:rPr>
              <w:t>长城证券</w:t>
            </w:r>
          </w:p>
        </w:tc>
      </w:tr>
      <w:tr w:rsidR="005304DC" w:rsidRPr="00BD44AC" w14:paraId="7E1EA195" w14:textId="77777777" w:rsidTr="003855D8">
        <w:trPr>
          <w:trHeight w:val="276"/>
        </w:trPr>
        <w:tc>
          <w:tcPr>
            <w:tcW w:w="817" w:type="dxa"/>
            <w:noWrap/>
            <w:vAlign w:val="center"/>
            <w:hideMark/>
          </w:tcPr>
          <w:p w14:paraId="5DA61325" w14:textId="2508CF58"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6</w:t>
            </w:r>
          </w:p>
        </w:tc>
        <w:tc>
          <w:tcPr>
            <w:tcW w:w="3231" w:type="dxa"/>
            <w:noWrap/>
            <w:vAlign w:val="center"/>
          </w:tcPr>
          <w:p w14:paraId="4739592B" w14:textId="2B9D8E0B" w:rsidR="005304DC" w:rsidRPr="00BD44AC" w:rsidRDefault="005304DC" w:rsidP="005304DC">
            <w:pPr>
              <w:spacing w:after="0" w:line="240" w:lineRule="auto"/>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rPr>
              <w:t>国新基金</w:t>
            </w:r>
          </w:p>
        </w:tc>
      </w:tr>
      <w:tr w:rsidR="005304DC" w:rsidRPr="00BD44AC" w14:paraId="34E020E5" w14:textId="77777777" w:rsidTr="003855D8">
        <w:trPr>
          <w:trHeight w:val="276"/>
        </w:trPr>
        <w:tc>
          <w:tcPr>
            <w:tcW w:w="817" w:type="dxa"/>
            <w:noWrap/>
            <w:vAlign w:val="center"/>
            <w:hideMark/>
          </w:tcPr>
          <w:p w14:paraId="7829BE99" w14:textId="527EB35E"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7</w:t>
            </w:r>
          </w:p>
        </w:tc>
        <w:tc>
          <w:tcPr>
            <w:tcW w:w="3231" w:type="dxa"/>
            <w:noWrap/>
            <w:vAlign w:val="center"/>
          </w:tcPr>
          <w:p w14:paraId="7481DBF4" w14:textId="19511EDB" w:rsidR="005304DC" w:rsidRPr="00BD44AC" w:rsidRDefault="005304DC" w:rsidP="005304DC">
            <w:pPr>
              <w:spacing w:after="0" w:line="240" w:lineRule="auto"/>
              <w:rPr>
                <w:rFonts w:ascii="Times New Roman" w:eastAsia="楷体" w:hAnsi="Times New Roman" w:cs="Times New Roman"/>
                <w:color w:val="000000"/>
                <w:sz w:val="24"/>
                <w:szCs w:val="24"/>
                <w:lang w:val="en-US"/>
              </w:rPr>
            </w:pPr>
            <w:proofErr w:type="gramStart"/>
            <w:r w:rsidRPr="00BD44AC">
              <w:rPr>
                <w:rFonts w:ascii="Times New Roman" w:eastAsia="楷体" w:hAnsi="Times New Roman" w:cs="Times New Roman"/>
                <w:color w:val="000000"/>
                <w:sz w:val="24"/>
                <w:szCs w:val="24"/>
              </w:rPr>
              <w:t>国泰海通</w:t>
            </w:r>
            <w:proofErr w:type="gramEnd"/>
          </w:p>
        </w:tc>
      </w:tr>
      <w:tr w:rsidR="005304DC" w:rsidRPr="00BD44AC" w14:paraId="72E9678C" w14:textId="77777777" w:rsidTr="003855D8">
        <w:trPr>
          <w:trHeight w:val="276"/>
        </w:trPr>
        <w:tc>
          <w:tcPr>
            <w:tcW w:w="817" w:type="dxa"/>
            <w:noWrap/>
            <w:vAlign w:val="center"/>
            <w:hideMark/>
          </w:tcPr>
          <w:p w14:paraId="155AB168" w14:textId="6C9BB00A"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8</w:t>
            </w:r>
          </w:p>
        </w:tc>
        <w:tc>
          <w:tcPr>
            <w:tcW w:w="3231" w:type="dxa"/>
            <w:noWrap/>
            <w:vAlign w:val="center"/>
          </w:tcPr>
          <w:p w14:paraId="5354AFCF" w14:textId="644B517F" w:rsidR="005304DC" w:rsidRPr="00BD44AC" w:rsidRDefault="005304DC" w:rsidP="005304DC">
            <w:pPr>
              <w:spacing w:after="0" w:line="240" w:lineRule="auto"/>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rPr>
              <w:t>东吴证券</w:t>
            </w:r>
          </w:p>
        </w:tc>
      </w:tr>
      <w:tr w:rsidR="005304DC" w:rsidRPr="00BD44AC" w14:paraId="1E5C293A" w14:textId="77777777" w:rsidTr="003855D8">
        <w:trPr>
          <w:trHeight w:val="276"/>
        </w:trPr>
        <w:tc>
          <w:tcPr>
            <w:tcW w:w="817" w:type="dxa"/>
            <w:noWrap/>
            <w:vAlign w:val="center"/>
            <w:hideMark/>
          </w:tcPr>
          <w:p w14:paraId="7F364D68" w14:textId="1A30DC41" w:rsidR="005304DC" w:rsidRPr="00BD44AC" w:rsidRDefault="005304DC" w:rsidP="005304DC">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9</w:t>
            </w:r>
          </w:p>
        </w:tc>
        <w:tc>
          <w:tcPr>
            <w:tcW w:w="3231" w:type="dxa"/>
            <w:noWrap/>
            <w:vAlign w:val="center"/>
          </w:tcPr>
          <w:p w14:paraId="6144902E" w14:textId="7E0D9118" w:rsidR="005304DC" w:rsidRPr="00BD44AC" w:rsidRDefault="005304DC" w:rsidP="005304DC">
            <w:pPr>
              <w:spacing w:after="0" w:line="240" w:lineRule="auto"/>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rPr>
              <w:t>上海申银万国证券研究所</w:t>
            </w:r>
          </w:p>
        </w:tc>
      </w:tr>
      <w:tr w:rsidR="001C3012" w:rsidRPr="00BD44AC" w14:paraId="561D5E78" w14:textId="77777777" w:rsidTr="001C3012">
        <w:trPr>
          <w:trHeight w:val="276"/>
        </w:trPr>
        <w:tc>
          <w:tcPr>
            <w:tcW w:w="817" w:type="dxa"/>
            <w:noWrap/>
            <w:vAlign w:val="center"/>
          </w:tcPr>
          <w:p w14:paraId="10EB6B64" w14:textId="247DE5ED" w:rsidR="001C3012" w:rsidRPr="00BD44AC" w:rsidRDefault="001C3012" w:rsidP="00E82315">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1</w:t>
            </w:r>
            <w:r w:rsidR="005304DC" w:rsidRPr="00BD44AC">
              <w:rPr>
                <w:rFonts w:ascii="Times New Roman" w:eastAsia="楷体" w:hAnsi="Times New Roman" w:cs="Times New Roman"/>
                <w:color w:val="000000"/>
                <w:sz w:val="24"/>
                <w:szCs w:val="24"/>
                <w:lang w:val="en-US"/>
              </w:rPr>
              <w:t>0</w:t>
            </w:r>
          </w:p>
        </w:tc>
        <w:tc>
          <w:tcPr>
            <w:tcW w:w="3231" w:type="dxa"/>
            <w:noWrap/>
            <w:vAlign w:val="bottom"/>
          </w:tcPr>
          <w:p w14:paraId="7F57607C" w14:textId="20B38AC8" w:rsidR="001C3012" w:rsidRPr="00BD44AC" w:rsidRDefault="001C3012" w:rsidP="00E82315">
            <w:pPr>
              <w:spacing w:after="0" w:line="240" w:lineRule="auto"/>
              <w:rPr>
                <w:rFonts w:ascii="Times New Roman" w:eastAsia="楷体" w:hAnsi="Times New Roman" w:cs="Times New Roman"/>
                <w:color w:val="000000"/>
                <w:sz w:val="24"/>
                <w:szCs w:val="24"/>
              </w:rPr>
            </w:pPr>
            <w:r w:rsidRPr="00BD44AC">
              <w:rPr>
                <w:rFonts w:ascii="Times New Roman" w:eastAsia="楷体" w:hAnsi="Times New Roman" w:cs="Times New Roman"/>
                <w:color w:val="000000"/>
                <w:sz w:val="24"/>
                <w:szCs w:val="24"/>
              </w:rPr>
              <w:t>瑞银</w:t>
            </w:r>
          </w:p>
        </w:tc>
      </w:tr>
      <w:tr w:rsidR="001C3012" w:rsidRPr="00BD44AC" w14:paraId="6B0BA224" w14:textId="77777777" w:rsidTr="001C3012">
        <w:trPr>
          <w:trHeight w:val="276"/>
        </w:trPr>
        <w:tc>
          <w:tcPr>
            <w:tcW w:w="817" w:type="dxa"/>
            <w:noWrap/>
            <w:vAlign w:val="center"/>
            <w:hideMark/>
          </w:tcPr>
          <w:p w14:paraId="7D4D1A69" w14:textId="193EAF9E" w:rsidR="001C3012" w:rsidRPr="00BD44AC" w:rsidRDefault="001C3012" w:rsidP="00E82315">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1</w:t>
            </w:r>
            <w:r w:rsidR="005304DC" w:rsidRPr="00BD44AC">
              <w:rPr>
                <w:rFonts w:ascii="Times New Roman" w:eastAsia="楷体" w:hAnsi="Times New Roman" w:cs="Times New Roman"/>
                <w:color w:val="000000"/>
                <w:sz w:val="24"/>
                <w:szCs w:val="24"/>
                <w:lang w:val="en-US"/>
              </w:rPr>
              <w:t>1</w:t>
            </w:r>
          </w:p>
        </w:tc>
        <w:tc>
          <w:tcPr>
            <w:tcW w:w="3231" w:type="dxa"/>
            <w:noWrap/>
            <w:vAlign w:val="bottom"/>
          </w:tcPr>
          <w:p w14:paraId="11FB26C9" w14:textId="4100A872" w:rsidR="001C3012" w:rsidRPr="00BD44AC" w:rsidRDefault="001C3012" w:rsidP="00E82315">
            <w:pPr>
              <w:spacing w:after="0" w:line="240" w:lineRule="auto"/>
              <w:rPr>
                <w:rFonts w:ascii="Times New Roman" w:eastAsia="楷体" w:hAnsi="Times New Roman" w:cs="Times New Roman"/>
                <w:sz w:val="24"/>
                <w:szCs w:val="24"/>
              </w:rPr>
            </w:pPr>
            <w:r w:rsidRPr="00BD44AC">
              <w:rPr>
                <w:rFonts w:ascii="Times New Roman" w:eastAsia="楷体" w:hAnsi="Times New Roman" w:cs="Times New Roman"/>
                <w:color w:val="000000"/>
                <w:sz w:val="24"/>
                <w:szCs w:val="24"/>
              </w:rPr>
              <w:t>高盛</w:t>
            </w:r>
            <w:r w:rsidRPr="00BD44AC">
              <w:rPr>
                <w:rFonts w:ascii="Times New Roman" w:eastAsia="楷体" w:hAnsi="Times New Roman" w:cs="Times New Roman"/>
                <w:color w:val="000000"/>
                <w:sz w:val="24"/>
                <w:szCs w:val="24"/>
              </w:rPr>
              <w:t xml:space="preserve"> </w:t>
            </w:r>
          </w:p>
        </w:tc>
      </w:tr>
      <w:tr w:rsidR="005304DC" w:rsidRPr="00BD44AC" w14:paraId="4B00A50A" w14:textId="77777777" w:rsidTr="001C3012">
        <w:trPr>
          <w:trHeight w:val="276"/>
        </w:trPr>
        <w:tc>
          <w:tcPr>
            <w:tcW w:w="817" w:type="dxa"/>
            <w:noWrap/>
            <w:vAlign w:val="center"/>
          </w:tcPr>
          <w:p w14:paraId="498BD5E1" w14:textId="0ADB69D9" w:rsidR="005304DC" w:rsidRPr="00BD44AC" w:rsidRDefault="005304DC" w:rsidP="00E82315">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12</w:t>
            </w:r>
          </w:p>
        </w:tc>
        <w:tc>
          <w:tcPr>
            <w:tcW w:w="3231" w:type="dxa"/>
            <w:noWrap/>
            <w:vAlign w:val="bottom"/>
          </w:tcPr>
          <w:p w14:paraId="1498F521" w14:textId="118CD4AA" w:rsidR="005304DC" w:rsidRPr="00BD44AC" w:rsidRDefault="005304DC" w:rsidP="00E82315">
            <w:pPr>
              <w:spacing w:after="0" w:line="240" w:lineRule="auto"/>
              <w:rPr>
                <w:rFonts w:ascii="Times New Roman" w:eastAsia="楷体" w:hAnsi="Times New Roman" w:cs="Times New Roman"/>
                <w:color w:val="000000"/>
                <w:sz w:val="24"/>
                <w:szCs w:val="24"/>
              </w:rPr>
            </w:pPr>
            <w:r w:rsidRPr="00BD44AC">
              <w:rPr>
                <w:rFonts w:ascii="Times New Roman" w:eastAsia="楷体" w:hAnsi="Times New Roman" w:cs="Times New Roman"/>
                <w:color w:val="000000"/>
                <w:sz w:val="24"/>
                <w:szCs w:val="24"/>
              </w:rPr>
              <w:t>Jefferies</w:t>
            </w:r>
          </w:p>
        </w:tc>
      </w:tr>
      <w:tr w:rsidR="001C3012" w:rsidRPr="00BD44AC" w14:paraId="3C20680C" w14:textId="77777777" w:rsidTr="001C3012">
        <w:trPr>
          <w:trHeight w:val="276"/>
        </w:trPr>
        <w:tc>
          <w:tcPr>
            <w:tcW w:w="817" w:type="dxa"/>
            <w:noWrap/>
            <w:vAlign w:val="center"/>
          </w:tcPr>
          <w:p w14:paraId="7B97F17F" w14:textId="0C020178" w:rsidR="001C3012" w:rsidRPr="00BD44AC" w:rsidRDefault="001C3012" w:rsidP="00E82315">
            <w:pPr>
              <w:spacing w:after="0" w:line="240" w:lineRule="auto"/>
              <w:jc w:val="center"/>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lang w:val="en-US"/>
              </w:rPr>
              <w:t>1</w:t>
            </w:r>
            <w:r w:rsidR="005304DC" w:rsidRPr="00BD44AC">
              <w:rPr>
                <w:rFonts w:ascii="Times New Roman" w:eastAsia="楷体" w:hAnsi="Times New Roman" w:cs="Times New Roman"/>
                <w:color w:val="000000"/>
                <w:sz w:val="24"/>
                <w:szCs w:val="24"/>
                <w:lang w:val="en-US"/>
              </w:rPr>
              <w:t>3</w:t>
            </w:r>
          </w:p>
        </w:tc>
        <w:tc>
          <w:tcPr>
            <w:tcW w:w="3231" w:type="dxa"/>
            <w:noWrap/>
            <w:vAlign w:val="bottom"/>
          </w:tcPr>
          <w:p w14:paraId="0F188E86" w14:textId="7145391F" w:rsidR="001C3012" w:rsidRPr="00BD44AC" w:rsidRDefault="001C3012" w:rsidP="00E82315">
            <w:pPr>
              <w:spacing w:after="0" w:line="240" w:lineRule="auto"/>
              <w:rPr>
                <w:rFonts w:ascii="Times New Roman" w:eastAsia="楷体" w:hAnsi="Times New Roman" w:cs="Times New Roman"/>
                <w:color w:val="000000"/>
                <w:sz w:val="24"/>
                <w:szCs w:val="24"/>
                <w:lang w:val="en-US"/>
              </w:rPr>
            </w:pPr>
            <w:r w:rsidRPr="00BD44AC">
              <w:rPr>
                <w:rFonts w:ascii="Times New Roman" w:eastAsia="楷体" w:hAnsi="Times New Roman" w:cs="Times New Roman"/>
                <w:color w:val="000000"/>
                <w:sz w:val="24"/>
                <w:szCs w:val="24"/>
              </w:rPr>
              <w:t>金山湖投资</w:t>
            </w:r>
            <w:r w:rsidRPr="00BD44AC">
              <w:rPr>
                <w:rFonts w:ascii="Times New Roman" w:eastAsia="楷体" w:hAnsi="Times New Roman" w:cs="Times New Roman"/>
                <w:color w:val="000000"/>
                <w:sz w:val="24"/>
                <w:szCs w:val="24"/>
              </w:rPr>
              <w:t xml:space="preserve"> </w:t>
            </w:r>
          </w:p>
        </w:tc>
      </w:tr>
    </w:tbl>
    <w:p w14:paraId="594C2F92" w14:textId="77777777" w:rsidR="003A6A47" w:rsidRPr="00215542" w:rsidRDefault="003A6A47" w:rsidP="00CE7A04">
      <w:pPr>
        <w:rPr>
          <w:rFonts w:ascii="Times New Roman" w:eastAsia="楷体" w:hAnsi="Times New Roman" w:cs="Times New Roman"/>
          <w:sz w:val="24"/>
          <w:szCs w:val="24"/>
        </w:rPr>
      </w:pPr>
    </w:p>
    <w:sectPr w:rsidR="003A6A47" w:rsidRPr="00215542" w:rsidSect="0051258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3698" w14:textId="77777777" w:rsidR="000A24F0" w:rsidRDefault="000A24F0" w:rsidP="00226B25">
      <w:pPr>
        <w:spacing w:after="0" w:line="240" w:lineRule="auto"/>
      </w:pPr>
      <w:r>
        <w:separator/>
      </w:r>
    </w:p>
  </w:endnote>
  <w:endnote w:type="continuationSeparator" w:id="0">
    <w:p w14:paraId="577B8868" w14:textId="77777777" w:rsidR="000A24F0" w:rsidRDefault="000A24F0" w:rsidP="00226B25">
      <w:pPr>
        <w:spacing w:after="0" w:line="240" w:lineRule="auto"/>
      </w:pPr>
      <w:r>
        <w:continuationSeparator/>
      </w:r>
    </w:p>
  </w:endnote>
  <w:endnote w:type="continuationNotice" w:id="1">
    <w:p w14:paraId="0C41136E" w14:textId="77777777" w:rsidR="000A24F0" w:rsidRDefault="000A2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楷体">
    <w:altName w:val="Microsoft Ya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w:t>
        </w:r>
        <w:r w:rsidR="00050A0B">
          <w:rPr>
            <w:rFonts w:ascii="Times New Roman" w:hAnsi="Times New Roman" w:cs="Times New Roman" w:hint="eastAsia"/>
          </w:rPr>
          <w:t xml:space="preserve">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688F" w14:textId="77777777" w:rsidR="000A24F0" w:rsidRDefault="000A24F0" w:rsidP="00226B25">
      <w:pPr>
        <w:spacing w:after="0" w:line="240" w:lineRule="auto"/>
      </w:pPr>
      <w:r>
        <w:separator/>
      </w:r>
    </w:p>
  </w:footnote>
  <w:footnote w:type="continuationSeparator" w:id="0">
    <w:p w14:paraId="2E042DCE" w14:textId="77777777" w:rsidR="000A24F0" w:rsidRDefault="000A24F0" w:rsidP="00226B25">
      <w:pPr>
        <w:spacing w:after="0" w:line="240" w:lineRule="auto"/>
      </w:pPr>
      <w:r>
        <w:continuationSeparator/>
      </w:r>
    </w:p>
  </w:footnote>
  <w:footnote w:type="continuationNotice" w:id="1">
    <w:p w14:paraId="417144AA" w14:textId="77777777" w:rsidR="000A24F0" w:rsidRDefault="000A2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77777777" w:rsidR="00B86FD7" w:rsidRPr="009870C8" w:rsidRDefault="00521F0B" w:rsidP="009870C8">
    <w:pPr>
      <w:pStyle w:val="a4"/>
      <w:rPr>
        <w:rFonts w:ascii="楷体" w:eastAsia="楷体" w:hAnsi="楷体" w:hint="eastAsia"/>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1"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4560216">
    <w:abstractNumId w:val="1"/>
  </w:num>
  <w:num w:numId="2" w16cid:durableId="803083500">
    <w:abstractNumId w:val="2"/>
  </w:num>
  <w:num w:numId="3" w16cid:durableId="16026410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AFA"/>
    <w:rsid w:val="00002E84"/>
    <w:rsid w:val="000038A9"/>
    <w:rsid w:val="0000546A"/>
    <w:rsid w:val="0000569B"/>
    <w:rsid w:val="0000635C"/>
    <w:rsid w:val="0001080C"/>
    <w:rsid w:val="000130C0"/>
    <w:rsid w:val="00014AC4"/>
    <w:rsid w:val="00015071"/>
    <w:rsid w:val="00022FB1"/>
    <w:rsid w:val="00025FCA"/>
    <w:rsid w:val="00027A9B"/>
    <w:rsid w:val="00030A0E"/>
    <w:rsid w:val="000334C6"/>
    <w:rsid w:val="0003422A"/>
    <w:rsid w:val="00037B51"/>
    <w:rsid w:val="00037B8C"/>
    <w:rsid w:val="00040143"/>
    <w:rsid w:val="00043847"/>
    <w:rsid w:val="00050A0B"/>
    <w:rsid w:val="00051EAB"/>
    <w:rsid w:val="00051EBA"/>
    <w:rsid w:val="00055F3D"/>
    <w:rsid w:val="00056AA5"/>
    <w:rsid w:val="000634A8"/>
    <w:rsid w:val="00063505"/>
    <w:rsid w:val="00063CB5"/>
    <w:rsid w:val="00067325"/>
    <w:rsid w:val="000676D4"/>
    <w:rsid w:val="0007061E"/>
    <w:rsid w:val="00071664"/>
    <w:rsid w:val="0007245D"/>
    <w:rsid w:val="000729B8"/>
    <w:rsid w:val="000732A8"/>
    <w:rsid w:val="0007504E"/>
    <w:rsid w:val="00076889"/>
    <w:rsid w:val="00080769"/>
    <w:rsid w:val="00080A92"/>
    <w:rsid w:val="00082A41"/>
    <w:rsid w:val="0008395B"/>
    <w:rsid w:val="00085B70"/>
    <w:rsid w:val="00086493"/>
    <w:rsid w:val="00086946"/>
    <w:rsid w:val="00091828"/>
    <w:rsid w:val="00093C77"/>
    <w:rsid w:val="00094A89"/>
    <w:rsid w:val="00094DA2"/>
    <w:rsid w:val="000A03F7"/>
    <w:rsid w:val="000A24F0"/>
    <w:rsid w:val="000A7ED6"/>
    <w:rsid w:val="000B052D"/>
    <w:rsid w:val="000B2C6A"/>
    <w:rsid w:val="000B33A7"/>
    <w:rsid w:val="000B5E27"/>
    <w:rsid w:val="000C5972"/>
    <w:rsid w:val="000C6148"/>
    <w:rsid w:val="000D0773"/>
    <w:rsid w:val="000D0AC8"/>
    <w:rsid w:val="000D356D"/>
    <w:rsid w:val="000D3848"/>
    <w:rsid w:val="000D395D"/>
    <w:rsid w:val="000D4984"/>
    <w:rsid w:val="000D4AF9"/>
    <w:rsid w:val="000D6755"/>
    <w:rsid w:val="000D6D51"/>
    <w:rsid w:val="000E35A9"/>
    <w:rsid w:val="000E3D49"/>
    <w:rsid w:val="000F010F"/>
    <w:rsid w:val="000F0619"/>
    <w:rsid w:val="000F1B9B"/>
    <w:rsid w:val="000F21CF"/>
    <w:rsid w:val="000F4444"/>
    <w:rsid w:val="000F50ED"/>
    <w:rsid w:val="000F53F1"/>
    <w:rsid w:val="001005D1"/>
    <w:rsid w:val="001030BE"/>
    <w:rsid w:val="00103523"/>
    <w:rsid w:val="00104F91"/>
    <w:rsid w:val="00110288"/>
    <w:rsid w:val="00111359"/>
    <w:rsid w:val="0011266F"/>
    <w:rsid w:val="00112F65"/>
    <w:rsid w:val="00114733"/>
    <w:rsid w:val="00114F9C"/>
    <w:rsid w:val="0011681B"/>
    <w:rsid w:val="00116DF0"/>
    <w:rsid w:val="001251D5"/>
    <w:rsid w:val="00130883"/>
    <w:rsid w:val="0013206A"/>
    <w:rsid w:val="0013317E"/>
    <w:rsid w:val="00134CAA"/>
    <w:rsid w:val="00134E34"/>
    <w:rsid w:val="001361A6"/>
    <w:rsid w:val="00136F33"/>
    <w:rsid w:val="00141E15"/>
    <w:rsid w:val="00143709"/>
    <w:rsid w:val="001441A1"/>
    <w:rsid w:val="00144B55"/>
    <w:rsid w:val="00145211"/>
    <w:rsid w:val="001452A7"/>
    <w:rsid w:val="00150284"/>
    <w:rsid w:val="001508AD"/>
    <w:rsid w:val="00154C2C"/>
    <w:rsid w:val="00155870"/>
    <w:rsid w:val="00155AE4"/>
    <w:rsid w:val="0015640B"/>
    <w:rsid w:val="00157367"/>
    <w:rsid w:val="00160640"/>
    <w:rsid w:val="0016135B"/>
    <w:rsid w:val="00161965"/>
    <w:rsid w:val="00162260"/>
    <w:rsid w:val="00162C62"/>
    <w:rsid w:val="00162DF3"/>
    <w:rsid w:val="0016340B"/>
    <w:rsid w:val="00164204"/>
    <w:rsid w:val="00173174"/>
    <w:rsid w:val="0017348C"/>
    <w:rsid w:val="001735EC"/>
    <w:rsid w:val="00173841"/>
    <w:rsid w:val="001752DE"/>
    <w:rsid w:val="00176F41"/>
    <w:rsid w:val="00177873"/>
    <w:rsid w:val="00177BDD"/>
    <w:rsid w:val="00180123"/>
    <w:rsid w:val="001805F7"/>
    <w:rsid w:val="001814BD"/>
    <w:rsid w:val="00181B14"/>
    <w:rsid w:val="00182F38"/>
    <w:rsid w:val="001835BE"/>
    <w:rsid w:val="00183D53"/>
    <w:rsid w:val="00183E14"/>
    <w:rsid w:val="001849F4"/>
    <w:rsid w:val="001868F8"/>
    <w:rsid w:val="00186F02"/>
    <w:rsid w:val="001947D3"/>
    <w:rsid w:val="00195007"/>
    <w:rsid w:val="00195394"/>
    <w:rsid w:val="001964EB"/>
    <w:rsid w:val="001A01E1"/>
    <w:rsid w:val="001A1148"/>
    <w:rsid w:val="001A1189"/>
    <w:rsid w:val="001A1D1B"/>
    <w:rsid w:val="001A4053"/>
    <w:rsid w:val="001A59BF"/>
    <w:rsid w:val="001A6E1B"/>
    <w:rsid w:val="001B0844"/>
    <w:rsid w:val="001B3B74"/>
    <w:rsid w:val="001B57DA"/>
    <w:rsid w:val="001B5DCC"/>
    <w:rsid w:val="001B6FA8"/>
    <w:rsid w:val="001B707F"/>
    <w:rsid w:val="001C0047"/>
    <w:rsid w:val="001C0CC5"/>
    <w:rsid w:val="001C3012"/>
    <w:rsid w:val="001C597C"/>
    <w:rsid w:val="001C5E0B"/>
    <w:rsid w:val="001C639E"/>
    <w:rsid w:val="001D231A"/>
    <w:rsid w:val="001D4AFE"/>
    <w:rsid w:val="001D52AD"/>
    <w:rsid w:val="001D5BC5"/>
    <w:rsid w:val="001D5F49"/>
    <w:rsid w:val="001D615D"/>
    <w:rsid w:val="001D6945"/>
    <w:rsid w:val="001D69C9"/>
    <w:rsid w:val="001D76B7"/>
    <w:rsid w:val="001E181A"/>
    <w:rsid w:val="001E3990"/>
    <w:rsid w:val="001E425D"/>
    <w:rsid w:val="001E48A4"/>
    <w:rsid w:val="001E5D03"/>
    <w:rsid w:val="001E6007"/>
    <w:rsid w:val="001F0459"/>
    <w:rsid w:val="001F1540"/>
    <w:rsid w:val="001F2166"/>
    <w:rsid w:val="001F2272"/>
    <w:rsid w:val="001F25BF"/>
    <w:rsid w:val="001F2DF2"/>
    <w:rsid w:val="001F3437"/>
    <w:rsid w:val="001F5184"/>
    <w:rsid w:val="001F5F68"/>
    <w:rsid w:val="001F6D3A"/>
    <w:rsid w:val="00200D57"/>
    <w:rsid w:val="00201137"/>
    <w:rsid w:val="00201631"/>
    <w:rsid w:val="00206EEF"/>
    <w:rsid w:val="0021001E"/>
    <w:rsid w:val="00211763"/>
    <w:rsid w:val="00212367"/>
    <w:rsid w:val="00212DB9"/>
    <w:rsid w:val="00215542"/>
    <w:rsid w:val="0021674D"/>
    <w:rsid w:val="00216869"/>
    <w:rsid w:val="00216C72"/>
    <w:rsid w:val="00221227"/>
    <w:rsid w:val="00222E67"/>
    <w:rsid w:val="0022397C"/>
    <w:rsid w:val="0022539C"/>
    <w:rsid w:val="00225BA4"/>
    <w:rsid w:val="00226193"/>
    <w:rsid w:val="00226B25"/>
    <w:rsid w:val="002276B4"/>
    <w:rsid w:val="00227B02"/>
    <w:rsid w:val="00234D7D"/>
    <w:rsid w:val="002353BB"/>
    <w:rsid w:val="0023576F"/>
    <w:rsid w:val="00236B23"/>
    <w:rsid w:val="00236D6F"/>
    <w:rsid w:val="00241504"/>
    <w:rsid w:val="00241807"/>
    <w:rsid w:val="00243048"/>
    <w:rsid w:val="00245734"/>
    <w:rsid w:val="00250A19"/>
    <w:rsid w:val="00251485"/>
    <w:rsid w:val="00252034"/>
    <w:rsid w:val="00252EE9"/>
    <w:rsid w:val="00254DDC"/>
    <w:rsid w:val="002561B6"/>
    <w:rsid w:val="002605D2"/>
    <w:rsid w:val="002635E0"/>
    <w:rsid w:val="00263EF6"/>
    <w:rsid w:val="00267D7C"/>
    <w:rsid w:val="002720B6"/>
    <w:rsid w:val="0027506E"/>
    <w:rsid w:val="002753A8"/>
    <w:rsid w:val="00275BAA"/>
    <w:rsid w:val="00282EAB"/>
    <w:rsid w:val="002856D2"/>
    <w:rsid w:val="00286B7C"/>
    <w:rsid w:val="002879A6"/>
    <w:rsid w:val="002942CB"/>
    <w:rsid w:val="00294370"/>
    <w:rsid w:val="002944F8"/>
    <w:rsid w:val="00294BB6"/>
    <w:rsid w:val="00295F81"/>
    <w:rsid w:val="0029728B"/>
    <w:rsid w:val="00297300"/>
    <w:rsid w:val="002A149F"/>
    <w:rsid w:val="002A1979"/>
    <w:rsid w:val="002A252A"/>
    <w:rsid w:val="002A2937"/>
    <w:rsid w:val="002A3668"/>
    <w:rsid w:val="002A5236"/>
    <w:rsid w:val="002A7576"/>
    <w:rsid w:val="002B1F19"/>
    <w:rsid w:val="002B344A"/>
    <w:rsid w:val="002B359E"/>
    <w:rsid w:val="002B3E77"/>
    <w:rsid w:val="002B44B1"/>
    <w:rsid w:val="002B768E"/>
    <w:rsid w:val="002B791C"/>
    <w:rsid w:val="002C0698"/>
    <w:rsid w:val="002C1997"/>
    <w:rsid w:val="002C53BD"/>
    <w:rsid w:val="002C6360"/>
    <w:rsid w:val="002C7EEB"/>
    <w:rsid w:val="002D276B"/>
    <w:rsid w:val="002D2B22"/>
    <w:rsid w:val="002E2865"/>
    <w:rsid w:val="002E375D"/>
    <w:rsid w:val="002E4BCA"/>
    <w:rsid w:val="002E573F"/>
    <w:rsid w:val="002E65B3"/>
    <w:rsid w:val="002E6651"/>
    <w:rsid w:val="002F09A2"/>
    <w:rsid w:val="002F2B31"/>
    <w:rsid w:val="002F3C52"/>
    <w:rsid w:val="002F43D0"/>
    <w:rsid w:val="002F4D21"/>
    <w:rsid w:val="002F6C1B"/>
    <w:rsid w:val="00302A16"/>
    <w:rsid w:val="003032C0"/>
    <w:rsid w:val="003048FD"/>
    <w:rsid w:val="00305D2B"/>
    <w:rsid w:val="00307F18"/>
    <w:rsid w:val="00310342"/>
    <w:rsid w:val="00310B1E"/>
    <w:rsid w:val="0031151D"/>
    <w:rsid w:val="00313761"/>
    <w:rsid w:val="0031531E"/>
    <w:rsid w:val="003161F0"/>
    <w:rsid w:val="00316F3F"/>
    <w:rsid w:val="00321392"/>
    <w:rsid w:val="003220CE"/>
    <w:rsid w:val="00324585"/>
    <w:rsid w:val="00324776"/>
    <w:rsid w:val="00325F7F"/>
    <w:rsid w:val="003269CA"/>
    <w:rsid w:val="00327B55"/>
    <w:rsid w:val="003304BA"/>
    <w:rsid w:val="0033177A"/>
    <w:rsid w:val="0033550A"/>
    <w:rsid w:val="00337BAC"/>
    <w:rsid w:val="00340458"/>
    <w:rsid w:val="00341353"/>
    <w:rsid w:val="00342459"/>
    <w:rsid w:val="0034440A"/>
    <w:rsid w:val="00346B69"/>
    <w:rsid w:val="00347707"/>
    <w:rsid w:val="003500EB"/>
    <w:rsid w:val="003510EC"/>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2737"/>
    <w:rsid w:val="00373181"/>
    <w:rsid w:val="0037603E"/>
    <w:rsid w:val="0037649A"/>
    <w:rsid w:val="00381D50"/>
    <w:rsid w:val="00383BC5"/>
    <w:rsid w:val="0038502F"/>
    <w:rsid w:val="003850E6"/>
    <w:rsid w:val="00386272"/>
    <w:rsid w:val="0039264F"/>
    <w:rsid w:val="00392F17"/>
    <w:rsid w:val="003955C3"/>
    <w:rsid w:val="003A0222"/>
    <w:rsid w:val="003A0412"/>
    <w:rsid w:val="003A15CB"/>
    <w:rsid w:val="003A19B4"/>
    <w:rsid w:val="003A2BC9"/>
    <w:rsid w:val="003A506C"/>
    <w:rsid w:val="003A57A5"/>
    <w:rsid w:val="003A6A47"/>
    <w:rsid w:val="003A6B3A"/>
    <w:rsid w:val="003B02DE"/>
    <w:rsid w:val="003B24D2"/>
    <w:rsid w:val="003B7D7B"/>
    <w:rsid w:val="003C0730"/>
    <w:rsid w:val="003C07E2"/>
    <w:rsid w:val="003C1BB6"/>
    <w:rsid w:val="003C79CF"/>
    <w:rsid w:val="003D1D7C"/>
    <w:rsid w:val="003D5AED"/>
    <w:rsid w:val="003E1788"/>
    <w:rsid w:val="003E2105"/>
    <w:rsid w:val="003E3862"/>
    <w:rsid w:val="003E4802"/>
    <w:rsid w:val="003E5CB5"/>
    <w:rsid w:val="003E6041"/>
    <w:rsid w:val="003E7387"/>
    <w:rsid w:val="003F1E98"/>
    <w:rsid w:val="003F53CE"/>
    <w:rsid w:val="003F5A64"/>
    <w:rsid w:val="003F5C4A"/>
    <w:rsid w:val="004046E3"/>
    <w:rsid w:val="00404A54"/>
    <w:rsid w:val="00405275"/>
    <w:rsid w:val="00410A43"/>
    <w:rsid w:val="00411B47"/>
    <w:rsid w:val="004126D4"/>
    <w:rsid w:val="004156D3"/>
    <w:rsid w:val="0041684B"/>
    <w:rsid w:val="00417450"/>
    <w:rsid w:val="00417F32"/>
    <w:rsid w:val="00421783"/>
    <w:rsid w:val="004218F7"/>
    <w:rsid w:val="00421C5C"/>
    <w:rsid w:val="00423CDF"/>
    <w:rsid w:val="004306D1"/>
    <w:rsid w:val="00432EB8"/>
    <w:rsid w:val="00434351"/>
    <w:rsid w:val="00435CDC"/>
    <w:rsid w:val="0043669F"/>
    <w:rsid w:val="004378BB"/>
    <w:rsid w:val="004379C5"/>
    <w:rsid w:val="00437B4A"/>
    <w:rsid w:val="00440207"/>
    <w:rsid w:val="00440369"/>
    <w:rsid w:val="00440FF3"/>
    <w:rsid w:val="00441477"/>
    <w:rsid w:val="0044414E"/>
    <w:rsid w:val="004462EB"/>
    <w:rsid w:val="0044708D"/>
    <w:rsid w:val="0045092B"/>
    <w:rsid w:val="00451BC5"/>
    <w:rsid w:val="00452A2D"/>
    <w:rsid w:val="004564B0"/>
    <w:rsid w:val="00463B04"/>
    <w:rsid w:val="00463CFB"/>
    <w:rsid w:val="00463FB7"/>
    <w:rsid w:val="00464AC2"/>
    <w:rsid w:val="004651F5"/>
    <w:rsid w:val="00465273"/>
    <w:rsid w:val="00465477"/>
    <w:rsid w:val="0046565D"/>
    <w:rsid w:val="0046593B"/>
    <w:rsid w:val="00466084"/>
    <w:rsid w:val="004666BC"/>
    <w:rsid w:val="0046724C"/>
    <w:rsid w:val="00471435"/>
    <w:rsid w:val="00474B7E"/>
    <w:rsid w:val="00474BC3"/>
    <w:rsid w:val="00475531"/>
    <w:rsid w:val="004756A2"/>
    <w:rsid w:val="004757EC"/>
    <w:rsid w:val="004769EC"/>
    <w:rsid w:val="00476BED"/>
    <w:rsid w:val="00480906"/>
    <w:rsid w:val="0048196B"/>
    <w:rsid w:val="00482281"/>
    <w:rsid w:val="00482A44"/>
    <w:rsid w:val="00484890"/>
    <w:rsid w:val="00485225"/>
    <w:rsid w:val="00486215"/>
    <w:rsid w:val="0048710D"/>
    <w:rsid w:val="004873B1"/>
    <w:rsid w:val="004901AF"/>
    <w:rsid w:val="0049060A"/>
    <w:rsid w:val="00495C43"/>
    <w:rsid w:val="004960E9"/>
    <w:rsid w:val="004971EF"/>
    <w:rsid w:val="004A0C26"/>
    <w:rsid w:val="004A0C9F"/>
    <w:rsid w:val="004A5056"/>
    <w:rsid w:val="004B1A76"/>
    <w:rsid w:val="004B1F09"/>
    <w:rsid w:val="004B2315"/>
    <w:rsid w:val="004B419F"/>
    <w:rsid w:val="004B60A3"/>
    <w:rsid w:val="004B7C51"/>
    <w:rsid w:val="004B7CCF"/>
    <w:rsid w:val="004C12D3"/>
    <w:rsid w:val="004C5AC5"/>
    <w:rsid w:val="004D0196"/>
    <w:rsid w:val="004D01EE"/>
    <w:rsid w:val="004D05F4"/>
    <w:rsid w:val="004D1340"/>
    <w:rsid w:val="004D3775"/>
    <w:rsid w:val="004D397A"/>
    <w:rsid w:val="004D4B45"/>
    <w:rsid w:val="004D53DD"/>
    <w:rsid w:val="004D590C"/>
    <w:rsid w:val="004D6E0B"/>
    <w:rsid w:val="004D7763"/>
    <w:rsid w:val="004D7B4C"/>
    <w:rsid w:val="004E1A2C"/>
    <w:rsid w:val="004E2458"/>
    <w:rsid w:val="004E2D3D"/>
    <w:rsid w:val="004E46DC"/>
    <w:rsid w:val="004E5DB7"/>
    <w:rsid w:val="004E6521"/>
    <w:rsid w:val="004E6F5C"/>
    <w:rsid w:val="004F062C"/>
    <w:rsid w:val="004F27F9"/>
    <w:rsid w:val="004F5065"/>
    <w:rsid w:val="004F608A"/>
    <w:rsid w:val="00501424"/>
    <w:rsid w:val="0050194F"/>
    <w:rsid w:val="00501986"/>
    <w:rsid w:val="005032B3"/>
    <w:rsid w:val="0050434B"/>
    <w:rsid w:val="00505560"/>
    <w:rsid w:val="005056F3"/>
    <w:rsid w:val="005068C8"/>
    <w:rsid w:val="00507024"/>
    <w:rsid w:val="00507BB6"/>
    <w:rsid w:val="0051053C"/>
    <w:rsid w:val="00510B71"/>
    <w:rsid w:val="005117B4"/>
    <w:rsid w:val="00512589"/>
    <w:rsid w:val="00513206"/>
    <w:rsid w:val="00517F76"/>
    <w:rsid w:val="00520899"/>
    <w:rsid w:val="0052137E"/>
    <w:rsid w:val="00521F0B"/>
    <w:rsid w:val="00526E8D"/>
    <w:rsid w:val="00527842"/>
    <w:rsid w:val="00527CB6"/>
    <w:rsid w:val="005304DC"/>
    <w:rsid w:val="00532D66"/>
    <w:rsid w:val="005354E0"/>
    <w:rsid w:val="005362CB"/>
    <w:rsid w:val="005366F7"/>
    <w:rsid w:val="00536CD9"/>
    <w:rsid w:val="00537FC2"/>
    <w:rsid w:val="00543B66"/>
    <w:rsid w:val="00544CDD"/>
    <w:rsid w:val="0054766B"/>
    <w:rsid w:val="005477CF"/>
    <w:rsid w:val="00547D20"/>
    <w:rsid w:val="00550B05"/>
    <w:rsid w:val="00551503"/>
    <w:rsid w:val="005520A2"/>
    <w:rsid w:val="00555667"/>
    <w:rsid w:val="00555A6F"/>
    <w:rsid w:val="00557C1F"/>
    <w:rsid w:val="00557E4B"/>
    <w:rsid w:val="005606AD"/>
    <w:rsid w:val="00560723"/>
    <w:rsid w:val="00561BA8"/>
    <w:rsid w:val="00565600"/>
    <w:rsid w:val="0056662C"/>
    <w:rsid w:val="00566722"/>
    <w:rsid w:val="00566D9F"/>
    <w:rsid w:val="00574892"/>
    <w:rsid w:val="00574C82"/>
    <w:rsid w:val="00580C5C"/>
    <w:rsid w:val="00580CA5"/>
    <w:rsid w:val="00583D0A"/>
    <w:rsid w:val="00584D45"/>
    <w:rsid w:val="00585D1F"/>
    <w:rsid w:val="00585D7A"/>
    <w:rsid w:val="00593B6A"/>
    <w:rsid w:val="005972A7"/>
    <w:rsid w:val="005A2A2E"/>
    <w:rsid w:val="005A3A37"/>
    <w:rsid w:val="005A4505"/>
    <w:rsid w:val="005A5872"/>
    <w:rsid w:val="005A6A9D"/>
    <w:rsid w:val="005B21A5"/>
    <w:rsid w:val="005B2DD9"/>
    <w:rsid w:val="005B4BD6"/>
    <w:rsid w:val="005B6F10"/>
    <w:rsid w:val="005C3626"/>
    <w:rsid w:val="005C52C2"/>
    <w:rsid w:val="005C6E84"/>
    <w:rsid w:val="005D1CC0"/>
    <w:rsid w:val="005D2B84"/>
    <w:rsid w:val="005D5079"/>
    <w:rsid w:val="005D521D"/>
    <w:rsid w:val="005D7A10"/>
    <w:rsid w:val="005D7BB1"/>
    <w:rsid w:val="005E0762"/>
    <w:rsid w:val="005E1118"/>
    <w:rsid w:val="005E2FF0"/>
    <w:rsid w:val="005E3FE3"/>
    <w:rsid w:val="005E4A46"/>
    <w:rsid w:val="005E73CA"/>
    <w:rsid w:val="005F1AA6"/>
    <w:rsid w:val="005F3316"/>
    <w:rsid w:val="005F58B2"/>
    <w:rsid w:val="005F7E2E"/>
    <w:rsid w:val="00602F14"/>
    <w:rsid w:val="00607C6B"/>
    <w:rsid w:val="00610313"/>
    <w:rsid w:val="00613AA1"/>
    <w:rsid w:val="006156FA"/>
    <w:rsid w:val="00616FC6"/>
    <w:rsid w:val="00621D3F"/>
    <w:rsid w:val="00624323"/>
    <w:rsid w:val="006248E3"/>
    <w:rsid w:val="00625E85"/>
    <w:rsid w:val="00626075"/>
    <w:rsid w:val="006266C4"/>
    <w:rsid w:val="006266FF"/>
    <w:rsid w:val="00630A76"/>
    <w:rsid w:val="00630C0D"/>
    <w:rsid w:val="00632484"/>
    <w:rsid w:val="0063311C"/>
    <w:rsid w:val="0063338E"/>
    <w:rsid w:val="00634280"/>
    <w:rsid w:val="00637D35"/>
    <w:rsid w:val="00641ABD"/>
    <w:rsid w:val="00641B6E"/>
    <w:rsid w:val="00641ECF"/>
    <w:rsid w:val="0064316C"/>
    <w:rsid w:val="006450E9"/>
    <w:rsid w:val="00646D48"/>
    <w:rsid w:val="00646E63"/>
    <w:rsid w:val="00647B81"/>
    <w:rsid w:val="00647EC9"/>
    <w:rsid w:val="00651045"/>
    <w:rsid w:val="00652CF9"/>
    <w:rsid w:val="0065367C"/>
    <w:rsid w:val="006553A0"/>
    <w:rsid w:val="006566B4"/>
    <w:rsid w:val="00660B9C"/>
    <w:rsid w:val="00660FA2"/>
    <w:rsid w:val="00664B03"/>
    <w:rsid w:val="00666692"/>
    <w:rsid w:val="00673557"/>
    <w:rsid w:val="006762E6"/>
    <w:rsid w:val="0068081C"/>
    <w:rsid w:val="00680B96"/>
    <w:rsid w:val="006829A5"/>
    <w:rsid w:val="00683559"/>
    <w:rsid w:val="006842A0"/>
    <w:rsid w:val="006862DF"/>
    <w:rsid w:val="00686632"/>
    <w:rsid w:val="00686B25"/>
    <w:rsid w:val="006870C0"/>
    <w:rsid w:val="00687D9A"/>
    <w:rsid w:val="006901FF"/>
    <w:rsid w:val="006902DC"/>
    <w:rsid w:val="00690B60"/>
    <w:rsid w:val="006A01E4"/>
    <w:rsid w:val="006A5EFD"/>
    <w:rsid w:val="006A6F9E"/>
    <w:rsid w:val="006A760C"/>
    <w:rsid w:val="006B0756"/>
    <w:rsid w:val="006B09AB"/>
    <w:rsid w:val="006B1899"/>
    <w:rsid w:val="006B5B55"/>
    <w:rsid w:val="006B5BF2"/>
    <w:rsid w:val="006C0E9C"/>
    <w:rsid w:val="006C0FEC"/>
    <w:rsid w:val="006C24DE"/>
    <w:rsid w:val="006C29B0"/>
    <w:rsid w:val="006C2DB4"/>
    <w:rsid w:val="006C5293"/>
    <w:rsid w:val="006C56D4"/>
    <w:rsid w:val="006D0BCA"/>
    <w:rsid w:val="006D1811"/>
    <w:rsid w:val="006D22F3"/>
    <w:rsid w:val="006D2699"/>
    <w:rsid w:val="006D7C25"/>
    <w:rsid w:val="006E1C0D"/>
    <w:rsid w:val="006E2CC9"/>
    <w:rsid w:val="006E39C9"/>
    <w:rsid w:val="006E3B25"/>
    <w:rsid w:val="006E59A3"/>
    <w:rsid w:val="006E5EE7"/>
    <w:rsid w:val="006E64AD"/>
    <w:rsid w:val="006E6E1C"/>
    <w:rsid w:val="006E7F9B"/>
    <w:rsid w:val="006F0875"/>
    <w:rsid w:val="006F1850"/>
    <w:rsid w:val="006F2A8C"/>
    <w:rsid w:val="006F4ECD"/>
    <w:rsid w:val="006F7930"/>
    <w:rsid w:val="00700A3A"/>
    <w:rsid w:val="00700E5B"/>
    <w:rsid w:val="00701205"/>
    <w:rsid w:val="00701BA1"/>
    <w:rsid w:val="007036DB"/>
    <w:rsid w:val="0070643D"/>
    <w:rsid w:val="007112A7"/>
    <w:rsid w:val="007119F9"/>
    <w:rsid w:val="007122B8"/>
    <w:rsid w:val="00713717"/>
    <w:rsid w:val="007146C7"/>
    <w:rsid w:val="00714B73"/>
    <w:rsid w:val="0071532C"/>
    <w:rsid w:val="00716349"/>
    <w:rsid w:val="00717564"/>
    <w:rsid w:val="007209F1"/>
    <w:rsid w:val="00720A99"/>
    <w:rsid w:val="00722201"/>
    <w:rsid w:val="00722932"/>
    <w:rsid w:val="007239BF"/>
    <w:rsid w:val="00724DC6"/>
    <w:rsid w:val="0072658D"/>
    <w:rsid w:val="00726758"/>
    <w:rsid w:val="007271D7"/>
    <w:rsid w:val="007274B3"/>
    <w:rsid w:val="00734198"/>
    <w:rsid w:val="0073441A"/>
    <w:rsid w:val="00741B41"/>
    <w:rsid w:val="00741BB5"/>
    <w:rsid w:val="00744534"/>
    <w:rsid w:val="00744C14"/>
    <w:rsid w:val="00744E3D"/>
    <w:rsid w:val="00745BC7"/>
    <w:rsid w:val="0074717F"/>
    <w:rsid w:val="00747775"/>
    <w:rsid w:val="00750489"/>
    <w:rsid w:val="007547EF"/>
    <w:rsid w:val="00756D9A"/>
    <w:rsid w:val="00756E24"/>
    <w:rsid w:val="00763ACD"/>
    <w:rsid w:val="007647D1"/>
    <w:rsid w:val="00764F07"/>
    <w:rsid w:val="0076517E"/>
    <w:rsid w:val="00765833"/>
    <w:rsid w:val="00770193"/>
    <w:rsid w:val="00770B8C"/>
    <w:rsid w:val="00772487"/>
    <w:rsid w:val="00774658"/>
    <w:rsid w:val="007753AE"/>
    <w:rsid w:val="00776C64"/>
    <w:rsid w:val="00776E18"/>
    <w:rsid w:val="0077700F"/>
    <w:rsid w:val="00781A58"/>
    <w:rsid w:val="00783C77"/>
    <w:rsid w:val="00784916"/>
    <w:rsid w:val="007850CE"/>
    <w:rsid w:val="007868A4"/>
    <w:rsid w:val="00786CBF"/>
    <w:rsid w:val="00787877"/>
    <w:rsid w:val="0079105F"/>
    <w:rsid w:val="00791720"/>
    <w:rsid w:val="00791946"/>
    <w:rsid w:val="00794AB4"/>
    <w:rsid w:val="007A0072"/>
    <w:rsid w:val="007A1668"/>
    <w:rsid w:val="007A1C0A"/>
    <w:rsid w:val="007A26FD"/>
    <w:rsid w:val="007A3DD0"/>
    <w:rsid w:val="007A65AF"/>
    <w:rsid w:val="007A7401"/>
    <w:rsid w:val="007A76BA"/>
    <w:rsid w:val="007B1574"/>
    <w:rsid w:val="007B42DC"/>
    <w:rsid w:val="007C0BB8"/>
    <w:rsid w:val="007C5F59"/>
    <w:rsid w:val="007C67C7"/>
    <w:rsid w:val="007C6E61"/>
    <w:rsid w:val="007C7228"/>
    <w:rsid w:val="007D0665"/>
    <w:rsid w:val="007D107E"/>
    <w:rsid w:val="007E1843"/>
    <w:rsid w:val="007E2BB8"/>
    <w:rsid w:val="007E4BC7"/>
    <w:rsid w:val="007E69E6"/>
    <w:rsid w:val="007E6F5B"/>
    <w:rsid w:val="007E7155"/>
    <w:rsid w:val="007F41AF"/>
    <w:rsid w:val="007F599A"/>
    <w:rsid w:val="007F6233"/>
    <w:rsid w:val="007F7999"/>
    <w:rsid w:val="007F7A98"/>
    <w:rsid w:val="00804176"/>
    <w:rsid w:val="0080594B"/>
    <w:rsid w:val="008068ED"/>
    <w:rsid w:val="0081364D"/>
    <w:rsid w:val="00816CD1"/>
    <w:rsid w:val="0081749D"/>
    <w:rsid w:val="00821CF9"/>
    <w:rsid w:val="00822EE0"/>
    <w:rsid w:val="0083020D"/>
    <w:rsid w:val="00830B2E"/>
    <w:rsid w:val="00831ED0"/>
    <w:rsid w:val="0083330B"/>
    <w:rsid w:val="00836706"/>
    <w:rsid w:val="00841436"/>
    <w:rsid w:val="00841FDB"/>
    <w:rsid w:val="008422B2"/>
    <w:rsid w:val="0084450D"/>
    <w:rsid w:val="008449C4"/>
    <w:rsid w:val="00847628"/>
    <w:rsid w:val="00847C09"/>
    <w:rsid w:val="008512A2"/>
    <w:rsid w:val="00852D39"/>
    <w:rsid w:val="0085477F"/>
    <w:rsid w:val="00854A00"/>
    <w:rsid w:val="00857A79"/>
    <w:rsid w:val="00861315"/>
    <w:rsid w:val="008626F4"/>
    <w:rsid w:val="00863464"/>
    <w:rsid w:val="00863B48"/>
    <w:rsid w:val="00864338"/>
    <w:rsid w:val="00865307"/>
    <w:rsid w:val="00872A1F"/>
    <w:rsid w:val="00873418"/>
    <w:rsid w:val="0087366D"/>
    <w:rsid w:val="00873677"/>
    <w:rsid w:val="00874397"/>
    <w:rsid w:val="008749E3"/>
    <w:rsid w:val="00874F22"/>
    <w:rsid w:val="00876697"/>
    <w:rsid w:val="00877097"/>
    <w:rsid w:val="0087759B"/>
    <w:rsid w:val="0088290A"/>
    <w:rsid w:val="00882E97"/>
    <w:rsid w:val="008838A0"/>
    <w:rsid w:val="00886005"/>
    <w:rsid w:val="0088623C"/>
    <w:rsid w:val="00886E73"/>
    <w:rsid w:val="00887A05"/>
    <w:rsid w:val="00887F2B"/>
    <w:rsid w:val="008907E4"/>
    <w:rsid w:val="008912F1"/>
    <w:rsid w:val="008914DA"/>
    <w:rsid w:val="008921FB"/>
    <w:rsid w:val="008928E5"/>
    <w:rsid w:val="00894B8F"/>
    <w:rsid w:val="008A0C6B"/>
    <w:rsid w:val="008A18FC"/>
    <w:rsid w:val="008A4035"/>
    <w:rsid w:val="008A44BA"/>
    <w:rsid w:val="008A51DB"/>
    <w:rsid w:val="008A69C8"/>
    <w:rsid w:val="008A7352"/>
    <w:rsid w:val="008A7A29"/>
    <w:rsid w:val="008B5829"/>
    <w:rsid w:val="008C03A9"/>
    <w:rsid w:val="008C0547"/>
    <w:rsid w:val="008C1827"/>
    <w:rsid w:val="008C201F"/>
    <w:rsid w:val="008C26D1"/>
    <w:rsid w:val="008C36C6"/>
    <w:rsid w:val="008C5754"/>
    <w:rsid w:val="008C73E0"/>
    <w:rsid w:val="008C79BA"/>
    <w:rsid w:val="008D0E17"/>
    <w:rsid w:val="008D109D"/>
    <w:rsid w:val="008D2A00"/>
    <w:rsid w:val="008D44C2"/>
    <w:rsid w:val="008D4BFA"/>
    <w:rsid w:val="008D533C"/>
    <w:rsid w:val="008D76C3"/>
    <w:rsid w:val="008D7A69"/>
    <w:rsid w:val="008D7DDD"/>
    <w:rsid w:val="008E53ED"/>
    <w:rsid w:val="008E548F"/>
    <w:rsid w:val="008E5AB8"/>
    <w:rsid w:val="008E72DD"/>
    <w:rsid w:val="008F39B3"/>
    <w:rsid w:val="008F4E3D"/>
    <w:rsid w:val="008F518B"/>
    <w:rsid w:val="008F51FC"/>
    <w:rsid w:val="008F5545"/>
    <w:rsid w:val="008F5D90"/>
    <w:rsid w:val="008F6D95"/>
    <w:rsid w:val="009007F6"/>
    <w:rsid w:val="00901D0F"/>
    <w:rsid w:val="00902CE9"/>
    <w:rsid w:val="0090303E"/>
    <w:rsid w:val="009065D1"/>
    <w:rsid w:val="00907A9A"/>
    <w:rsid w:val="009118C4"/>
    <w:rsid w:val="00913DC3"/>
    <w:rsid w:val="00917029"/>
    <w:rsid w:val="009208C1"/>
    <w:rsid w:val="009236C5"/>
    <w:rsid w:val="009309CE"/>
    <w:rsid w:val="00931E8F"/>
    <w:rsid w:val="00932BD9"/>
    <w:rsid w:val="0093470A"/>
    <w:rsid w:val="0093625E"/>
    <w:rsid w:val="009376BF"/>
    <w:rsid w:val="00940EEF"/>
    <w:rsid w:val="009438D9"/>
    <w:rsid w:val="00943C90"/>
    <w:rsid w:val="00944E9C"/>
    <w:rsid w:val="00945552"/>
    <w:rsid w:val="00946819"/>
    <w:rsid w:val="0094777A"/>
    <w:rsid w:val="009506C5"/>
    <w:rsid w:val="00951EDA"/>
    <w:rsid w:val="00952BD6"/>
    <w:rsid w:val="009532B6"/>
    <w:rsid w:val="009555DF"/>
    <w:rsid w:val="00962EB5"/>
    <w:rsid w:val="00964972"/>
    <w:rsid w:val="0097209B"/>
    <w:rsid w:val="009755D6"/>
    <w:rsid w:val="009757AA"/>
    <w:rsid w:val="00975C40"/>
    <w:rsid w:val="00976BE2"/>
    <w:rsid w:val="00980979"/>
    <w:rsid w:val="00980998"/>
    <w:rsid w:val="00983A84"/>
    <w:rsid w:val="00983F62"/>
    <w:rsid w:val="00986B66"/>
    <w:rsid w:val="009870C8"/>
    <w:rsid w:val="0099019E"/>
    <w:rsid w:val="009910E9"/>
    <w:rsid w:val="009919F0"/>
    <w:rsid w:val="00993DBD"/>
    <w:rsid w:val="00993EFD"/>
    <w:rsid w:val="00994B5C"/>
    <w:rsid w:val="0099786D"/>
    <w:rsid w:val="009A4B24"/>
    <w:rsid w:val="009A4F63"/>
    <w:rsid w:val="009A5417"/>
    <w:rsid w:val="009A7AC4"/>
    <w:rsid w:val="009B0F65"/>
    <w:rsid w:val="009B2624"/>
    <w:rsid w:val="009B48EF"/>
    <w:rsid w:val="009B6B19"/>
    <w:rsid w:val="009B7E76"/>
    <w:rsid w:val="009C23CD"/>
    <w:rsid w:val="009C394D"/>
    <w:rsid w:val="009C44E7"/>
    <w:rsid w:val="009C4ADA"/>
    <w:rsid w:val="009C51F4"/>
    <w:rsid w:val="009C52E5"/>
    <w:rsid w:val="009C6244"/>
    <w:rsid w:val="009C6864"/>
    <w:rsid w:val="009D06AC"/>
    <w:rsid w:val="009D0B94"/>
    <w:rsid w:val="009D1B56"/>
    <w:rsid w:val="009D288F"/>
    <w:rsid w:val="009D2BF8"/>
    <w:rsid w:val="009D309B"/>
    <w:rsid w:val="009E0FFE"/>
    <w:rsid w:val="009E254D"/>
    <w:rsid w:val="009E2B3A"/>
    <w:rsid w:val="009E40F2"/>
    <w:rsid w:val="009E7755"/>
    <w:rsid w:val="009F0B8F"/>
    <w:rsid w:val="009F1BCD"/>
    <w:rsid w:val="009F375E"/>
    <w:rsid w:val="009F4C85"/>
    <w:rsid w:val="009F5CA2"/>
    <w:rsid w:val="009F7607"/>
    <w:rsid w:val="00A00EF2"/>
    <w:rsid w:val="00A044E5"/>
    <w:rsid w:val="00A06209"/>
    <w:rsid w:val="00A1494F"/>
    <w:rsid w:val="00A157DF"/>
    <w:rsid w:val="00A20329"/>
    <w:rsid w:val="00A21313"/>
    <w:rsid w:val="00A22C84"/>
    <w:rsid w:val="00A23A4E"/>
    <w:rsid w:val="00A308BC"/>
    <w:rsid w:val="00A32FF2"/>
    <w:rsid w:val="00A33533"/>
    <w:rsid w:val="00A34764"/>
    <w:rsid w:val="00A35615"/>
    <w:rsid w:val="00A37241"/>
    <w:rsid w:val="00A40CC1"/>
    <w:rsid w:val="00A41C22"/>
    <w:rsid w:val="00A5023E"/>
    <w:rsid w:val="00A51393"/>
    <w:rsid w:val="00A51AD8"/>
    <w:rsid w:val="00A51DD0"/>
    <w:rsid w:val="00A535AF"/>
    <w:rsid w:val="00A53BB0"/>
    <w:rsid w:val="00A54E56"/>
    <w:rsid w:val="00A5527F"/>
    <w:rsid w:val="00A553AA"/>
    <w:rsid w:val="00A56B6C"/>
    <w:rsid w:val="00A60138"/>
    <w:rsid w:val="00A612C5"/>
    <w:rsid w:val="00A62FF1"/>
    <w:rsid w:val="00A651E7"/>
    <w:rsid w:val="00A66A2B"/>
    <w:rsid w:val="00A66C53"/>
    <w:rsid w:val="00A72FFA"/>
    <w:rsid w:val="00A74411"/>
    <w:rsid w:val="00A80511"/>
    <w:rsid w:val="00A82851"/>
    <w:rsid w:val="00A833F8"/>
    <w:rsid w:val="00A86FC0"/>
    <w:rsid w:val="00A90DE9"/>
    <w:rsid w:val="00A91F5D"/>
    <w:rsid w:val="00A937C4"/>
    <w:rsid w:val="00A960C5"/>
    <w:rsid w:val="00A96F17"/>
    <w:rsid w:val="00AA19A1"/>
    <w:rsid w:val="00AA23EB"/>
    <w:rsid w:val="00AA2AFF"/>
    <w:rsid w:val="00AA4737"/>
    <w:rsid w:val="00AA6498"/>
    <w:rsid w:val="00AA6686"/>
    <w:rsid w:val="00AA79E4"/>
    <w:rsid w:val="00AB37DB"/>
    <w:rsid w:val="00AB4EC7"/>
    <w:rsid w:val="00AB77A3"/>
    <w:rsid w:val="00AC0D21"/>
    <w:rsid w:val="00AC1372"/>
    <w:rsid w:val="00AC23A1"/>
    <w:rsid w:val="00AC4138"/>
    <w:rsid w:val="00AC524E"/>
    <w:rsid w:val="00AC7FC2"/>
    <w:rsid w:val="00AD0578"/>
    <w:rsid w:val="00AD12A0"/>
    <w:rsid w:val="00AD12A2"/>
    <w:rsid w:val="00AD3AA4"/>
    <w:rsid w:val="00AD493D"/>
    <w:rsid w:val="00AD7A54"/>
    <w:rsid w:val="00AE2CB2"/>
    <w:rsid w:val="00AE3808"/>
    <w:rsid w:val="00AE76D4"/>
    <w:rsid w:val="00AF1143"/>
    <w:rsid w:val="00AF2A80"/>
    <w:rsid w:val="00AF5D4B"/>
    <w:rsid w:val="00B039E0"/>
    <w:rsid w:val="00B0476A"/>
    <w:rsid w:val="00B13B88"/>
    <w:rsid w:val="00B21D9B"/>
    <w:rsid w:val="00B23E4C"/>
    <w:rsid w:val="00B25C0A"/>
    <w:rsid w:val="00B32C2E"/>
    <w:rsid w:val="00B33DFA"/>
    <w:rsid w:val="00B35118"/>
    <w:rsid w:val="00B35ACE"/>
    <w:rsid w:val="00B36513"/>
    <w:rsid w:val="00B36AE0"/>
    <w:rsid w:val="00B37724"/>
    <w:rsid w:val="00B4078A"/>
    <w:rsid w:val="00B408B2"/>
    <w:rsid w:val="00B40BC7"/>
    <w:rsid w:val="00B40CD0"/>
    <w:rsid w:val="00B4168C"/>
    <w:rsid w:val="00B42433"/>
    <w:rsid w:val="00B46571"/>
    <w:rsid w:val="00B476DC"/>
    <w:rsid w:val="00B47FC0"/>
    <w:rsid w:val="00B51344"/>
    <w:rsid w:val="00B52D9F"/>
    <w:rsid w:val="00B535B2"/>
    <w:rsid w:val="00B53F30"/>
    <w:rsid w:val="00B5500B"/>
    <w:rsid w:val="00B560F3"/>
    <w:rsid w:val="00B5786B"/>
    <w:rsid w:val="00B57875"/>
    <w:rsid w:val="00B60D71"/>
    <w:rsid w:val="00B63565"/>
    <w:rsid w:val="00B636D1"/>
    <w:rsid w:val="00B6397D"/>
    <w:rsid w:val="00B66892"/>
    <w:rsid w:val="00B66D85"/>
    <w:rsid w:val="00B705DC"/>
    <w:rsid w:val="00B707EA"/>
    <w:rsid w:val="00B7101A"/>
    <w:rsid w:val="00B71C61"/>
    <w:rsid w:val="00B73568"/>
    <w:rsid w:val="00B75F07"/>
    <w:rsid w:val="00B76C99"/>
    <w:rsid w:val="00B76F91"/>
    <w:rsid w:val="00B77B05"/>
    <w:rsid w:val="00B8187F"/>
    <w:rsid w:val="00B84920"/>
    <w:rsid w:val="00B851A9"/>
    <w:rsid w:val="00B85863"/>
    <w:rsid w:val="00B86A18"/>
    <w:rsid w:val="00B86FD7"/>
    <w:rsid w:val="00B912CF"/>
    <w:rsid w:val="00B93C91"/>
    <w:rsid w:val="00B94A0F"/>
    <w:rsid w:val="00B94DF0"/>
    <w:rsid w:val="00BA1ABD"/>
    <w:rsid w:val="00BA274B"/>
    <w:rsid w:val="00BA4317"/>
    <w:rsid w:val="00BA50C5"/>
    <w:rsid w:val="00BB2657"/>
    <w:rsid w:val="00BB2F75"/>
    <w:rsid w:val="00BB306F"/>
    <w:rsid w:val="00BC1A03"/>
    <w:rsid w:val="00BC261A"/>
    <w:rsid w:val="00BC2F4A"/>
    <w:rsid w:val="00BC5289"/>
    <w:rsid w:val="00BD009E"/>
    <w:rsid w:val="00BD18F0"/>
    <w:rsid w:val="00BD19A1"/>
    <w:rsid w:val="00BD1C25"/>
    <w:rsid w:val="00BD2B8C"/>
    <w:rsid w:val="00BD44AC"/>
    <w:rsid w:val="00BD6BBD"/>
    <w:rsid w:val="00BE1377"/>
    <w:rsid w:val="00BE1E90"/>
    <w:rsid w:val="00BE32FD"/>
    <w:rsid w:val="00BE39B3"/>
    <w:rsid w:val="00BE5D60"/>
    <w:rsid w:val="00BE6536"/>
    <w:rsid w:val="00BE73A6"/>
    <w:rsid w:val="00BF0783"/>
    <w:rsid w:val="00BF0BA8"/>
    <w:rsid w:val="00BF15DE"/>
    <w:rsid w:val="00BF3EC0"/>
    <w:rsid w:val="00BF3FAC"/>
    <w:rsid w:val="00C01096"/>
    <w:rsid w:val="00C03774"/>
    <w:rsid w:val="00C06583"/>
    <w:rsid w:val="00C0681A"/>
    <w:rsid w:val="00C06903"/>
    <w:rsid w:val="00C06C10"/>
    <w:rsid w:val="00C1228C"/>
    <w:rsid w:val="00C12597"/>
    <w:rsid w:val="00C17DA2"/>
    <w:rsid w:val="00C20B4D"/>
    <w:rsid w:val="00C20C02"/>
    <w:rsid w:val="00C20F79"/>
    <w:rsid w:val="00C21E7B"/>
    <w:rsid w:val="00C222B1"/>
    <w:rsid w:val="00C23F31"/>
    <w:rsid w:val="00C2571C"/>
    <w:rsid w:val="00C27426"/>
    <w:rsid w:val="00C31245"/>
    <w:rsid w:val="00C338D1"/>
    <w:rsid w:val="00C34B8D"/>
    <w:rsid w:val="00C40838"/>
    <w:rsid w:val="00C42963"/>
    <w:rsid w:val="00C43C35"/>
    <w:rsid w:val="00C504E4"/>
    <w:rsid w:val="00C51725"/>
    <w:rsid w:val="00C54657"/>
    <w:rsid w:val="00C54F38"/>
    <w:rsid w:val="00C5560F"/>
    <w:rsid w:val="00C567AC"/>
    <w:rsid w:val="00C56C2A"/>
    <w:rsid w:val="00C56D70"/>
    <w:rsid w:val="00C60B96"/>
    <w:rsid w:val="00C64ECA"/>
    <w:rsid w:val="00C67629"/>
    <w:rsid w:val="00C71496"/>
    <w:rsid w:val="00C71C7A"/>
    <w:rsid w:val="00C72493"/>
    <w:rsid w:val="00C73097"/>
    <w:rsid w:val="00C7344A"/>
    <w:rsid w:val="00C7559A"/>
    <w:rsid w:val="00C83033"/>
    <w:rsid w:val="00C85CEA"/>
    <w:rsid w:val="00C92DBC"/>
    <w:rsid w:val="00C965BE"/>
    <w:rsid w:val="00C96B00"/>
    <w:rsid w:val="00CA0E01"/>
    <w:rsid w:val="00CA1481"/>
    <w:rsid w:val="00CA23E6"/>
    <w:rsid w:val="00CA4464"/>
    <w:rsid w:val="00CA49D2"/>
    <w:rsid w:val="00CA4F7D"/>
    <w:rsid w:val="00CA7D57"/>
    <w:rsid w:val="00CB017A"/>
    <w:rsid w:val="00CB08BE"/>
    <w:rsid w:val="00CB0A9F"/>
    <w:rsid w:val="00CB0DD3"/>
    <w:rsid w:val="00CB42CE"/>
    <w:rsid w:val="00CB4669"/>
    <w:rsid w:val="00CB5446"/>
    <w:rsid w:val="00CB641B"/>
    <w:rsid w:val="00CB6926"/>
    <w:rsid w:val="00CB7A9B"/>
    <w:rsid w:val="00CC07B8"/>
    <w:rsid w:val="00CC07D7"/>
    <w:rsid w:val="00CC2230"/>
    <w:rsid w:val="00CC69F0"/>
    <w:rsid w:val="00CC726D"/>
    <w:rsid w:val="00CC7FD7"/>
    <w:rsid w:val="00CD0CCF"/>
    <w:rsid w:val="00CD12ED"/>
    <w:rsid w:val="00CD2531"/>
    <w:rsid w:val="00CD3277"/>
    <w:rsid w:val="00CD4F3F"/>
    <w:rsid w:val="00CD56BE"/>
    <w:rsid w:val="00CD6911"/>
    <w:rsid w:val="00CD6D94"/>
    <w:rsid w:val="00CE0470"/>
    <w:rsid w:val="00CE1548"/>
    <w:rsid w:val="00CE22A1"/>
    <w:rsid w:val="00CE2DC7"/>
    <w:rsid w:val="00CE5142"/>
    <w:rsid w:val="00CE7574"/>
    <w:rsid w:val="00CE7A04"/>
    <w:rsid w:val="00CF19DB"/>
    <w:rsid w:val="00CF7F64"/>
    <w:rsid w:val="00D017CA"/>
    <w:rsid w:val="00D01D15"/>
    <w:rsid w:val="00D02774"/>
    <w:rsid w:val="00D02C73"/>
    <w:rsid w:val="00D062FB"/>
    <w:rsid w:val="00D0733B"/>
    <w:rsid w:val="00D07ED0"/>
    <w:rsid w:val="00D07F40"/>
    <w:rsid w:val="00D141E8"/>
    <w:rsid w:val="00D1572E"/>
    <w:rsid w:val="00D1711D"/>
    <w:rsid w:val="00D21427"/>
    <w:rsid w:val="00D2355F"/>
    <w:rsid w:val="00D23FC4"/>
    <w:rsid w:val="00D25527"/>
    <w:rsid w:val="00D32ABB"/>
    <w:rsid w:val="00D32B23"/>
    <w:rsid w:val="00D40B01"/>
    <w:rsid w:val="00D454D2"/>
    <w:rsid w:val="00D45D3D"/>
    <w:rsid w:val="00D50BB5"/>
    <w:rsid w:val="00D50EE3"/>
    <w:rsid w:val="00D51005"/>
    <w:rsid w:val="00D53E7C"/>
    <w:rsid w:val="00D54836"/>
    <w:rsid w:val="00D57E77"/>
    <w:rsid w:val="00D60180"/>
    <w:rsid w:val="00D6133D"/>
    <w:rsid w:val="00D644B7"/>
    <w:rsid w:val="00D64F4D"/>
    <w:rsid w:val="00D71731"/>
    <w:rsid w:val="00D74BA2"/>
    <w:rsid w:val="00D74F0E"/>
    <w:rsid w:val="00D77035"/>
    <w:rsid w:val="00D80DB6"/>
    <w:rsid w:val="00D82F55"/>
    <w:rsid w:val="00D83C5A"/>
    <w:rsid w:val="00D84FE0"/>
    <w:rsid w:val="00D86D1E"/>
    <w:rsid w:val="00D87180"/>
    <w:rsid w:val="00D87353"/>
    <w:rsid w:val="00D87B2A"/>
    <w:rsid w:val="00D94655"/>
    <w:rsid w:val="00D95821"/>
    <w:rsid w:val="00D970EE"/>
    <w:rsid w:val="00D97DDE"/>
    <w:rsid w:val="00DA3462"/>
    <w:rsid w:val="00DA4005"/>
    <w:rsid w:val="00DB2667"/>
    <w:rsid w:val="00DB2943"/>
    <w:rsid w:val="00DB2AEE"/>
    <w:rsid w:val="00DB347C"/>
    <w:rsid w:val="00DB4970"/>
    <w:rsid w:val="00DB74A6"/>
    <w:rsid w:val="00DBAE16"/>
    <w:rsid w:val="00DC0FC1"/>
    <w:rsid w:val="00DC14D7"/>
    <w:rsid w:val="00DC1804"/>
    <w:rsid w:val="00DC31FE"/>
    <w:rsid w:val="00DC4A56"/>
    <w:rsid w:val="00DC539F"/>
    <w:rsid w:val="00DC540F"/>
    <w:rsid w:val="00DD0423"/>
    <w:rsid w:val="00DD0D28"/>
    <w:rsid w:val="00DD0FB2"/>
    <w:rsid w:val="00DD28A7"/>
    <w:rsid w:val="00DD2B25"/>
    <w:rsid w:val="00DD3784"/>
    <w:rsid w:val="00DD41CF"/>
    <w:rsid w:val="00DD4452"/>
    <w:rsid w:val="00DE11F9"/>
    <w:rsid w:val="00DE32CB"/>
    <w:rsid w:val="00DE618A"/>
    <w:rsid w:val="00DE64CA"/>
    <w:rsid w:val="00DF14C3"/>
    <w:rsid w:val="00DF296F"/>
    <w:rsid w:val="00DF5D14"/>
    <w:rsid w:val="00DF6D15"/>
    <w:rsid w:val="00E00A68"/>
    <w:rsid w:val="00E01BE6"/>
    <w:rsid w:val="00E031E3"/>
    <w:rsid w:val="00E100C1"/>
    <w:rsid w:val="00E11178"/>
    <w:rsid w:val="00E150C9"/>
    <w:rsid w:val="00E16830"/>
    <w:rsid w:val="00E16B10"/>
    <w:rsid w:val="00E22377"/>
    <w:rsid w:val="00E234C7"/>
    <w:rsid w:val="00E27771"/>
    <w:rsid w:val="00E279ED"/>
    <w:rsid w:val="00E27B50"/>
    <w:rsid w:val="00E30288"/>
    <w:rsid w:val="00E34E9B"/>
    <w:rsid w:val="00E40046"/>
    <w:rsid w:val="00E4012F"/>
    <w:rsid w:val="00E40D32"/>
    <w:rsid w:val="00E41E93"/>
    <w:rsid w:val="00E43E50"/>
    <w:rsid w:val="00E45425"/>
    <w:rsid w:val="00E504FA"/>
    <w:rsid w:val="00E53ED2"/>
    <w:rsid w:val="00E54478"/>
    <w:rsid w:val="00E5629A"/>
    <w:rsid w:val="00E56360"/>
    <w:rsid w:val="00E56FEA"/>
    <w:rsid w:val="00E574A2"/>
    <w:rsid w:val="00E60BD8"/>
    <w:rsid w:val="00E61DBA"/>
    <w:rsid w:val="00E63DE6"/>
    <w:rsid w:val="00E641F8"/>
    <w:rsid w:val="00E64A9B"/>
    <w:rsid w:val="00E668BF"/>
    <w:rsid w:val="00E7049E"/>
    <w:rsid w:val="00E70874"/>
    <w:rsid w:val="00E71DD6"/>
    <w:rsid w:val="00E72CC9"/>
    <w:rsid w:val="00E756FC"/>
    <w:rsid w:val="00E80035"/>
    <w:rsid w:val="00E808FA"/>
    <w:rsid w:val="00E810C3"/>
    <w:rsid w:val="00E82315"/>
    <w:rsid w:val="00E85631"/>
    <w:rsid w:val="00E87522"/>
    <w:rsid w:val="00E90EB6"/>
    <w:rsid w:val="00E93549"/>
    <w:rsid w:val="00E937F2"/>
    <w:rsid w:val="00E941EC"/>
    <w:rsid w:val="00E9438B"/>
    <w:rsid w:val="00E95632"/>
    <w:rsid w:val="00EA04FB"/>
    <w:rsid w:val="00EA1DB2"/>
    <w:rsid w:val="00EA3BB8"/>
    <w:rsid w:val="00EA3EBC"/>
    <w:rsid w:val="00EA4D24"/>
    <w:rsid w:val="00EA6DE7"/>
    <w:rsid w:val="00EB1CEC"/>
    <w:rsid w:val="00EB286B"/>
    <w:rsid w:val="00EB5B8E"/>
    <w:rsid w:val="00EB61FE"/>
    <w:rsid w:val="00EC2D8F"/>
    <w:rsid w:val="00EC3FAD"/>
    <w:rsid w:val="00EC51AB"/>
    <w:rsid w:val="00ED0C9E"/>
    <w:rsid w:val="00ED1C1F"/>
    <w:rsid w:val="00ED2A49"/>
    <w:rsid w:val="00ED44C4"/>
    <w:rsid w:val="00ED4C5B"/>
    <w:rsid w:val="00ED61D7"/>
    <w:rsid w:val="00EE2F72"/>
    <w:rsid w:val="00EE431D"/>
    <w:rsid w:val="00EE4361"/>
    <w:rsid w:val="00EE4455"/>
    <w:rsid w:val="00EE534E"/>
    <w:rsid w:val="00EE5F09"/>
    <w:rsid w:val="00EF0FF3"/>
    <w:rsid w:val="00EF64B5"/>
    <w:rsid w:val="00EF7EE4"/>
    <w:rsid w:val="00F01056"/>
    <w:rsid w:val="00F03C68"/>
    <w:rsid w:val="00F0794F"/>
    <w:rsid w:val="00F114F4"/>
    <w:rsid w:val="00F14746"/>
    <w:rsid w:val="00F16630"/>
    <w:rsid w:val="00F1674E"/>
    <w:rsid w:val="00F170FF"/>
    <w:rsid w:val="00F21943"/>
    <w:rsid w:val="00F21C35"/>
    <w:rsid w:val="00F21FF8"/>
    <w:rsid w:val="00F22B9D"/>
    <w:rsid w:val="00F22F40"/>
    <w:rsid w:val="00F26281"/>
    <w:rsid w:val="00F26DEA"/>
    <w:rsid w:val="00F274BB"/>
    <w:rsid w:val="00F30264"/>
    <w:rsid w:val="00F3101F"/>
    <w:rsid w:val="00F32EAF"/>
    <w:rsid w:val="00F3391D"/>
    <w:rsid w:val="00F33C32"/>
    <w:rsid w:val="00F35049"/>
    <w:rsid w:val="00F36A31"/>
    <w:rsid w:val="00F4069F"/>
    <w:rsid w:val="00F43E03"/>
    <w:rsid w:val="00F449DB"/>
    <w:rsid w:val="00F44B03"/>
    <w:rsid w:val="00F44C11"/>
    <w:rsid w:val="00F451FD"/>
    <w:rsid w:val="00F45900"/>
    <w:rsid w:val="00F5400A"/>
    <w:rsid w:val="00F6151F"/>
    <w:rsid w:val="00F61A6A"/>
    <w:rsid w:val="00F65977"/>
    <w:rsid w:val="00F65FBB"/>
    <w:rsid w:val="00F66346"/>
    <w:rsid w:val="00F71877"/>
    <w:rsid w:val="00F7223F"/>
    <w:rsid w:val="00F73C40"/>
    <w:rsid w:val="00F750D7"/>
    <w:rsid w:val="00F757A4"/>
    <w:rsid w:val="00F7774D"/>
    <w:rsid w:val="00F81073"/>
    <w:rsid w:val="00F81E9C"/>
    <w:rsid w:val="00F833B1"/>
    <w:rsid w:val="00F84B40"/>
    <w:rsid w:val="00F85EA2"/>
    <w:rsid w:val="00F866C3"/>
    <w:rsid w:val="00F91FF0"/>
    <w:rsid w:val="00F94202"/>
    <w:rsid w:val="00F9470C"/>
    <w:rsid w:val="00F97EE3"/>
    <w:rsid w:val="00FA24C8"/>
    <w:rsid w:val="00FA3F1A"/>
    <w:rsid w:val="00FA3F64"/>
    <w:rsid w:val="00FA649D"/>
    <w:rsid w:val="00FB4C84"/>
    <w:rsid w:val="00FB5737"/>
    <w:rsid w:val="00FB5DA9"/>
    <w:rsid w:val="00FB68BA"/>
    <w:rsid w:val="00FC04F5"/>
    <w:rsid w:val="00FC1C6C"/>
    <w:rsid w:val="00FC1F5E"/>
    <w:rsid w:val="00FC3CCC"/>
    <w:rsid w:val="00FC5980"/>
    <w:rsid w:val="00FC692F"/>
    <w:rsid w:val="00FC745D"/>
    <w:rsid w:val="00FD0370"/>
    <w:rsid w:val="00FD3722"/>
    <w:rsid w:val="00FD4377"/>
    <w:rsid w:val="00FE141C"/>
    <w:rsid w:val="00FE1C87"/>
    <w:rsid w:val="00FE2A7A"/>
    <w:rsid w:val="00FE3CF0"/>
    <w:rsid w:val="00FE51D3"/>
    <w:rsid w:val="00FE7249"/>
    <w:rsid w:val="00FF12F1"/>
    <w:rsid w:val="00FF2EC9"/>
    <w:rsid w:val="00FF574E"/>
    <w:rsid w:val="00FF6196"/>
    <w:rsid w:val="018F2C7C"/>
    <w:rsid w:val="03AA5366"/>
    <w:rsid w:val="06AA95AC"/>
    <w:rsid w:val="083BC2A9"/>
    <w:rsid w:val="08862C90"/>
    <w:rsid w:val="0A68BCD7"/>
    <w:rsid w:val="0C053BF8"/>
    <w:rsid w:val="0E847063"/>
    <w:rsid w:val="0EF8B580"/>
    <w:rsid w:val="0F2511E5"/>
    <w:rsid w:val="0F30B655"/>
    <w:rsid w:val="10C78A19"/>
    <w:rsid w:val="11482078"/>
    <w:rsid w:val="11F2049D"/>
    <w:rsid w:val="11F8D1F8"/>
    <w:rsid w:val="13ABCC2D"/>
    <w:rsid w:val="13B4C578"/>
    <w:rsid w:val="1657A6E4"/>
    <w:rsid w:val="177612BA"/>
    <w:rsid w:val="1ADD3561"/>
    <w:rsid w:val="1AEF8786"/>
    <w:rsid w:val="1B003A64"/>
    <w:rsid w:val="1EDED836"/>
    <w:rsid w:val="2022CF09"/>
    <w:rsid w:val="20FE5C14"/>
    <w:rsid w:val="21266565"/>
    <w:rsid w:val="21BF9F6E"/>
    <w:rsid w:val="223909F7"/>
    <w:rsid w:val="24B610B6"/>
    <w:rsid w:val="2543E090"/>
    <w:rsid w:val="25F7D34D"/>
    <w:rsid w:val="2787C01C"/>
    <w:rsid w:val="2AEB0F2D"/>
    <w:rsid w:val="2B16B5AE"/>
    <w:rsid w:val="2CD38E61"/>
    <w:rsid w:val="2CE65BB5"/>
    <w:rsid w:val="2CF1BB6A"/>
    <w:rsid w:val="30D4462E"/>
    <w:rsid w:val="3194CFAE"/>
    <w:rsid w:val="33423D1D"/>
    <w:rsid w:val="33764D40"/>
    <w:rsid w:val="33E3D813"/>
    <w:rsid w:val="34A11309"/>
    <w:rsid w:val="35350AE1"/>
    <w:rsid w:val="35793BCF"/>
    <w:rsid w:val="36025CB4"/>
    <w:rsid w:val="383610B4"/>
    <w:rsid w:val="38EA5D45"/>
    <w:rsid w:val="39D43A98"/>
    <w:rsid w:val="40455841"/>
    <w:rsid w:val="4307D578"/>
    <w:rsid w:val="4611766F"/>
    <w:rsid w:val="474695F0"/>
    <w:rsid w:val="47BB2A35"/>
    <w:rsid w:val="4CDC50C2"/>
    <w:rsid w:val="509B521D"/>
    <w:rsid w:val="56A89708"/>
    <w:rsid w:val="5A61B064"/>
    <w:rsid w:val="5B4137B9"/>
    <w:rsid w:val="5C2E801C"/>
    <w:rsid w:val="5DC5B595"/>
    <w:rsid w:val="60540B31"/>
    <w:rsid w:val="6CCC45C6"/>
    <w:rsid w:val="6EA00B8A"/>
    <w:rsid w:val="6F2B5800"/>
    <w:rsid w:val="6F8048FF"/>
    <w:rsid w:val="728DBCC9"/>
    <w:rsid w:val="7457EB84"/>
    <w:rsid w:val="745A0F75"/>
    <w:rsid w:val="74B60CF0"/>
    <w:rsid w:val="773DEA55"/>
    <w:rsid w:val="781D3B24"/>
    <w:rsid w:val="7C02FFD6"/>
    <w:rsid w:val="7C7462DF"/>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CCC58F0E-7E59-4EE3-9EC0-2A28D3B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6" ma:contentTypeDescription="Create a new document." ma:contentTypeScope="" ma:versionID="8493e36979c8d1a3dc8015ee30497ae5">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c163afe33c16f813a1edcc604d3fdb4c"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15258-2538-4ED6-ACAF-B207967AAD35}">
  <ds:schemaRefs>
    <ds:schemaRef ds:uri="http://purl.org/dc/dcmitype/"/>
    <ds:schemaRef ds:uri="http://schemas.microsoft.com/office/2006/documentManagement/types"/>
    <ds:schemaRef ds:uri="http://purl.org/dc/elements/1.1/"/>
    <ds:schemaRef ds:uri="d038c460-8993-48e5-a417-2855b92a8d83"/>
    <ds:schemaRef ds:uri="http://schemas.microsoft.com/office/2006/metadata/properties"/>
    <ds:schemaRef ds:uri="http://schemas.openxmlformats.org/package/2006/metadata/core-properties"/>
    <ds:schemaRef ds:uri="http://schemas.microsoft.com/office/infopath/2007/PartnerControls"/>
    <ds:schemaRef ds:uri="9b6f8ae3-53cc-4ab8-9fad-329029d15659"/>
    <ds:schemaRef ds:uri="http://www.w3.org/XML/1998/namespace"/>
    <ds:schemaRef ds:uri="http://purl.org/dc/terms/"/>
  </ds:schemaRefs>
</ds:datastoreItem>
</file>

<file path=customXml/itemProps2.xml><?xml version="1.0" encoding="utf-8"?>
<ds:datastoreItem xmlns:ds="http://schemas.openxmlformats.org/officeDocument/2006/customXml" ds:itemID="{8A6C2BC6-0B75-4E7E-9862-7328DB0C1912}">
  <ds:schemaRefs>
    <ds:schemaRef ds:uri="http://schemas.microsoft.com/sharepoint/v3/contenttype/forms"/>
  </ds:schemaRefs>
</ds:datastoreItem>
</file>

<file path=customXml/itemProps3.xml><?xml version="1.0" encoding="utf-8"?>
<ds:datastoreItem xmlns:ds="http://schemas.openxmlformats.org/officeDocument/2006/customXml" ds:itemID="{9C1543FD-B42D-4A2E-9ABF-FEA5FD98C5E3}">
  <ds:schemaRefs>
    <ds:schemaRef ds:uri="http://schemas.microsoft.com/office/2006/metadata/contentType"/>
    <ds:schemaRef ds:uri="http://schemas.microsoft.com/office/2006/metadata/properties/metaAttributes"/>
    <ds:schemaRef ds:uri="http://www.w3.org/2000/xmlns/"/>
    <ds:schemaRef ds:uri="http://www.w3.org/2001/XMLSchema"/>
    <ds:schemaRef ds:uri="d038c460-8993-48e5-a417-2855b92a8d83"/>
    <ds:schemaRef ds:uri="9b6f8ae3-53cc-4ab8-9fad-329029d1565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2</cp:revision>
  <dcterms:created xsi:type="dcterms:W3CDTF">2025-09-08T11:04:00Z</dcterms:created>
  <dcterms:modified xsi:type="dcterms:W3CDTF">2025-09-08T11:04:00Z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