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E02C9">
      <w:pPr>
        <w:spacing w:before="156" w:beforeLines="50" w:after="156" w:afterLines="50" w:line="400" w:lineRule="exact"/>
        <w:rPr>
          <w:rFonts w:hint="eastAsia" w:ascii="仿宋" w:hAnsi="仿宋" w:eastAsia="仿宋" w:cs="仿宋"/>
          <w:bCs/>
          <w:iCs/>
          <w:color w:val="000000"/>
          <w:sz w:val="24"/>
          <w:lang w:eastAsia="zh-CN"/>
        </w:rPr>
      </w:pPr>
      <w:r>
        <w:rPr>
          <w:rFonts w:hint="eastAsia" w:ascii="仿宋" w:hAnsi="仿宋" w:eastAsia="仿宋" w:cs="仿宋"/>
          <w:bCs/>
          <w:iCs/>
          <w:color w:val="000000"/>
          <w:sz w:val="24"/>
        </w:rPr>
        <w:t xml:space="preserve">证券代码： </w:t>
      </w:r>
      <w:r>
        <w:rPr>
          <w:rFonts w:hint="eastAsia" w:ascii="仿宋" w:hAnsi="仿宋" w:eastAsia="仿宋" w:cs="仿宋"/>
          <w:color w:val="000000"/>
          <w:sz w:val="24"/>
        </w:rPr>
        <w:t xml:space="preserve">600073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w:t>
      </w:r>
      <w:r>
        <w:rPr>
          <w:rFonts w:hint="eastAsia" w:ascii="仿宋" w:hAnsi="仿宋" w:eastAsia="仿宋" w:cs="仿宋"/>
          <w:bCs/>
          <w:iCs/>
          <w:color w:val="000000"/>
          <w:sz w:val="24"/>
        </w:rPr>
        <w:t>证券简称：</w:t>
      </w:r>
      <w:r>
        <w:rPr>
          <w:rFonts w:hint="eastAsia" w:ascii="仿宋" w:hAnsi="仿宋" w:eastAsia="仿宋" w:cs="仿宋"/>
          <w:color w:val="000000"/>
          <w:sz w:val="24"/>
          <w:lang w:val="en-US" w:eastAsia="zh-CN"/>
        </w:rPr>
        <w:t>光明肉业</w:t>
      </w:r>
    </w:p>
    <w:p w14:paraId="6B2D46AE">
      <w:pPr>
        <w:spacing w:before="156" w:beforeLines="50" w:after="156" w:afterLines="50" w:line="400" w:lineRule="exact"/>
        <w:jc w:val="center"/>
        <w:rPr>
          <w:rFonts w:hint="default" w:ascii="宋体" w:hAnsi="宋体"/>
          <w:b/>
          <w:bCs/>
          <w:iCs/>
          <w:color w:val="000000"/>
          <w:sz w:val="32"/>
          <w:szCs w:val="32"/>
        </w:rPr>
      </w:pPr>
    </w:p>
    <w:p w14:paraId="7C0E5BE9">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上海</w:t>
      </w:r>
      <w:r>
        <w:rPr>
          <w:rFonts w:hint="eastAsia" w:ascii="宋体" w:hAnsi="宋体"/>
          <w:b/>
          <w:bCs/>
          <w:iCs/>
          <w:color w:val="000000"/>
          <w:sz w:val="32"/>
          <w:szCs w:val="32"/>
          <w:lang w:val="en-US" w:eastAsia="zh-CN"/>
        </w:rPr>
        <w:t>光明肉业集团</w:t>
      </w:r>
      <w:r>
        <w:rPr>
          <w:rFonts w:hint="default" w:ascii="宋体" w:hAnsi="宋体"/>
          <w:b/>
          <w:bCs/>
          <w:iCs/>
          <w:color w:val="000000"/>
          <w:sz w:val="32"/>
          <w:szCs w:val="32"/>
        </w:rPr>
        <w:t>股份有限公司</w:t>
      </w:r>
    </w:p>
    <w:p w14:paraId="746EFF9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0CEE5F7E">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6185"/>
      </w:tblGrid>
      <w:tr w14:paraId="34B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56A285F5">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投资者关系活动类别</w:t>
            </w:r>
          </w:p>
          <w:p w14:paraId="2CC1DD81">
            <w:pPr>
              <w:spacing w:line="420" w:lineRule="exact"/>
              <w:rPr>
                <w:rFonts w:hint="eastAsia" w:ascii="仿宋" w:hAnsi="仿宋" w:eastAsia="仿宋" w:cs="仿宋"/>
                <w:bCs/>
                <w:iCs/>
                <w:color w:val="000000"/>
                <w:sz w:val="28"/>
                <w:szCs w:val="28"/>
              </w:rPr>
            </w:pPr>
          </w:p>
        </w:tc>
        <w:tc>
          <w:tcPr>
            <w:tcW w:w="6185" w:type="dxa"/>
            <w:tcBorders>
              <w:top w:val="single" w:color="auto" w:sz="4" w:space="0"/>
              <w:left w:val="single" w:color="auto" w:sz="4" w:space="0"/>
              <w:bottom w:val="single" w:color="auto" w:sz="4" w:space="0"/>
              <w:right w:val="single" w:color="auto" w:sz="4" w:space="0"/>
            </w:tcBorders>
            <w:noWrap w:val="0"/>
            <w:vAlign w:val="top"/>
          </w:tcPr>
          <w:p w14:paraId="16D2F92D">
            <w:pPr>
              <w:spacing w:line="420" w:lineRule="exact"/>
              <w:jc w:val="left"/>
              <w:rPr>
                <w:rFonts w:hint="eastAsia" w:ascii="仿宋" w:hAnsi="仿宋" w:eastAsia="仿宋" w:cs="仿宋"/>
                <w:bCs/>
                <w:iCs/>
                <w:color w:val="000000"/>
                <w:sz w:val="28"/>
                <w:szCs w:val="28"/>
              </w:rPr>
            </w:pP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lang w:val="en-US" w:eastAsia="zh-CN"/>
              </w:rPr>
              <w:t xml:space="preserve"> </w:t>
            </w:r>
            <w:r>
              <w:rPr>
                <w:rFonts w:hint="eastAsia" w:ascii="仿宋" w:hAnsi="仿宋" w:eastAsia="仿宋" w:cs="仿宋"/>
                <w:kern w:val="0"/>
                <w:sz w:val="28"/>
                <w:szCs w:val="28"/>
              </w:rPr>
              <w:t xml:space="preserve">特定对象调研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分析师会议</w:t>
            </w:r>
          </w:p>
          <w:p w14:paraId="29D4912B">
            <w:pPr>
              <w:spacing w:line="420" w:lineRule="exact"/>
              <w:jc w:val="lef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 xml:space="preserve">媒体采访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业绩说明会</w:t>
            </w:r>
          </w:p>
          <w:p w14:paraId="385AE4EC">
            <w:pPr>
              <w:spacing w:line="420" w:lineRule="exact"/>
              <w:jc w:val="lef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 xml:space="preserve">新闻发布会          </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路演活动</w:t>
            </w:r>
          </w:p>
          <w:p w14:paraId="16E44261">
            <w:pPr>
              <w:tabs>
                <w:tab w:val="left" w:pos="3045"/>
                <w:tab w:val="center" w:pos="3199"/>
              </w:tabs>
              <w:spacing w:line="420" w:lineRule="exact"/>
              <w:jc w:val="left"/>
              <w:rPr>
                <w:rFonts w:hint="eastAsia" w:ascii="仿宋" w:hAnsi="仿宋" w:eastAsia="仿宋" w:cs="仿宋"/>
                <w:bCs/>
                <w:iCs/>
                <w:color w:val="000000"/>
                <w:kern w:val="0"/>
                <w:sz w:val="28"/>
                <w:szCs w:val="28"/>
                <w:lang w:eastAsia="zh-CN"/>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现场参观</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bCs/>
                <w:iCs/>
                <w:color w:val="000000"/>
                <w:kern w:val="0"/>
                <w:sz w:val="28"/>
                <w:szCs w:val="28"/>
                <w:lang w:eastAsia="zh-CN"/>
              </w:rPr>
              <w:t>□</w:t>
            </w: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lang w:val="en-US" w:eastAsia="zh-CN"/>
              </w:rPr>
              <w:t>电话会议</w:t>
            </w:r>
          </w:p>
          <w:p w14:paraId="5509451E">
            <w:pPr>
              <w:tabs>
                <w:tab w:val="center" w:pos="3199"/>
              </w:tabs>
              <w:spacing w:line="420" w:lineRule="exact"/>
              <w:jc w:val="left"/>
              <w:rPr>
                <w:rFonts w:hint="eastAsia" w:ascii="仿宋" w:hAnsi="仿宋" w:eastAsia="仿宋" w:cs="仿宋"/>
                <w:bCs/>
                <w:iCs/>
                <w:color w:val="000000"/>
                <w:sz w:val="28"/>
                <w:szCs w:val="28"/>
              </w:rPr>
            </w:pPr>
            <w:r>
              <w:rPr>
                <w:rFonts w:hint="eastAsia" w:ascii="仿宋" w:hAnsi="仿宋" w:eastAsia="仿宋" w:cs="仿宋"/>
                <w:bCs/>
                <w:iCs/>
                <w:color w:val="000000"/>
                <w:kern w:val="0"/>
                <w:sz w:val="28"/>
                <w:szCs w:val="28"/>
              </w:rPr>
              <w:t xml:space="preserve">□ </w:t>
            </w:r>
            <w:r>
              <w:rPr>
                <w:rFonts w:hint="eastAsia" w:ascii="仿宋" w:hAnsi="仿宋" w:eastAsia="仿宋" w:cs="仿宋"/>
                <w:kern w:val="0"/>
                <w:sz w:val="28"/>
                <w:szCs w:val="28"/>
              </w:rPr>
              <w:t>其他</w:t>
            </w:r>
          </w:p>
        </w:tc>
      </w:tr>
      <w:tr w14:paraId="39D2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4D62B711">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参与单位名称及人员姓名</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2E548112">
            <w:pPr>
              <w:spacing w:line="420" w:lineRule="exact"/>
              <w:rPr>
                <w:rFonts w:hint="default" w:ascii="仿宋" w:hAnsi="仿宋" w:eastAsia="仿宋" w:cs="仿宋"/>
                <w:bCs/>
                <w:iCs/>
                <w:color w:val="000000"/>
                <w:sz w:val="28"/>
                <w:szCs w:val="28"/>
                <w:lang w:val="en-US" w:eastAsia="zh-CN"/>
              </w:rPr>
            </w:pPr>
            <w:r>
              <w:rPr>
                <w:rFonts w:hint="default" w:ascii="仿宋" w:hAnsi="仿宋" w:eastAsia="仿宋" w:cs="仿宋"/>
                <w:bCs/>
                <w:iCs/>
                <w:color w:val="000000"/>
                <w:sz w:val="28"/>
                <w:szCs w:val="28"/>
                <w:lang w:val="en-US" w:eastAsia="zh-CN"/>
              </w:rPr>
              <w:t>通过线上方式参与公司202</w:t>
            </w:r>
            <w:r>
              <w:rPr>
                <w:rFonts w:hint="eastAsia" w:ascii="仿宋" w:hAnsi="仿宋" w:eastAsia="仿宋" w:cs="仿宋"/>
                <w:bCs/>
                <w:iCs/>
                <w:color w:val="000000"/>
                <w:sz w:val="28"/>
                <w:szCs w:val="28"/>
                <w:lang w:val="en-US" w:eastAsia="zh-CN"/>
              </w:rPr>
              <w:t>5年半年度</w:t>
            </w:r>
            <w:r>
              <w:rPr>
                <w:rFonts w:hint="default" w:ascii="仿宋" w:hAnsi="仿宋" w:eastAsia="仿宋" w:cs="仿宋"/>
                <w:bCs/>
                <w:iCs/>
                <w:color w:val="000000"/>
                <w:sz w:val="28"/>
                <w:szCs w:val="28"/>
                <w:lang w:val="en-US" w:eastAsia="zh-CN"/>
              </w:rPr>
              <w:t>业绩说明会的投资者</w:t>
            </w:r>
          </w:p>
        </w:tc>
      </w:tr>
      <w:tr w14:paraId="7748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65E07742">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时间</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3216620C">
            <w:pPr>
              <w:spacing w:line="420" w:lineRule="exact"/>
              <w:rPr>
                <w:rFonts w:hint="eastAsia" w:ascii="仿宋" w:hAnsi="仿宋" w:eastAsia="仿宋" w:cs="仿宋"/>
                <w:bCs/>
                <w:iCs/>
                <w:color w:val="000000"/>
                <w:sz w:val="28"/>
                <w:szCs w:val="28"/>
              </w:rPr>
            </w:pPr>
            <w:r>
              <w:rPr>
                <w:rFonts w:hint="eastAsia" w:ascii="仿宋" w:hAnsi="仿宋" w:eastAsia="仿宋" w:cs="仿宋"/>
                <w:bCs/>
                <w:iCs/>
                <w:color w:val="000000"/>
                <w:sz w:val="28"/>
                <w:szCs w:val="28"/>
              </w:rPr>
              <w:t>202</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年</w:t>
            </w:r>
            <w:r>
              <w:rPr>
                <w:rFonts w:hint="eastAsia" w:ascii="仿宋" w:hAnsi="仿宋" w:eastAsia="仿宋" w:cs="仿宋"/>
                <w:bCs/>
                <w:iCs/>
                <w:color w:val="000000"/>
                <w:sz w:val="28"/>
                <w:szCs w:val="28"/>
                <w:lang w:val="en-US" w:eastAsia="zh-CN"/>
              </w:rPr>
              <w:t>9</w:t>
            </w:r>
            <w:r>
              <w:rPr>
                <w:rFonts w:hint="eastAsia" w:ascii="仿宋" w:hAnsi="仿宋" w:eastAsia="仿宋" w:cs="仿宋"/>
                <w:bCs/>
                <w:iCs/>
                <w:color w:val="000000"/>
                <w:sz w:val="28"/>
                <w:szCs w:val="28"/>
              </w:rPr>
              <w:t>月</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日 (周</w:t>
            </w:r>
            <w:r>
              <w:rPr>
                <w:rFonts w:hint="eastAsia" w:ascii="仿宋" w:hAnsi="仿宋" w:eastAsia="仿宋" w:cs="仿宋"/>
                <w:bCs/>
                <w:iCs/>
                <w:color w:val="000000"/>
                <w:sz w:val="28"/>
                <w:szCs w:val="28"/>
                <w:lang w:val="en-US" w:eastAsia="zh-CN"/>
              </w:rPr>
              <w:t>五</w:t>
            </w:r>
            <w:r>
              <w:rPr>
                <w:rFonts w:hint="eastAsia" w:ascii="仿宋" w:hAnsi="仿宋" w:eastAsia="仿宋" w:cs="仿宋"/>
                <w:bCs/>
                <w:iCs/>
                <w:color w:val="000000"/>
                <w:sz w:val="28"/>
                <w:szCs w:val="28"/>
              </w:rPr>
              <w:t>) 下午 1</w:t>
            </w:r>
            <w:r>
              <w:rPr>
                <w:rFonts w:hint="eastAsia" w:ascii="仿宋" w:hAnsi="仿宋" w:eastAsia="仿宋" w:cs="仿宋"/>
                <w:bCs/>
                <w:iCs/>
                <w:color w:val="000000"/>
                <w:sz w:val="28"/>
                <w:szCs w:val="28"/>
                <w:lang w:val="en-US" w:eastAsia="zh-CN"/>
              </w:rPr>
              <w:t>5</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0</w:t>
            </w:r>
            <w:r>
              <w:rPr>
                <w:rFonts w:hint="eastAsia" w:ascii="仿宋" w:hAnsi="仿宋" w:eastAsia="仿宋" w:cs="仿宋"/>
                <w:bCs/>
                <w:iCs/>
                <w:color w:val="000000"/>
                <w:sz w:val="28"/>
                <w:szCs w:val="28"/>
              </w:rPr>
              <w:t>0~1</w:t>
            </w:r>
            <w:r>
              <w:rPr>
                <w:rFonts w:hint="eastAsia" w:ascii="仿宋" w:hAnsi="仿宋" w:eastAsia="仿宋" w:cs="仿宋"/>
                <w:bCs/>
                <w:iCs/>
                <w:color w:val="000000"/>
                <w:sz w:val="28"/>
                <w:szCs w:val="28"/>
                <w:lang w:val="en-US" w:eastAsia="zh-CN"/>
              </w:rPr>
              <w:t>6</w:t>
            </w:r>
            <w:r>
              <w:rPr>
                <w:rFonts w:hint="eastAsia" w:ascii="仿宋" w:hAnsi="仿宋" w:eastAsia="仿宋" w:cs="仿宋"/>
                <w:bCs/>
                <w:iCs/>
                <w:color w:val="000000"/>
                <w:sz w:val="28"/>
                <w:szCs w:val="28"/>
              </w:rPr>
              <w:t>:</w:t>
            </w:r>
            <w:r>
              <w:rPr>
                <w:rFonts w:hint="eastAsia" w:ascii="仿宋" w:hAnsi="仿宋" w:eastAsia="仿宋" w:cs="仿宋"/>
                <w:bCs/>
                <w:iCs/>
                <w:color w:val="000000"/>
                <w:sz w:val="28"/>
                <w:szCs w:val="28"/>
                <w:lang w:val="en-US" w:eastAsia="zh-CN"/>
              </w:rPr>
              <w:t>3</w:t>
            </w:r>
            <w:r>
              <w:rPr>
                <w:rFonts w:hint="eastAsia" w:ascii="仿宋" w:hAnsi="仿宋" w:eastAsia="仿宋" w:cs="仿宋"/>
                <w:bCs/>
                <w:iCs/>
                <w:color w:val="000000"/>
                <w:sz w:val="28"/>
                <w:szCs w:val="28"/>
              </w:rPr>
              <w:t>0</w:t>
            </w:r>
          </w:p>
        </w:tc>
      </w:tr>
      <w:tr w14:paraId="2ED4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1302DE54">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地点</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58230198">
            <w:pPr>
              <w:spacing w:line="420" w:lineRule="exact"/>
              <w:rPr>
                <w:rFonts w:hint="default" w:ascii="仿宋" w:hAnsi="仿宋" w:eastAsia="仿宋" w:cs="仿宋"/>
                <w:bCs/>
                <w:iCs/>
                <w:color w:val="000000"/>
                <w:sz w:val="28"/>
                <w:szCs w:val="28"/>
                <w:lang w:val="en-US" w:eastAsia="zh-CN"/>
              </w:rPr>
            </w:pPr>
            <w:r>
              <w:rPr>
                <w:rFonts w:hint="eastAsia" w:ascii="仿宋" w:hAnsi="仿宋" w:eastAsia="仿宋" w:cs="仿宋"/>
                <w:sz w:val="28"/>
                <w:szCs w:val="28"/>
                <w:lang w:val="en-US" w:eastAsia="zh-CN"/>
              </w:rPr>
              <w:t>公司通过全景网“投资者关系互动平台”(http://ir.p5w.net)采用网络远程的方式召开业绩说明会</w:t>
            </w:r>
          </w:p>
        </w:tc>
      </w:tr>
      <w:tr w14:paraId="4119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top"/>
          </w:tcPr>
          <w:p w14:paraId="7FE063F9">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上市公司接待人员姓名</w:t>
            </w:r>
          </w:p>
        </w:tc>
        <w:tc>
          <w:tcPr>
            <w:tcW w:w="6185" w:type="dxa"/>
            <w:tcBorders>
              <w:top w:val="single" w:color="auto" w:sz="4" w:space="0"/>
              <w:left w:val="single" w:color="auto" w:sz="4" w:space="0"/>
              <w:bottom w:val="single" w:color="auto" w:sz="4" w:space="0"/>
              <w:right w:val="single" w:color="auto" w:sz="4" w:space="0"/>
            </w:tcBorders>
            <w:noWrap w:val="0"/>
            <w:vAlign w:val="center"/>
          </w:tcPr>
          <w:p w14:paraId="389FA4B2">
            <w:pPr>
              <w:spacing w:line="420" w:lineRule="exac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董事长、总裁 李俊龙；独立董事 黄继章；副总裁、董事会秘书 何茹；财务总监 郑炜峰。</w:t>
            </w:r>
          </w:p>
        </w:tc>
      </w:tr>
      <w:tr w14:paraId="2D22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2DF19971">
            <w:pPr>
              <w:spacing w:line="420" w:lineRule="exact"/>
              <w:rPr>
                <w:rFonts w:hint="eastAsia" w:ascii="仿宋" w:hAnsi="仿宋" w:eastAsia="仿宋" w:cs="仿宋"/>
                <w:bCs/>
                <w:iCs/>
                <w:color w:val="000000"/>
                <w:kern w:val="0"/>
                <w:sz w:val="28"/>
                <w:szCs w:val="28"/>
              </w:rPr>
            </w:pPr>
            <w:r>
              <w:rPr>
                <w:rFonts w:hint="eastAsia" w:ascii="仿宋" w:hAnsi="仿宋" w:eastAsia="仿宋" w:cs="仿宋"/>
                <w:bCs/>
                <w:iCs/>
                <w:color w:val="000000"/>
                <w:kern w:val="0"/>
                <w:sz w:val="28"/>
                <w:szCs w:val="28"/>
              </w:rPr>
              <w:t>投资者关系活动主要内容介绍</w:t>
            </w:r>
          </w:p>
          <w:p w14:paraId="4ABEA779">
            <w:pPr>
              <w:spacing w:line="420" w:lineRule="exact"/>
              <w:rPr>
                <w:rFonts w:hint="eastAsia" w:ascii="仿宋" w:hAnsi="仿宋" w:eastAsia="仿宋" w:cs="仿宋"/>
                <w:bCs/>
                <w:iCs/>
                <w:color w:val="000000"/>
                <w:sz w:val="28"/>
                <w:szCs w:val="28"/>
              </w:rPr>
            </w:pPr>
          </w:p>
        </w:tc>
        <w:tc>
          <w:tcPr>
            <w:tcW w:w="6185" w:type="dxa"/>
            <w:tcBorders>
              <w:top w:val="single" w:color="auto" w:sz="4" w:space="0"/>
              <w:left w:val="single" w:color="auto" w:sz="4" w:space="0"/>
              <w:bottom w:val="single" w:color="auto" w:sz="4" w:space="0"/>
              <w:right w:val="single" w:color="auto" w:sz="4" w:space="0"/>
            </w:tcBorders>
            <w:noWrap w:val="0"/>
            <w:vAlign w:val="top"/>
          </w:tcPr>
          <w:p w14:paraId="6B486323">
            <w:pPr>
              <w:spacing w:line="460" w:lineRule="exact"/>
              <w:rPr>
                <w:rFonts w:hint="eastAsia" w:ascii="仿宋" w:hAnsi="仿宋" w:eastAsia="仿宋" w:cs="仿宋"/>
                <w:sz w:val="28"/>
                <w:szCs w:val="28"/>
              </w:rPr>
            </w:pPr>
            <w:r>
              <w:rPr>
                <w:rFonts w:hint="eastAsia" w:ascii="仿宋" w:hAnsi="仿宋" w:eastAsia="仿宋" w:cs="仿宋"/>
                <w:sz w:val="28"/>
                <w:szCs w:val="28"/>
                <w:lang w:val="en-US" w:eastAsia="zh-CN"/>
              </w:rPr>
              <w:t>以下是</w:t>
            </w:r>
            <w:r>
              <w:rPr>
                <w:rFonts w:hint="eastAsia" w:ascii="仿宋" w:hAnsi="仿宋" w:eastAsia="仿宋" w:cs="仿宋"/>
                <w:sz w:val="28"/>
                <w:szCs w:val="28"/>
              </w:rPr>
              <w:t>投资者在本次</w:t>
            </w:r>
            <w:r>
              <w:rPr>
                <w:rFonts w:hint="eastAsia" w:ascii="仿宋" w:hAnsi="仿宋" w:eastAsia="仿宋" w:cs="仿宋"/>
                <w:sz w:val="28"/>
                <w:szCs w:val="28"/>
                <w:lang w:val="en-US" w:eastAsia="zh-CN"/>
              </w:rPr>
              <w:t>会议</w:t>
            </w:r>
            <w:r>
              <w:rPr>
                <w:rFonts w:hint="eastAsia" w:ascii="仿宋" w:hAnsi="仿宋" w:eastAsia="仿宋" w:cs="仿宋"/>
                <w:sz w:val="28"/>
                <w:szCs w:val="28"/>
              </w:rPr>
              <w:t>中提出的</w:t>
            </w:r>
            <w:r>
              <w:rPr>
                <w:rFonts w:hint="eastAsia" w:ascii="仿宋" w:hAnsi="仿宋" w:eastAsia="仿宋" w:cs="仿宋"/>
                <w:sz w:val="28"/>
                <w:szCs w:val="28"/>
                <w:lang w:val="en-US" w:eastAsia="zh-CN"/>
              </w:rPr>
              <w:t>主要</w:t>
            </w:r>
            <w:r>
              <w:rPr>
                <w:rFonts w:hint="eastAsia" w:ascii="仿宋" w:hAnsi="仿宋" w:eastAsia="仿宋" w:cs="仿宋"/>
                <w:sz w:val="28"/>
                <w:szCs w:val="28"/>
              </w:rPr>
              <w:t>问题</w:t>
            </w:r>
            <w:r>
              <w:rPr>
                <w:rFonts w:hint="eastAsia" w:ascii="仿宋" w:hAnsi="仿宋" w:eastAsia="仿宋" w:cs="仿宋"/>
                <w:sz w:val="28"/>
                <w:szCs w:val="28"/>
                <w:lang w:val="en-US" w:eastAsia="zh-CN"/>
              </w:rPr>
              <w:t>及公司</w:t>
            </w:r>
            <w:r>
              <w:rPr>
                <w:rFonts w:hint="eastAsia" w:ascii="仿宋" w:hAnsi="仿宋" w:eastAsia="仿宋" w:cs="仿宋"/>
                <w:sz w:val="28"/>
                <w:szCs w:val="28"/>
              </w:rPr>
              <w:t>回复：</w:t>
            </w:r>
          </w:p>
          <w:p w14:paraId="13FD127A">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w:t>
            </w:r>
            <w:r>
              <w:rPr>
                <w:rFonts w:hint="default" w:ascii="仿宋" w:hAnsi="仿宋" w:eastAsia="仿宋" w:cs="仿宋"/>
                <w:b/>
                <w:bCs w:val="0"/>
                <w:kern w:val="2"/>
                <w:sz w:val="28"/>
                <w:szCs w:val="28"/>
                <w:lang w:val="en-US" w:eastAsia="zh-CN" w:bidi="ar-SA"/>
              </w:rPr>
              <w:t>、</w:t>
            </w:r>
            <w:r>
              <w:rPr>
                <w:rFonts w:hint="eastAsia" w:ascii="仿宋" w:hAnsi="仿宋" w:eastAsia="仿宋" w:cs="仿宋"/>
                <w:b/>
                <w:bCs w:val="0"/>
                <w:kern w:val="2"/>
                <w:sz w:val="28"/>
                <w:szCs w:val="28"/>
                <w:lang w:val="en-US" w:eastAsia="zh-CN" w:bidi="ar-SA"/>
              </w:rPr>
              <w:t>公司更名后，肉业主业受猪肉、牛羊肉价格波动拖累，并没有差异化的核心竞争力抵抗周期冲击，未来有何应对措施？公司肉业（包括猪肉、牛羊肉）和品牌食品战略方面如何经营战略规划更能突出特色？</w:t>
            </w:r>
          </w:p>
          <w:p w14:paraId="632DEEF3">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包括猪肉、牛羊肉在内的肉类业务是公司的核心主业，公司会进一步聚焦肉类主业，深化产业协同，上控资源、中联加工、下拓市场，持续产业链强链延链补链，形成饲料生产、生猪养殖、屠宰分割、生鲜及肉制品加工销售的肉类全产业发展格局。公司会紧密围绕“肉业一体化”战略部署做好经营工作，进一步强化品牌的整合力度，对外塑造一致的品牌形象。品牌创新、产品创新与渠道拓展是公司发展的关键着力点，坚持品牌年轻化的步伐，保持和消费者的密切沟通，紧贴消费市场需求，积极开发适配各种销售渠道和消费趋势的新产品，以经营管理和提升效益来创造企业内在价值，用更好的产品和服务回馈消费者，同时为投资者持续创造价值</w:t>
            </w:r>
            <w:r>
              <w:rPr>
                <w:rFonts w:hint="default" w:ascii="仿宋" w:hAnsi="仿宋" w:eastAsia="仿宋" w:cs="仿宋"/>
                <w:bCs/>
                <w:kern w:val="2"/>
                <w:sz w:val="28"/>
                <w:szCs w:val="28"/>
                <w:lang w:val="en-US" w:eastAsia="zh-CN" w:bidi="ar-SA"/>
              </w:rPr>
              <w:t>。</w:t>
            </w:r>
          </w:p>
          <w:p w14:paraId="12B8247B">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2</w:t>
            </w:r>
            <w:r>
              <w:rPr>
                <w:rFonts w:hint="default" w:ascii="仿宋" w:hAnsi="仿宋" w:eastAsia="仿宋" w:cs="仿宋"/>
                <w:b/>
                <w:bCs w:val="0"/>
                <w:kern w:val="2"/>
                <w:sz w:val="28"/>
                <w:szCs w:val="28"/>
                <w:lang w:val="en-US" w:eastAsia="zh-CN" w:bidi="ar-SA"/>
              </w:rPr>
              <w:t>、请分析一下牛羊肉和猪肉价格下半年的走势以及对公司业绩的影响。</w:t>
            </w:r>
          </w:p>
          <w:p w14:paraId="12DC34AE">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2025年上半年，全国能繁母猪存栏量处于产能调控绿色区间上限，预计全年生猪供应将维持高位宽松态势，供需宽松将压制生猪价格。猪肉价格的低位震荡会影响行业整体盈利水平，公司生猪养殖业务通过优化资产配置，关停低效牧场、集约化调整优化管理模式、优化精益养殖，优化生猪养殖科技赋能等多措施推动生猪养殖板块提质增效。</w:t>
            </w:r>
          </w:p>
          <w:p w14:paraId="51EC0502">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default" w:ascii="仿宋" w:hAnsi="仿宋" w:eastAsia="仿宋" w:cs="仿宋"/>
                <w:bCs/>
                <w:kern w:val="2"/>
                <w:sz w:val="28"/>
                <w:szCs w:val="28"/>
                <w:lang w:val="en-US" w:eastAsia="zh-CN" w:bidi="ar-SA"/>
              </w:rPr>
              <w:t>牛肉方面，2025年上半年受供需不平衡作为主要驱动力因素影响，国际牛肉价格呈现持续上涨趋势。进入二季度后，新西兰牛肉业务出现“价涨量缩”的现象，量缩导致的屠宰产能利用率下滑致使毛利下降。下半年新西兰银蕨将密切关注牛肉价格和屠宰量走势，一方面调整产品全球销售配给，将更多的牛肉货物转至价格更具有竞争力的市场销售，另一方面持续执行成本与效率提升计划，同时着重稳定供应量和降低采购成本，缓解本地采购竞争压力，全力以赴做好新西兰银蕨本年度的经营工作。</w:t>
            </w:r>
          </w:p>
          <w:p w14:paraId="560FECEB">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3</w:t>
            </w:r>
            <w:r>
              <w:rPr>
                <w:rFonts w:hint="default" w:ascii="仿宋" w:hAnsi="仿宋" w:eastAsia="仿宋" w:cs="仿宋"/>
                <w:b/>
                <w:bCs w:val="0"/>
                <w:kern w:val="2"/>
                <w:sz w:val="28"/>
                <w:szCs w:val="28"/>
                <w:lang w:val="en-US" w:eastAsia="zh-CN" w:bidi="ar-SA"/>
              </w:rPr>
              <w:t>、公司二季度利润下滑原因有哪些？今年上半年为何公司生猪养殖业务毛利为负？</w:t>
            </w:r>
          </w:p>
          <w:p w14:paraId="7BB4B9A1">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公司二季度利润下滑主要原因为新西兰银蕨农场屠宰季期间变动影响，以及国内餐饮消费市场相对低迷和传统销售渠道变革影响。公司生猪养殖板块在综合生物安全、区域性环保的投入相对较高，以及部分猪场固定资产相对较为老旧，导致目前毛利率为负，业绩尚未转好。公司将持续推进降本增效工作，通过产能布局调整、推行精益养殖、优化资本结构等手段有效降低综合养殖成本。</w:t>
            </w:r>
          </w:p>
          <w:p w14:paraId="61C3AFAF">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4、请问子公司银蕨农场半年报业绩表现较好，是否与国际牛羊肉价格上升有关，公司对下半年牛羊肉行情如何看待？</w:t>
            </w:r>
          </w:p>
          <w:p w14:paraId="44D07643">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报告期内银蕨农场面临高度不确定的宏观经济环境。一季度凭借强劲需求支撑下普遍上涨的全球牛肉价格以及在羊肉和鹿肉产品上的份额扩张，银蕨农场取得了较好销量和盈利空间。进入二季度后，新西兰全国牛羊屠宰量因养殖户留养、奶价高企及气候因素出现下滑，牛肉业务出现“价涨量缩”的现象，量缩导致的屠宰产能利用率下滑致使毛利下降，拖累银蕨农场整体表现；相比之下，报告期内羊肉和鹿肉产品的利润空间同比提升部分对冲了牛肉业务下降。面对这一不利客观形势，银蕨农场一方面调整产品全球销售配给，将更多的牛肉货物转至美国、加拿大及日本等价格更具有竞争力的市场销售以实现更好的利润，另一方面持续执行成本与效率提升计划，优化库存周转，探索多元化运输方案以降低运费波动影响。同时通过锁定合约、提前规划应对季节性短缺、加强与牧场长期合作等举措着重稳定供应量和降低采购成本，缓解本地采购竞争压力。综合以上原因，上半年银蕨农场业绩表现较好。</w:t>
            </w:r>
          </w:p>
          <w:p w14:paraId="12A15773">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default" w:ascii="仿宋" w:hAnsi="仿宋" w:eastAsia="仿宋" w:cs="仿宋"/>
                <w:bCs/>
                <w:kern w:val="2"/>
                <w:sz w:val="28"/>
                <w:szCs w:val="28"/>
                <w:lang w:val="en-US" w:eastAsia="zh-CN" w:bidi="ar-SA"/>
              </w:rPr>
              <w:t>公司对新西兰银蕨下半年牛羊肉价格行情持乐观态度，但屠宰量受新西兰全国总量下降影响，有所压力。</w:t>
            </w:r>
          </w:p>
          <w:p w14:paraId="7A401232">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5</w:t>
            </w:r>
            <w:r>
              <w:rPr>
                <w:rFonts w:hint="default" w:ascii="仿宋" w:hAnsi="仿宋" w:eastAsia="仿宋" w:cs="仿宋"/>
                <w:b/>
                <w:bCs w:val="0"/>
                <w:kern w:val="2"/>
                <w:sz w:val="28"/>
                <w:szCs w:val="28"/>
                <w:lang w:val="en-US" w:eastAsia="zh-CN" w:bidi="ar-SA"/>
              </w:rPr>
              <w:t>、公司主营业务利润远低于其他业务，公司未来经营战略是什么？是牛羊肉还是猪肉？</w:t>
            </w:r>
          </w:p>
          <w:p w14:paraId="583FA629">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回复：公司致力于打造全产业链一体化、差异化、生态化的肉类产业集团，推动肉类产品创新和品类拓展、促进产业提质提效。</w:t>
            </w:r>
          </w:p>
          <w:p w14:paraId="23229896">
            <w:pPr>
              <w:pStyle w:val="7"/>
              <w:spacing w:line="460" w:lineRule="exact"/>
              <w:ind w:left="-2" w:leftChars="-1" w:firstLine="48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目前公司主营业务利润受多种因素影响，如行业周期性波动、市场竞争加剧、经营环境变化等。公司正积极深入分析，通过优化业务流程、提升产品竞争力，开拓新市场与客户群体，致力于提高主营业务盈利能力，推动公司持续稳健发展。</w:t>
            </w:r>
          </w:p>
          <w:p w14:paraId="13DCC03E">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6</w:t>
            </w:r>
            <w:r>
              <w:rPr>
                <w:rFonts w:hint="default" w:ascii="仿宋" w:hAnsi="仿宋" w:eastAsia="仿宋" w:cs="仿宋"/>
                <w:b/>
                <w:bCs w:val="0"/>
                <w:kern w:val="2"/>
                <w:sz w:val="28"/>
                <w:szCs w:val="28"/>
                <w:lang w:val="en-US" w:eastAsia="zh-CN" w:bidi="ar-SA"/>
              </w:rPr>
              <w:t>、银蕨农场7月8月销售情况</w:t>
            </w:r>
            <w:r>
              <w:rPr>
                <w:rFonts w:hint="eastAsia" w:ascii="仿宋" w:hAnsi="仿宋" w:eastAsia="仿宋" w:cs="仿宋"/>
                <w:b/>
                <w:bCs w:val="0"/>
                <w:kern w:val="2"/>
                <w:sz w:val="28"/>
                <w:szCs w:val="28"/>
                <w:lang w:val="en-US" w:eastAsia="zh-CN" w:bidi="ar-SA"/>
              </w:rPr>
              <w:t>如何</w:t>
            </w:r>
            <w:r>
              <w:rPr>
                <w:rFonts w:hint="default" w:ascii="仿宋" w:hAnsi="仿宋" w:eastAsia="仿宋" w:cs="仿宋"/>
                <w:b/>
                <w:bCs w:val="0"/>
                <w:kern w:val="2"/>
                <w:sz w:val="28"/>
                <w:szCs w:val="28"/>
                <w:lang w:val="en-US" w:eastAsia="zh-CN" w:bidi="ar-SA"/>
              </w:rPr>
              <w:t>？</w:t>
            </w:r>
          </w:p>
          <w:p w14:paraId="45815254">
            <w:pPr>
              <w:pStyle w:val="7"/>
              <w:spacing w:line="460" w:lineRule="exact"/>
              <w:ind w:left="-2" w:leftChars="-1" w:firstLine="48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公司新西兰银蕨当前销售符合年度预期，但由于其处于南半球，从事天然放牧的草饲红肉业务存在季节性波动，三季度进入冬季后，银蕨屠宰加工的牛羊数量大幅减少，大多数工厂均属于停产期。</w:t>
            </w:r>
          </w:p>
          <w:p w14:paraId="035942BD">
            <w:pPr>
              <w:pStyle w:val="7"/>
              <w:numPr>
                <w:ilvl w:val="0"/>
                <w:numId w:val="0"/>
              </w:numPr>
              <w:spacing w:line="460" w:lineRule="exact"/>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7、生猪养殖板块降本增效有没有具体执行目标？</w:t>
            </w:r>
          </w:p>
          <w:p w14:paraId="2917BD51">
            <w:pPr>
              <w:pStyle w:val="7"/>
              <w:numPr>
                <w:ilvl w:val="0"/>
                <w:numId w:val="0"/>
              </w:numPr>
              <w:spacing w:line="460" w:lineRule="exact"/>
              <w:ind w:firstLine="560" w:firstLineChars="200"/>
              <w:jc w:val="both"/>
              <w:rPr>
                <w:rFonts w:hint="default" w:ascii="仿宋" w:hAnsi="仿宋" w:eastAsia="仿宋" w:cs="仿宋"/>
                <w:b/>
                <w:bCs w:val="0"/>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生猪养殖板块根据各个牧场的实际情况和养殖现状，制定了多项分牧场、分阶段优化举措，包括饲料成本优化、牧场分类管理、精益生产养殖、种源及技术创新、数智养殖等，公司计划持续改善养殖成本，对标行业先进水平。</w:t>
            </w:r>
          </w:p>
          <w:p w14:paraId="4E66EBA3">
            <w:pPr>
              <w:pStyle w:val="7"/>
              <w:spacing w:line="460" w:lineRule="exact"/>
              <w:ind w:left="0" w:leftChars="0" w:firstLine="0" w:firstLineChars="0"/>
              <w:jc w:val="both"/>
              <w:rPr>
                <w:rFonts w:hint="eastAsia"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8、公司是否考虑把养猪养殖拆分？</w:t>
            </w:r>
          </w:p>
          <w:p w14:paraId="557123B9">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公司当前没有分拆计划，如有相关计划公司将会严格按照相关规定履行审议决策程序和信息披露义务</w:t>
            </w:r>
            <w:r>
              <w:rPr>
                <w:rFonts w:hint="eastAsia" w:ascii="仿宋" w:hAnsi="仿宋" w:eastAsia="仿宋" w:cs="仿宋"/>
                <w:bCs/>
                <w:kern w:val="2"/>
                <w:sz w:val="28"/>
                <w:szCs w:val="28"/>
                <w:lang w:val="en-US" w:eastAsia="zh-CN" w:bidi="ar-SA"/>
              </w:rPr>
              <w:t>。</w:t>
            </w:r>
          </w:p>
          <w:p w14:paraId="4B95F80B">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9、公司子公司河北众旺债务问题打算如何解决？</w:t>
            </w:r>
          </w:p>
          <w:p w14:paraId="1B49C4AA">
            <w:pPr>
              <w:pStyle w:val="7"/>
              <w:spacing w:line="460" w:lineRule="exact"/>
              <w:ind w:left="0" w:leftChars="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关于子公司债务问题，公司已根据相关法律法规和会计准则，对存在减值迹象的长期资产计提了减值准备，详见公司近期在上海证券交易所网站www.sse.com.cn披露的《关于子公司河北众旺农牧科技有限公司债务事项的公告》（公告编号：2025-035）以及《关于子公司河北众旺农牧科技有限公司债务事项的进展公告》（公告编号：2025-036）。</w:t>
            </w:r>
            <w:r>
              <w:rPr>
                <w:rFonts w:hint="eastAsia" w:ascii="仿宋" w:hAnsi="仿宋" w:eastAsia="仿宋" w:cs="仿宋"/>
                <w:bCs/>
                <w:kern w:val="2"/>
                <w:sz w:val="28"/>
                <w:szCs w:val="28"/>
                <w:lang w:val="en-US" w:eastAsia="zh-CN" w:bidi="ar-SA"/>
              </w:rPr>
              <w:t>公司</w:t>
            </w:r>
            <w:r>
              <w:rPr>
                <w:rFonts w:hint="default" w:ascii="仿宋" w:hAnsi="仿宋" w:eastAsia="仿宋" w:cs="仿宋"/>
                <w:bCs/>
                <w:kern w:val="2"/>
                <w:sz w:val="28"/>
                <w:szCs w:val="28"/>
                <w:lang w:val="en-US" w:eastAsia="zh-CN" w:bidi="ar-SA"/>
              </w:rPr>
              <w:t>将持续跟进河北众旺现存债务事项进展，从经营、法务、内控等多方面积极采取各种措施维护公司的合法权益</w:t>
            </w:r>
            <w:r>
              <w:rPr>
                <w:rFonts w:hint="eastAsia" w:ascii="仿宋" w:hAnsi="仿宋" w:eastAsia="仿宋" w:cs="仿宋"/>
                <w:bCs/>
                <w:kern w:val="2"/>
                <w:sz w:val="28"/>
                <w:szCs w:val="28"/>
                <w:lang w:val="en-US" w:eastAsia="zh-CN" w:bidi="ar-SA"/>
              </w:rPr>
              <w:t>；</w:t>
            </w:r>
            <w:r>
              <w:rPr>
                <w:rFonts w:hint="default" w:ascii="仿宋" w:hAnsi="仿宋" w:eastAsia="仿宋" w:cs="仿宋"/>
                <w:bCs/>
                <w:kern w:val="2"/>
                <w:sz w:val="28"/>
                <w:szCs w:val="28"/>
                <w:lang w:val="en-US" w:eastAsia="zh-CN" w:bidi="ar-SA"/>
              </w:rPr>
              <w:t>加强对子公司的管理控制，保障沟通</w:t>
            </w:r>
            <w:bookmarkStart w:id="0" w:name="_GoBack"/>
            <w:bookmarkEnd w:id="0"/>
            <w:r>
              <w:rPr>
                <w:rFonts w:hint="default" w:ascii="仿宋" w:hAnsi="仿宋" w:eastAsia="仿宋" w:cs="仿宋"/>
                <w:bCs/>
                <w:kern w:val="2"/>
                <w:sz w:val="28"/>
                <w:szCs w:val="28"/>
                <w:lang w:val="en-US" w:eastAsia="zh-CN" w:bidi="ar-SA"/>
              </w:rPr>
              <w:t>信息顺畅，防范</w:t>
            </w:r>
            <w:r>
              <w:rPr>
                <w:rFonts w:hint="eastAsia" w:ascii="仿宋" w:hAnsi="仿宋" w:eastAsia="仿宋" w:cs="仿宋"/>
                <w:bCs/>
                <w:kern w:val="2"/>
                <w:sz w:val="28"/>
                <w:szCs w:val="28"/>
                <w:lang w:val="en-US" w:eastAsia="zh-CN" w:bidi="ar-SA"/>
              </w:rPr>
              <w:t>各类</w:t>
            </w:r>
            <w:r>
              <w:rPr>
                <w:rFonts w:hint="default" w:ascii="仿宋" w:hAnsi="仿宋" w:eastAsia="仿宋" w:cs="仿宋"/>
                <w:bCs/>
                <w:kern w:val="2"/>
                <w:sz w:val="28"/>
                <w:szCs w:val="28"/>
                <w:lang w:val="en-US" w:eastAsia="zh-CN" w:bidi="ar-SA"/>
              </w:rPr>
              <w:t>风险</w:t>
            </w:r>
            <w:r>
              <w:rPr>
                <w:rFonts w:hint="eastAsia" w:ascii="仿宋" w:hAnsi="仿宋" w:eastAsia="仿宋" w:cs="仿宋"/>
                <w:bCs/>
                <w:kern w:val="2"/>
                <w:sz w:val="28"/>
                <w:szCs w:val="28"/>
                <w:lang w:val="en-US" w:eastAsia="zh-CN" w:bidi="ar-SA"/>
              </w:rPr>
              <w:t>；同时</w:t>
            </w:r>
            <w:r>
              <w:rPr>
                <w:rFonts w:hint="default" w:ascii="仿宋" w:hAnsi="仿宋" w:eastAsia="仿宋" w:cs="仿宋"/>
                <w:bCs/>
                <w:kern w:val="2"/>
                <w:sz w:val="28"/>
                <w:szCs w:val="28"/>
                <w:lang w:val="en-US" w:eastAsia="zh-CN" w:bidi="ar-SA"/>
              </w:rPr>
              <w:t>将持续做好整体经营管理工作，努力提升业绩和内在价值，并及时履行信息披露义务。</w:t>
            </w:r>
          </w:p>
          <w:p w14:paraId="7B208913">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10、</w:t>
            </w:r>
            <w:r>
              <w:rPr>
                <w:rFonts w:hint="default" w:ascii="仿宋" w:hAnsi="仿宋" w:eastAsia="仿宋" w:cs="仿宋"/>
                <w:b/>
                <w:bCs w:val="0"/>
                <w:kern w:val="2"/>
                <w:sz w:val="28"/>
                <w:szCs w:val="28"/>
                <w:lang w:val="en-US" w:eastAsia="zh-CN" w:bidi="ar-SA"/>
              </w:rPr>
              <w:t>河北众旺</w:t>
            </w:r>
            <w:r>
              <w:rPr>
                <w:rFonts w:hint="eastAsia" w:ascii="仿宋" w:hAnsi="仿宋" w:eastAsia="仿宋" w:cs="仿宋"/>
                <w:b/>
                <w:bCs w:val="0"/>
                <w:kern w:val="2"/>
                <w:sz w:val="28"/>
                <w:szCs w:val="28"/>
                <w:lang w:val="en-US" w:eastAsia="zh-CN" w:bidi="ar-SA"/>
              </w:rPr>
              <w:t>债务</w:t>
            </w:r>
            <w:r>
              <w:rPr>
                <w:rFonts w:hint="default" w:ascii="仿宋" w:hAnsi="仿宋" w:eastAsia="仿宋" w:cs="仿宋"/>
                <w:b/>
                <w:bCs w:val="0"/>
                <w:kern w:val="2"/>
                <w:sz w:val="28"/>
                <w:szCs w:val="28"/>
                <w:lang w:val="en-US" w:eastAsia="zh-CN" w:bidi="ar-SA"/>
              </w:rPr>
              <w:t>计提坏帐算完成了吗</w:t>
            </w:r>
            <w:r>
              <w:rPr>
                <w:rFonts w:hint="eastAsia" w:ascii="仿宋" w:hAnsi="仿宋" w:eastAsia="仿宋" w:cs="仿宋"/>
                <w:b/>
                <w:bCs w:val="0"/>
                <w:kern w:val="2"/>
                <w:sz w:val="28"/>
                <w:szCs w:val="28"/>
                <w:lang w:val="en-US" w:eastAsia="zh-CN" w:bidi="ar-SA"/>
              </w:rPr>
              <w:t>？</w:t>
            </w:r>
          </w:p>
          <w:p w14:paraId="76882D52">
            <w:pPr>
              <w:pStyle w:val="7"/>
              <w:spacing w:line="460" w:lineRule="exact"/>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公司计提资产减值准备按照《企业会计准则》和相关会计政策，依据谨慎性原则，审慎判断资产是否存在可能发生减值的迹象，并合理评估资产减值损失金额。</w:t>
            </w:r>
          </w:p>
          <w:p w14:paraId="443382B7">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11、</w:t>
            </w:r>
            <w:r>
              <w:rPr>
                <w:rFonts w:hint="default" w:ascii="仿宋" w:hAnsi="仿宋" w:eastAsia="仿宋" w:cs="仿宋"/>
                <w:b/>
                <w:bCs w:val="0"/>
                <w:kern w:val="2"/>
                <w:sz w:val="28"/>
                <w:szCs w:val="28"/>
                <w:lang w:val="en-US" w:eastAsia="zh-CN" w:bidi="ar-SA"/>
              </w:rPr>
              <w:t>管理层如何看待公司的市值管理，当前低迷的估值正常吗</w:t>
            </w:r>
            <w:r>
              <w:rPr>
                <w:rFonts w:hint="eastAsia" w:ascii="仿宋" w:hAnsi="仿宋" w:eastAsia="仿宋" w:cs="仿宋"/>
                <w:b/>
                <w:bCs w:val="0"/>
                <w:kern w:val="2"/>
                <w:sz w:val="28"/>
                <w:szCs w:val="28"/>
                <w:lang w:val="en-US" w:eastAsia="zh-CN" w:bidi="ar-SA"/>
              </w:rPr>
              <w:t>，</w:t>
            </w:r>
            <w:r>
              <w:rPr>
                <w:rFonts w:hint="default" w:ascii="仿宋" w:hAnsi="仿宋" w:eastAsia="仿宋" w:cs="仿宋"/>
                <w:b/>
                <w:bCs w:val="0"/>
                <w:kern w:val="2"/>
                <w:sz w:val="28"/>
                <w:szCs w:val="28"/>
                <w:lang w:val="en-US" w:eastAsia="zh-CN" w:bidi="ar-SA"/>
              </w:rPr>
              <w:t>有没有考虑进行市值管理？</w:t>
            </w:r>
          </w:p>
          <w:p w14:paraId="77ECB2B7">
            <w:pPr>
              <w:pStyle w:val="7"/>
              <w:widowControl w:val="0"/>
              <w:numPr>
                <w:ilvl w:val="0"/>
                <w:numId w:val="0"/>
              </w:numPr>
              <w:spacing w:line="460" w:lineRule="exact"/>
              <w:ind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股价波动受到宏观经济环境、市场形势等多方面因素影响，公司始终以经营管理和提升效益为核心来创造企业内在价值。公司持续保持对未来发展的坚定信心，扎实做好主业经营，提高核心竞争力，并将进一步做好定期报告、ESG报告发布等信息披露工作、积极召开业绩说明会、加强与资本市场沟通，增强市场对公司的信心和价值认同，为投资者持续创造价值。</w:t>
            </w:r>
          </w:p>
          <w:p w14:paraId="5A395CF5">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12、公司是否计划</w:t>
            </w:r>
            <w:r>
              <w:rPr>
                <w:rFonts w:hint="default" w:ascii="仿宋" w:hAnsi="仿宋" w:eastAsia="仿宋" w:cs="仿宋"/>
                <w:b/>
                <w:bCs w:val="0"/>
                <w:kern w:val="2"/>
                <w:sz w:val="28"/>
                <w:szCs w:val="28"/>
                <w:lang w:val="en-US" w:eastAsia="zh-CN" w:bidi="ar-SA"/>
              </w:rPr>
              <w:t>回购注销股票？</w:t>
            </w:r>
          </w:p>
          <w:p w14:paraId="6412DF63">
            <w:pPr>
              <w:pStyle w:val="7"/>
              <w:widowControl w:val="0"/>
              <w:numPr>
                <w:ilvl w:val="0"/>
                <w:numId w:val="0"/>
              </w:numPr>
              <w:spacing w:line="460" w:lineRule="exact"/>
              <w:ind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目前公司暂无回购股份计划，如有相关计划公司将会严格按照相关规定履行审议决策程序和信息披露义务。</w:t>
            </w:r>
          </w:p>
          <w:p w14:paraId="1AD042C6">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13、</w:t>
            </w:r>
            <w:r>
              <w:rPr>
                <w:rFonts w:hint="default" w:ascii="仿宋" w:hAnsi="仿宋" w:eastAsia="仿宋" w:cs="仿宋"/>
                <w:b/>
                <w:bCs w:val="0"/>
                <w:kern w:val="2"/>
                <w:sz w:val="28"/>
                <w:szCs w:val="28"/>
                <w:lang w:val="en-US" w:eastAsia="zh-CN" w:bidi="ar-SA"/>
              </w:rPr>
              <w:t>公司股权激励方案什么时候落地？</w:t>
            </w:r>
          </w:p>
          <w:p w14:paraId="3914912C">
            <w:pPr>
              <w:pStyle w:val="7"/>
              <w:widowControl w:val="0"/>
              <w:numPr>
                <w:ilvl w:val="0"/>
                <w:numId w:val="0"/>
              </w:numPr>
              <w:spacing w:line="460" w:lineRule="exact"/>
              <w:ind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管理层始终保持对未来发展的坚定信心，扎实做好主业经营，稳步推进各项业务，不断提升公司业务核心竞争力，推动公司可持续高质量发展。目前公司暂无股权激励的计划，如有相关计划公司将会严格按照相关规定履行审议决策程序和信息披露义务，</w:t>
            </w:r>
          </w:p>
          <w:p w14:paraId="19D8DF50">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14、</w:t>
            </w:r>
            <w:r>
              <w:rPr>
                <w:rFonts w:hint="default" w:ascii="仿宋" w:hAnsi="仿宋" w:eastAsia="仿宋" w:cs="仿宋"/>
                <w:b/>
                <w:bCs w:val="0"/>
                <w:kern w:val="2"/>
                <w:sz w:val="28"/>
                <w:szCs w:val="28"/>
                <w:lang w:val="en-US" w:eastAsia="zh-CN" w:bidi="ar-SA"/>
              </w:rPr>
              <w:t>上半年公司财务费用大增1个亿，什么原因造成的？如何避免此类风险？</w:t>
            </w:r>
          </w:p>
          <w:p w14:paraId="7AAE4B02">
            <w:pPr>
              <w:pStyle w:val="7"/>
              <w:widowControl w:val="0"/>
              <w:numPr>
                <w:ilvl w:val="0"/>
                <w:numId w:val="0"/>
              </w:numPr>
              <w:spacing w:line="460" w:lineRule="exact"/>
              <w:ind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上半年公司财务费用增加，主因上年同期有大额定存利息收入，以及本期子公司新西兰银蕨农场因汇率波动导致汇兑损失增加。银蕨农场通过开展远期外汇交易形式的衍生品业务规避外汇波动带来的影响，本期远期外汇合约公允价值变动收益冲抵汇兑损失，有效降低了汇率波动对公司业绩的影响。公司将继续遵循谨慎、稳健的风险管理原则，不断提高应对外汇波动风险的能力，提升公司运行的稳健性。</w:t>
            </w:r>
          </w:p>
          <w:p w14:paraId="4ADBA07C">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15、</w:t>
            </w:r>
            <w:r>
              <w:rPr>
                <w:rFonts w:hint="default" w:ascii="仿宋" w:hAnsi="仿宋" w:eastAsia="仿宋" w:cs="仿宋"/>
                <w:b/>
                <w:bCs w:val="0"/>
                <w:kern w:val="2"/>
                <w:sz w:val="28"/>
                <w:szCs w:val="28"/>
                <w:lang w:val="en-US" w:eastAsia="zh-CN" w:bidi="ar-SA"/>
              </w:rPr>
              <w:t>公司</w:t>
            </w:r>
            <w:r>
              <w:rPr>
                <w:rFonts w:hint="eastAsia" w:ascii="仿宋" w:hAnsi="仿宋" w:eastAsia="仿宋" w:cs="仿宋"/>
                <w:b/>
                <w:bCs w:val="0"/>
                <w:kern w:val="2"/>
                <w:sz w:val="28"/>
                <w:szCs w:val="28"/>
                <w:lang w:val="en-US" w:eastAsia="zh-CN" w:bidi="ar-SA"/>
              </w:rPr>
              <w:t>为何</w:t>
            </w:r>
            <w:r>
              <w:rPr>
                <w:rFonts w:hint="default" w:ascii="仿宋" w:hAnsi="仿宋" w:eastAsia="仿宋" w:cs="仿宋"/>
                <w:b/>
                <w:bCs w:val="0"/>
                <w:kern w:val="2"/>
                <w:sz w:val="28"/>
                <w:szCs w:val="28"/>
                <w:lang w:val="en-US" w:eastAsia="zh-CN" w:bidi="ar-SA"/>
              </w:rPr>
              <w:t>要继续续约光明财务公司？</w:t>
            </w:r>
          </w:p>
          <w:p w14:paraId="1C32F14C">
            <w:pPr>
              <w:pStyle w:val="7"/>
              <w:numPr>
                <w:ilvl w:val="0"/>
                <w:numId w:val="0"/>
              </w:numPr>
              <w:spacing w:line="460" w:lineRule="exact"/>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公司始终坚持合规经营，上市以来聚焦主业发展，分红政策基于经营实际制定，融资资金均用于业务拓展与产能升级，助力企业发展。光明财务公司是因其一贯提供专业合规服务，符合公司运营需求。我们高度重视中小股东权益，通过业绩说明会、投资者交流等渠道积极沟通，后续将持续提升经营效益，以更好业绩回报股东与市场。</w:t>
            </w:r>
          </w:p>
          <w:p w14:paraId="06BD7A8C">
            <w:pPr>
              <w:pStyle w:val="7"/>
              <w:numPr>
                <w:ilvl w:val="0"/>
                <w:numId w:val="0"/>
              </w:numPr>
              <w:spacing w:line="460" w:lineRule="exact"/>
              <w:jc w:val="both"/>
              <w:rPr>
                <w:rFonts w:hint="default" w:ascii="仿宋" w:hAnsi="仿宋" w:eastAsia="仿宋" w:cs="仿宋"/>
                <w:b/>
                <w:bCs w:val="0"/>
                <w:strike w:val="0"/>
                <w:dstrike w:val="0"/>
                <w:color w:val="auto"/>
                <w:kern w:val="2"/>
                <w:sz w:val="28"/>
                <w:szCs w:val="28"/>
                <w:highlight w:val="none"/>
                <w:lang w:val="en-US" w:eastAsia="zh-CN" w:bidi="ar-SA"/>
              </w:rPr>
            </w:pPr>
            <w:r>
              <w:rPr>
                <w:rFonts w:hint="eastAsia" w:ascii="仿宋" w:hAnsi="仿宋" w:eastAsia="仿宋" w:cs="仿宋"/>
                <w:b/>
                <w:bCs w:val="0"/>
                <w:kern w:val="2"/>
                <w:sz w:val="28"/>
                <w:szCs w:val="28"/>
                <w:lang w:val="en-US" w:eastAsia="zh-CN" w:bidi="ar-SA"/>
              </w:rPr>
              <w:t>16</w:t>
            </w:r>
            <w:r>
              <w:rPr>
                <w:rFonts w:hint="eastAsia" w:ascii="仿宋" w:hAnsi="仿宋" w:eastAsia="仿宋" w:cs="仿宋"/>
                <w:b/>
                <w:bCs w:val="0"/>
                <w:color w:val="auto"/>
                <w:kern w:val="2"/>
                <w:sz w:val="28"/>
                <w:szCs w:val="28"/>
                <w:lang w:val="en-US" w:eastAsia="zh-CN" w:bidi="ar-SA"/>
              </w:rPr>
              <w:t>、</w:t>
            </w:r>
            <w:r>
              <w:rPr>
                <w:rFonts w:hint="eastAsia" w:ascii="仿宋" w:hAnsi="仿宋" w:eastAsia="仿宋" w:cs="仿宋"/>
                <w:b/>
                <w:bCs w:val="0"/>
                <w:strike w:val="0"/>
                <w:dstrike w:val="0"/>
                <w:color w:val="auto"/>
                <w:kern w:val="2"/>
                <w:sz w:val="28"/>
                <w:szCs w:val="28"/>
                <w:highlight w:val="none"/>
                <w:lang w:val="en-US" w:eastAsia="zh-CN" w:bidi="ar-SA"/>
              </w:rPr>
              <w:t>请公司</w:t>
            </w:r>
            <w:r>
              <w:rPr>
                <w:rFonts w:hint="default" w:ascii="仿宋" w:hAnsi="仿宋" w:eastAsia="仿宋" w:cs="仿宋"/>
                <w:b/>
                <w:bCs w:val="0"/>
                <w:strike w:val="0"/>
                <w:dstrike w:val="0"/>
                <w:color w:val="auto"/>
                <w:kern w:val="2"/>
                <w:sz w:val="28"/>
                <w:szCs w:val="28"/>
                <w:highlight w:val="none"/>
                <w:lang w:val="en-US" w:eastAsia="zh-CN" w:bidi="ar-SA"/>
              </w:rPr>
              <w:t>解释一下存贷双高</w:t>
            </w:r>
            <w:r>
              <w:rPr>
                <w:rFonts w:hint="eastAsia" w:ascii="仿宋" w:hAnsi="仿宋" w:eastAsia="仿宋" w:cs="仿宋"/>
                <w:b/>
                <w:bCs w:val="0"/>
                <w:strike w:val="0"/>
                <w:dstrike w:val="0"/>
                <w:color w:val="auto"/>
                <w:kern w:val="2"/>
                <w:sz w:val="28"/>
                <w:szCs w:val="28"/>
                <w:highlight w:val="none"/>
                <w:lang w:val="en-US" w:eastAsia="zh-CN" w:bidi="ar-SA"/>
              </w:rPr>
              <w:t>的原因。</w:t>
            </w:r>
          </w:p>
          <w:p w14:paraId="237839EC">
            <w:pPr>
              <w:pStyle w:val="7"/>
              <w:spacing w:line="460" w:lineRule="exact"/>
              <w:jc w:val="both"/>
              <w:rPr>
                <w:rFonts w:hint="default" w:ascii="仿宋" w:hAnsi="仿宋" w:eastAsia="仿宋" w:cs="仿宋"/>
                <w:bCs/>
                <w:strike w:val="0"/>
                <w:dstrike w:val="0"/>
                <w:color w:val="auto"/>
                <w:kern w:val="2"/>
                <w:sz w:val="28"/>
                <w:szCs w:val="28"/>
                <w:highlight w:val="none"/>
                <w:lang w:val="en-US" w:eastAsia="zh-CN" w:bidi="ar-SA"/>
              </w:rPr>
            </w:pPr>
            <w:r>
              <w:rPr>
                <w:rFonts w:hint="eastAsia" w:ascii="仿宋" w:hAnsi="仿宋" w:eastAsia="仿宋" w:cs="仿宋"/>
                <w:bCs/>
                <w:strike w:val="0"/>
                <w:dstrike w:val="0"/>
                <w:color w:val="auto"/>
                <w:kern w:val="2"/>
                <w:sz w:val="28"/>
                <w:szCs w:val="28"/>
                <w:highlight w:val="none"/>
                <w:lang w:val="en-US" w:eastAsia="zh-CN" w:bidi="ar-SA"/>
              </w:rPr>
              <w:t>回复：</w:t>
            </w:r>
            <w:r>
              <w:rPr>
                <w:rFonts w:hint="default" w:ascii="仿宋" w:hAnsi="仿宋" w:eastAsia="仿宋" w:cs="仿宋"/>
                <w:bCs/>
                <w:strike w:val="0"/>
                <w:dstrike w:val="0"/>
                <w:color w:val="auto"/>
                <w:kern w:val="2"/>
                <w:sz w:val="28"/>
                <w:szCs w:val="28"/>
                <w:highlight w:val="none"/>
                <w:lang w:val="en-US" w:eastAsia="zh-CN" w:bidi="ar-SA"/>
              </w:rPr>
              <w:t>公司存贷双高主因存款和贷款法人主体不同，存款主体主要为资金充裕型子公司，贷款主体主要为生猪养殖子公司和境外子公司，且均为非全资企业。</w:t>
            </w:r>
          </w:p>
          <w:p w14:paraId="6B472699">
            <w:pPr>
              <w:pStyle w:val="7"/>
              <w:numPr>
                <w:ilvl w:val="0"/>
                <w:numId w:val="0"/>
              </w:numPr>
              <w:spacing w:line="460" w:lineRule="exact"/>
              <w:jc w:val="both"/>
              <w:rPr>
                <w:rFonts w:hint="default" w:ascii="仿宋" w:hAnsi="仿宋" w:eastAsia="仿宋" w:cs="仿宋"/>
                <w:b/>
                <w:bCs w:val="0"/>
                <w:kern w:val="2"/>
                <w:sz w:val="28"/>
                <w:szCs w:val="28"/>
                <w:lang w:val="en-US" w:eastAsia="zh-CN" w:bidi="ar-SA"/>
              </w:rPr>
            </w:pPr>
            <w:r>
              <w:rPr>
                <w:rFonts w:hint="eastAsia" w:ascii="仿宋" w:hAnsi="仿宋" w:eastAsia="仿宋" w:cs="仿宋"/>
                <w:b/>
                <w:bCs w:val="0"/>
                <w:kern w:val="2"/>
                <w:sz w:val="28"/>
                <w:szCs w:val="28"/>
                <w:lang w:val="en-US" w:eastAsia="zh-CN" w:bidi="ar-SA"/>
              </w:rPr>
              <w:t>17、</w:t>
            </w:r>
            <w:r>
              <w:rPr>
                <w:rFonts w:hint="default" w:ascii="仿宋" w:hAnsi="仿宋" w:eastAsia="仿宋" w:cs="仿宋"/>
                <w:b/>
                <w:bCs w:val="0"/>
                <w:kern w:val="2"/>
                <w:sz w:val="28"/>
                <w:szCs w:val="28"/>
                <w:lang w:val="en-US" w:eastAsia="zh-CN" w:bidi="ar-SA"/>
              </w:rPr>
              <w:t>梅林捷克和申美饮料的坏账减值准备是怎么回事？</w:t>
            </w:r>
          </w:p>
          <w:p w14:paraId="7D8A80ED">
            <w:pPr>
              <w:pStyle w:val="7"/>
              <w:spacing w:line="460" w:lineRule="exact"/>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回复：</w:t>
            </w:r>
            <w:r>
              <w:rPr>
                <w:rFonts w:hint="default" w:ascii="仿宋" w:hAnsi="仿宋" w:eastAsia="仿宋" w:cs="仿宋"/>
                <w:bCs/>
                <w:kern w:val="2"/>
                <w:sz w:val="28"/>
                <w:szCs w:val="28"/>
                <w:lang w:val="en-US" w:eastAsia="zh-CN" w:bidi="ar-SA"/>
              </w:rPr>
              <w:t>梅林捷克处于破产清算阶段，相关情况请见公司历年公告。申美饮料不涉及计提坏账准备。感谢您对公司的关注。</w:t>
            </w:r>
          </w:p>
        </w:tc>
      </w:tr>
      <w:tr w14:paraId="6DF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05CAFBD7">
            <w:pPr>
              <w:spacing w:line="42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附件清单（如有）</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326E6AD5">
            <w:pPr>
              <w:spacing w:line="420" w:lineRule="exact"/>
              <w:rPr>
                <w:rFonts w:hint="eastAsia" w:ascii="宋体" w:hAnsi="宋体" w:eastAsia="宋体" w:cs="宋体"/>
                <w:bCs/>
                <w:iCs/>
                <w:color w:val="000000"/>
                <w:sz w:val="28"/>
                <w:szCs w:val="28"/>
                <w:lang w:val="en-US" w:eastAsia="zh-CN"/>
              </w:rPr>
            </w:pPr>
            <w:r>
              <w:rPr>
                <w:rFonts w:hint="eastAsia" w:ascii="仿宋" w:hAnsi="仿宋" w:eastAsia="仿宋" w:cs="仿宋"/>
                <w:kern w:val="2"/>
                <w:sz w:val="28"/>
                <w:szCs w:val="28"/>
                <w:lang w:val="en-US" w:eastAsia="zh-CN" w:bidi="ar-SA"/>
              </w:rPr>
              <w:t>无</w:t>
            </w:r>
          </w:p>
        </w:tc>
      </w:tr>
      <w:tr w14:paraId="531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Borders>
              <w:top w:val="single" w:color="auto" w:sz="4" w:space="0"/>
              <w:left w:val="single" w:color="auto" w:sz="4" w:space="0"/>
              <w:bottom w:val="single" w:color="auto" w:sz="4" w:space="0"/>
              <w:right w:val="single" w:color="auto" w:sz="4" w:space="0"/>
            </w:tcBorders>
            <w:noWrap w:val="0"/>
            <w:vAlign w:val="center"/>
          </w:tcPr>
          <w:p w14:paraId="35802FA9">
            <w:pPr>
              <w:spacing w:line="42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日期</w:t>
            </w:r>
          </w:p>
        </w:tc>
        <w:tc>
          <w:tcPr>
            <w:tcW w:w="6185" w:type="dxa"/>
            <w:tcBorders>
              <w:top w:val="single" w:color="auto" w:sz="4" w:space="0"/>
              <w:left w:val="single" w:color="auto" w:sz="4" w:space="0"/>
              <w:bottom w:val="single" w:color="auto" w:sz="4" w:space="0"/>
              <w:right w:val="single" w:color="auto" w:sz="4" w:space="0"/>
            </w:tcBorders>
            <w:noWrap w:val="0"/>
            <w:vAlign w:val="top"/>
          </w:tcPr>
          <w:p w14:paraId="18E8EA56">
            <w:pPr>
              <w:spacing w:line="420" w:lineRule="exact"/>
              <w:rPr>
                <w:rFonts w:hint="default" w:ascii="宋体" w:hAnsi="宋体" w:eastAsia="宋体" w:cs="宋体"/>
                <w:bCs/>
                <w:iCs/>
                <w:color w:val="000000"/>
                <w:sz w:val="28"/>
                <w:szCs w:val="28"/>
                <w:lang w:val="en-US"/>
              </w:rPr>
            </w:pPr>
            <w:r>
              <w:rPr>
                <w:rFonts w:hint="eastAsia" w:ascii="仿宋" w:hAnsi="仿宋" w:eastAsia="仿宋" w:cs="仿宋"/>
                <w:kern w:val="2"/>
                <w:sz w:val="28"/>
                <w:szCs w:val="28"/>
                <w:lang w:val="en-US" w:eastAsia="zh-CN" w:bidi="ar-SA"/>
              </w:rPr>
              <w:t>2025-9-5</w:t>
            </w:r>
          </w:p>
        </w:tc>
      </w:tr>
    </w:tbl>
    <w:p w14:paraId="6E32F1A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57A1">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4AB4">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TQ1MzI1MDZhMzBhNjJiMDY1ODRkYjI3NTE4OT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40D5"/>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480CCD"/>
    <w:rsid w:val="016264AE"/>
    <w:rsid w:val="02CD4EED"/>
    <w:rsid w:val="030D7D08"/>
    <w:rsid w:val="034C108A"/>
    <w:rsid w:val="03CA0201"/>
    <w:rsid w:val="048C5BE2"/>
    <w:rsid w:val="04DC2301"/>
    <w:rsid w:val="051C683A"/>
    <w:rsid w:val="053341DB"/>
    <w:rsid w:val="06C25C77"/>
    <w:rsid w:val="071C0D73"/>
    <w:rsid w:val="08246D07"/>
    <w:rsid w:val="08DF7BD8"/>
    <w:rsid w:val="0ADD677E"/>
    <w:rsid w:val="0C0F0EA7"/>
    <w:rsid w:val="0E9B2B18"/>
    <w:rsid w:val="0EBD2BD8"/>
    <w:rsid w:val="0EF52ABF"/>
    <w:rsid w:val="0F67724C"/>
    <w:rsid w:val="106F460A"/>
    <w:rsid w:val="11B36778"/>
    <w:rsid w:val="125E4936"/>
    <w:rsid w:val="13622204"/>
    <w:rsid w:val="13EE1CEA"/>
    <w:rsid w:val="144C7339"/>
    <w:rsid w:val="14B00D4D"/>
    <w:rsid w:val="17DA4A5F"/>
    <w:rsid w:val="1B2418A5"/>
    <w:rsid w:val="1C654B13"/>
    <w:rsid w:val="1C6E39C8"/>
    <w:rsid w:val="1DD97567"/>
    <w:rsid w:val="1E390005"/>
    <w:rsid w:val="1E7C4A7E"/>
    <w:rsid w:val="1EC36FD0"/>
    <w:rsid w:val="1F5350F7"/>
    <w:rsid w:val="1FBC0EEE"/>
    <w:rsid w:val="1FBFC074"/>
    <w:rsid w:val="20D92EF5"/>
    <w:rsid w:val="247955FF"/>
    <w:rsid w:val="248A3369"/>
    <w:rsid w:val="26C67269"/>
    <w:rsid w:val="27827685"/>
    <w:rsid w:val="2BCE359F"/>
    <w:rsid w:val="2C4E7372"/>
    <w:rsid w:val="2CBD2D37"/>
    <w:rsid w:val="2DBB27E5"/>
    <w:rsid w:val="2DD035B1"/>
    <w:rsid w:val="2F57653D"/>
    <w:rsid w:val="2F693355"/>
    <w:rsid w:val="30C9346B"/>
    <w:rsid w:val="30FC739C"/>
    <w:rsid w:val="31653A21"/>
    <w:rsid w:val="31864EB8"/>
    <w:rsid w:val="33244988"/>
    <w:rsid w:val="33271CF1"/>
    <w:rsid w:val="33274F95"/>
    <w:rsid w:val="33F151B2"/>
    <w:rsid w:val="35244754"/>
    <w:rsid w:val="35284C04"/>
    <w:rsid w:val="35847960"/>
    <w:rsid w:val="35E77F13"/>
    <w:rsid w:val="36240226"/>
    <w:rsid w:val="36FB9E1F"/>
    <w:rsid w:val="37DE77FC"/>
    <w:rsid w:val="382F0AB9"/>
    <w:rsid w:val="38B93DC5"/>
    <w:rsid w:val="3A491EB5"/>
    <w:rsid w:val="3A8A3C6B"/>
    <w:rsid w:val="3AC33322"/>
    <w:rsid w:val="3AEF7F72"/>
    <w:rsid w:val="3BFA3B96"/>
    <w:rsid w:val="3C2974B3"/>
    <w:rsid w:val="3CEF3472"/>
    <w:rsid w:val="3D5B18EE"/>
    <w:rsid w:val="3DBE2870"/>
    <w:rsid w:val="3EC84D62"/>
    <w:rsid w:val="3EFF16E9"/>
    <w:rsid w:val="3F094BA3"/>
    <w:rsid w:val="3F632CDC"/>
    <w:rsid w:val="3FC217B1"/>
    <w:rsid w:val="420B5C33"/>
    <w:rsid w:val="436314FD"/>
    <w:rsid w:val="43E51F12"/>
    <w:rsid w:val="43E73EDC"/>
    <w:rsid w:val="446077EA"/>
    <w:rsid w:val="449C5227"/>
    <w:rsid w:val="44AE0556"/>
    <w:rsid w:val="45107462"/>
    <w:rsid w:val="46602F82"/>
    <w:rsid w:val="4678598B"/>
    <w:rsid w:val="47F40975"/>
    <w:rsid w:val="48B3438D"/>
    <w:rsid w:val="49E1588A"/>
    <w:rsid w:val="4AC82702"/>
    <w:rsid w:val="4CA010CC"/>
    <w:rsid w:val="4D0A1DCE"/>
    <w:rsid w:val="4D2607A2"/>
    <w:rsid w:val="4E353A96"/>
    <w:rsid w:val="4F1F09CE"/>
    <w:rsid w:val="50502E09"/>
    <w:rsid w:val="506863A4"/>
    <w:rsid w:val="5266763E"/>
    <w:rsid w:val="52C84ED8"/>
    <w:rsid w:val="53224586"/>
    <w:rsid w:val="53784B50"/>
    <w:rsid w:val="538E7ED0"/>
    <w:rsid w:val="58E81DFF"/>
    <w:rsid w:val="5929425A"/>
    <w:rsid w:val="5A3D7F5A"/>
    <w:rsid w:val="5AE825BC"/>
    <w:rsid w:val="5CB66D5D"/>
    <w:rsid w:val="5D294D73"/>
    <w:rsid w:val="5EE60058"/>
    <w:rsid w:val="603211F3"/>
    <w:rsid w:val="60F33A68"/>
    <w:rsid w:val="611F660B"/>
    <w:rsid w:val="614B7400"/>
    <w:rsid w:val="61F23D20"/>
    <w:rsid w:val="630F26B0"/>
    <w:rsid w:val="63C7091D"/>
    <w:rsid w:val="63C87B70"/>
    <w:rsid w:val="657D5FF6"/>
    <w:rsid w:val="686B65DA"/>
    <w:rsid w:val="69153355"/>
    <w:rsid w:val="695E1C9B"/>
    <w:rsid w:val="699D0A15"/>
    <w:rsid w:val="69D05529"/>
    <w:rsid w:val="6B005E17"/>
    <w:rsid w:val="6BFA214F"/>
    <w:rsid w:val="6D2819CD"/>
    <w:rsid w:val="6D763A57"/>
    <w:rsid w:val="6DDE5D7F"/>
    <w:rsid w:val="6FD9651F"/>
    <w:rsid w:val="70981F36"/>
    <w:rsid w:val="70DF7B65"/>
    <w:rsid w:val="71030F13"/>
    <w:rsid w:val="733F2B3D"/>
    <w:rsid w:val="74546174"/>
    <w:rsid w:val="75791049"/>
    <w:rsid w:val="75F25C45"/>
    <w:rsid w:val="7693567A"/>
    <w:rsid w:val="76F51E90"/>
    <w:rsid w:val="76FD4773"/>
    <w:rsid w:val="77843214"/>
    <w:rsid w:val="77CF73AC"/>
    <w:rsid w:val="78031AAE"/>
    <w:rsid w:val="783A477B"/>
    <w:rsid w:val="784B5AE0"/>
    <w:rsid w:val="78AD53CE"/>
    <w:rsid w:val="78EF0B61"/>
    <w:rsid w:val="78FF0116"/>
    <w:rsid w:val="79020895"/>
    <w:rsid w:val="7A41719B"/>
    <w:rsid w:val="7A7E219D"/>
    <w:rsid w:val="7C8C21E7"/>
    <w:rsid w:val="7EED78F1"/>
    <w:rsid w:val="7F3E20B2"/>
    <w:rsid w:val="7F81543B"/>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3591</Words>
  <Characters>3680</Characters>
  <Lines>60</Lines>
  <Paragraphs>17</Paragraphs>
  <TotalTime>34</TotalTime>
  <ScaleCrop>false</ScaleCrop>
  <LinksUpToDate>false</LinksUpToDate>
  <CharactersWithSpaces>3826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JY</cp:lastModifiedBy>
  <cp:lastPrinted>2014-02-21T05:34:00Z</cp:lastPrinted>
  <dcterms:modified xsi:type="dcterms:W3CDTF">2025-09-09T08:01:46Z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5EDF3425277648799B5B297846602582_13</vt:lpwstr>
  </property>
  <property fmtid="{D5CDD505-2E9C-101B-9397-08002B2CF9AE}" pid="4" name="KSOTemplateDocerSaveRecord">
    <vt:lpwstr>eyJoZGlkIjoiZjhhZTQ1MzI1MDZhMzBhNjJiMDY1ODRkYjI3NTE4OTMiLCJ1c2VySWQiOiIxMTI3MzA4NzI0In0=</vt:lpwstr>
  </property>
</Properties>
</file>