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404FD" w14:textId="77777777" w:rsidR="00F91989" w:rsidRDefault="006E5441">
      <w:pPr>
        <w:rPr>
          <w:rFonts w:ascii="黑体" w:eastAsia="黑体" w:hAnsi="黑体"/>
          <w:color w:val="FF0000"/>
          <w:sz w:val="44"/>
          <w:szCs w:val="44"/>
        </w:rPr>
      </w:pPr>
      <w:r>
        <w:rPr>
          <w:rFonts w:ascii="黑体" w:eastAsia="黑体" w:hAnsi="黑体" w:hint="eastAsia"/>
          <w:color w:val="FF0000"/>
          <w:sz w:val="44"/>
          <w:szCs w:val="44"/>
        </w:rPr>
        <w:t>中国北方稀土（集团）高科技股份有限公司</w:t>
      </w:r>
    </w:p>
    <w:p w14:paraId="36A01AFA" w14:textId="77777777" w:rsidR="00F91989" w:rsidRDefault="006E5441">
      <w:pPr>
        <w:jc w:val="center"/>
        <w:rPr>
          <w:rFonts w:ascii="黑体" w:eastAsia="黑体" w:hAnsi="黑体"/>
          <w:color w:val="FF0000"/>
          <w:sz w:val="44"/>
          <w:szCs w:val="44"/>
        </w:rPr>
      </w:pPr>
      <w:r>
        <w:rPr>
          <w:rFonts w:ascii="黑体" w:eastAsia="黑体" w:hAnsi="黑体" w:hint="eastAsia"/>
          <w:color w:val="FF0000"/>
          <w:sz w:val="44"/>
          <w:szCs w:val="44"/>
        </w:rPr>
        <w:t>投资者关系活动记录表</w:t>
      </w:r>
    </w:p>
    <w:p w14:paraId="3737C415" w14:textId="44BDC255" w:rsidR="00F91989" w:rsidRDefault="006E5441">
      <w:pPr>
        <w:jc w:val="right"/>
        <w:rPr>
          <w:rFonts w:ascii="宋体" w:eastAsia="宋体" w:hAnsi="宋体"/>
          <w:sz w:val="28"/>
          <w:szCs w:val="28"/>
        </w:rPr>
      </w:pPr>
      <w:r>
        <w:rPr>
          <w:rFonts w:ascii="宋体" w:eastAsia="宋体" w:hAnsi="宋体" w:hint="eastAsia"/>
          <w:sz w:val="28"/>
          <w:szCs w:val="28"/>
        </w:rPr>
        <w:t>编号：2</w:t>
      </w:r>
      <w:r>
        <w:rPr>
          <w:rFonts w:ascii="宋体" w:eastAsia="宋体" w:hAnsi="宋体"/>
          <w:sz w:val="28"/>
          <w:szCs w:val="28"/>
        </w:rPr>
        <w:t>025-0</w:t>
      </w:r>
      <w:r>
        <w:rPr>
          <w:rFonts w:ascii="宋体" w:eastAsia="宋体" w:hAnsi="宋体" w:hint="eastAsia"/>
          <w:sz w:val="28"/>
          <w:szCs w:val="28"/>
        </w:rPr>
        <w:t>2</w:t>
      </w:r>
      <w:r w:rsidR="00404D03">
        <w:rPr>
          <w:rFonts w:ascii="宋体" w:eastAsia="宋体" w:hAnsi="宋体" w:hint="eastAsia"/>
          <w:sz w:val="28"/>
          <w:szCs w:val="28"/>
        </w:rPr>
        <w:t>5</w:t>
      </w:r>
    </w:p>
    <w:tbl>
      <w:tblPr>
        <w:tblStyle w:val="a8"/>
        <w:tblW w:w="8789" w:type="dxa"/>
        <w:jc w:val="center"/>
        <w:tblLook w:val="04A0" w:firstRow="1" w:lastRow="0" w:firstColumn="1" w:lastColumn="0" w:noHBand="0" w:noVBand="1"/>
      </w:tblPr>
      <w:tblGrid>
        <w:gridCol w:w="2122"/>
        <w:gridCol w:w="6667"/>
      </w:tblGrid>
      <w:tr w:rsidR="00F91989" w14:paraId="2700D6DF" w14:textId="77777777">
        <w:trPr>
          <w:jc w:val="center"/>
        </w:trPr>
        <w:tc>
          <w:tcPr>
            <w:tcW w:w="2122" w:type="dxa"/>
            <w:vAlign w:val="center"/>
          </w:tcPr>
          <w:p w14:paraId="716A3C9B" w14:textId="77777777" w:rsidR="00F91989" w:rsidRDefault="006E5441">
            <w:pPr>
              <w:spacing w:line="400" w:lineRule="exact"/>
              <w:jc w:val="center"/>
              <w:rPr>
                <w:rFonts w:ascii="宋体" w:eastAsia="宋体" w:hAnsi="宋体"/>
                <w:sz w:val="28"/>
                <w:szCs w:val="28"/>
              </w:rPr>
            </w:pPr>
            <w:r>
              <w:rPr>
                <w:rFonts w:ascii="宋体" w:eastAsia="宋体" w:hAnsi="宋体" w:hint="eastAsia"/>
                <w:sz w:val="28"/>
                <w:szCs w:val="28"/>
              </w:rPr>
              <w:t>投资者关系</w:t>
            </w:r>
          </w:p>
          <w:p w14:paraId="13A4047E" w14:textId="77777777" w:rsidR="00F91989" w:rsidRDefault="006E5441">
            <w:pPr>
              <w:spacing w:line="400" w:lineRule="exact"/>
              <w:jc w:val="center"/>
              <w:rPr>
                <w:rFonts w:ascii="宋体" w:eastAsia="宋体" w:hAnsi="宋体"/>
                <w:sz w:val="28"/>
                <w:szCs w:val="28"/>
              </w:rPr>
            </w:pPr>
            <w:r>
              <w:rPr>
                <w:rFonts w:ascii="宋体" w:eastAsia="宋体" w:hAnsi="宋体" w:hint="eastAsia"/>
                <w:sz w:val="28"/>
                <w:szCs w:val="28"/>
              </w:rPr>
              <w:t>活动类别</w:t>
            </w:r>
          </w:p>
        </w:tc>
        <w:tc>
          <w:tcPr>
            <w:tcW w:w="6667" w:type="dxa"/>
          </w:tcPr>
          <w:p w14:paraId="164D04C2" w14:textId="77777777" w:rsidR="00F91989" w:rsidRDefault="006E5441">
            <w:pPr>
              <w:spacing w:line="540" w:lineRule="exact"/>
              <w:rPr>
                <w:rFonts w:ascii="宋体" w:eastAsia="宋体" w:hAnsi="宋体"/>
                <w:sz w:val="28"/>
                <w:szCs w:val="28"/>
              </w:rPr>
            </w:pPr>
            <w:r>
              <w:rPr>
                <w:rFonts w:ascii="宋体" w:eastAsia="宋体" w:hAnsi="宋体" w:hint="eastAsia"/>
                <w:sz w:val="28"/>
                <w:szCs w:val="28"/>
              </w:rPr>
              <w:sym w:font="Wingdings 2" w:char="0052"/>
            </w:r>
            <w:r>
              <w:rPr>
                <w:rFonts w:ascii="宋体" w:eastAsia="宋体" w:hAnsi="宋体" w:hint="eastAsia"/>
                <w:sz w:val="28"/>
                <w:szCs w:val="28"/>
              </w:rPr>
              <w:t xml:space="preserve">特定对象调研 </w:t>
            </w:r>
            <w:r>
              <w:rPr>
                <w:rFonts w:ascii="宋体" w:eastAsia="宋体" w:hAnsi="宋体"/>
                <w:sz w:val="28"/>
                <w:szCs w:val="28"/>
              </w:rPr>
              <w:t xml:space="preserve">  </w:t>
            </w:r>
            <w:r>
              <w:rPr>
                <w:rFonts w:ascii="宋体" w:eastAsia="宋体" w:hAnsi="宋体" w:hint="eastAsia"/>
                <w:sz w:val="28"/>
                <w:szCs w:val="28"/>
              </w:rPr>
              <w:t xml:space="preserve">□分析师会议 </w:t>
            </w:r>
            <w:r>
              <w:rPr>
                <w:rFonts w:ascii="宋体" w:eastAsia="宋体" w:hAnsi="宋体"/>
                <w:sz w:val="28"/>
                <w:szCs w:val="28"/>
              </w:rPr>
              <w:t xml:space="preserve">      </w:t>
            </w:r>
          </w:p>
          <w:p w14:paraId="23BC35AF" w14:textId="77777777" w:rsidR="00F91989" w:rsidRDefault="006E5441">
            <w:pPr>
              <w:spacing w:line="540" w:lineRule="exact"/>
              <w:rPr>
                <w:rFonts w:ascii="宋体" w:eastAsia="宋体" w:hAnsi="宋体"/>
                <w:sz w:val="28"/>
                <w:szCs w:val="28"/>
              </w:rPr>
            </w:pPr>
            <w:r>
              <w:rPr>
                <w:rFonts w:ascii="宋体" w:eastAsia="宋体" w:hAnsi="宋体" w:hint="eastAsia"/>
                <w:sz w:val="28"/>
                <w:szCs w:val="28"/>
              </w:rPr>
              <w:t xml:space="preserve">□媒体采访 </w:t>
            </w:r>
            <w:r>
              <w:rPr>
                <w:rFonts w:ascii="宋体" w:eastAsia="宋体" w:hAnsi="宋体"/>
                <w:sz w:val="28"/>
                <w:szCs w:val="28"/>
              </w:rPr>
              <w:t xml:space="preserve">      </w:t>
            </w:r>
            <w:r>
              <w:rPr>
                <w:rFonts w:ascii="宋体" w:eastAsia="宋体" w:hAnsi="宋体" w:hint="eastAsia"/>
                <w:sz w:val="28"/>
                <w:szCs w:val="28"/>
              </w:rPr>
              <w:t>□业绩说明会</w:t>
            </w:r>
          </w:p>
          <w:p w14:paraId="06643EB0" w14:textId="77777777" w:rsidR="00F91989" w:rsidRDefault="006E5441">
            <w:pPr>
              <w:spacing w:line="540" w:lineRule="exact"/>
              <w:rPr>
                <w:rFonts w:ascii="宋体" w:eastAsia="宋体" w:hAnsi="宋体"/>
                <w:sz w:val="28"/>
                <w:szCs w:val="28"/>
              </w:rPr>
            </w:pPr>
            <w:r>
              <w:rPr>
                <w:rFonts w:ascii="宋体" w:eastAsia="宋体" w:hAnsi="宋体" w:hint="eastAsia"/>
                <w:sz w:val="28"/>
                <w:szCs w:val="28"/>
              </w:rPr>
              <w:t xml:space="preserve">□新闻发布会 </w:t>
            </w:r>
            <w:r>
              <w:rPr>
                <w:rFonts w:ascii="宋体" w:eastAsia="宋体" w:hAnsi="宋体"/>
                <w:sz w:val="28"/>
                <w:szCs w:val="28"/>
              </w:rPr>
              <w:t xml:space="preserve">    </w:t>
            </w:r>
            <w:r>
              <w:rPr>
                <w:rFonts w:ascii="宋体" w:eastAsia="宋体" w:hAnsi="宋体" w:hint="eastAsia"/>
                <w:sz w:val="28"/>
                <w:szCs w:val="28"/>
              </w:rPr>
              <w:t>□路演活动</w:t>
            </w:r>
          </w:p>
          <w:p w14:paraId="4EC59DAF" w14:textId="0A3355FE" w:rsidR="00F91989" w:rsidRDefault="000654ED">
            <w:pPr>
              <w:spacing w:line="540" w:lineRule="exact"/>
              <w:rPr>
                <w:rFonts w:ascii="宋体" w:eastAsia="宋体" w:hAnsi="宋体"/>
                <w:sz w:val="28"/>
                <w:szCs w:val="28"/>
              </w:rPr>
            </w:pPr>
            <w:r>
              <w:rPr>
                <w:rFonts w:ascii="宋体" w:eastAsia="宋体" w:hAnsi="宋体" w:hint="eastAsia"/>
                <w:sz w:val="28"/>
                <w:szCs w:val="28"/>
              </w:rPr>
              <w:sym w:font="Wingdings 2" w:char="0052"/>
            </w:r>
            <w:r w:rsidR="006E5441">
              <w:rPr>
                <w:rFonts w:ascii="宋体" w:eastAsia="宋体" w:hAnsi="宋体" w:hint="eastAsia"/>
                <w:sz w:val="28"/>
                <w:szCs w:val="28"/>
              </w:rPr>
              <w:t>现场参观</w:t>
            </w:r>
          </w:p>
          <w:p w14:paraId="0E3F21D0" w14:textId="77777777" w:rsidR="00F91989" w:rsidRDefault="006E5441">
            <w:pPr>
              <w:spacing w:line="540" w:lineRule="exact"/>
              <w:rPr>
                <w:rFonts w:ascii="宋体" w:eastAsia="宋体" w:hAnsi="宋体"/>
                <w:sz w:val="28"/>
                <w:szCs w:val="28"/>
              </w:rPr>
            </w:pPr>
            <w:r>
              <w:rPr>
                <w:rFonts w:ascii="宋体" w:eastAsia="宋体" w:hAnsi="宋体" w:hint="eastAsia"/>
                <w:sz w:val="28"/>
                <w:szCs w:val="28"/>
              </w:rPr>
              <w:t>□其他（请文字说明其他活动内容）</w:t>
            </w:r>
          </w:p>
        </w:tc>
      </w:tr>
      <w:tr w:rsidR="00F91989" w14:paraId="4A4ADAA4" w14:textId="77777777">
        <w:trPr>
          <w:trHeight w:val="510"/>
          <w:jc w:val="center"/>
        </w:trPr>
        <w:tc>
          <w:tcPr>
            <w:tcW w:w="2122" w:type="dxa"/>
            <w:vAlign w:val="center"/>
          </w:tcPr>
          <w:p w14:paraId="7D75EC66" w14:textId="45FF7D3B" w:rsidR="00F91989" w:rsidRDefault="00541742">
            <w:pPr>
              <w:spacing w:line="240" w:lineRule="auto"/>
              <w:jc w:val="center"/>
              <w:rPr>
                <w:rFonts w:ascii="宋体" w:eastAsia="宋体" w:hAnsi="宋体"/>
                <w:sz w:val="28"/>
                <w:szCs w:val="28"/>
              </w:rPr>
            </w:pPr>
            <w:r>
              <w:rPr>
                <w:rFonts w:ascii="宋体" w:eastAsia="宋体" w:hAnsi="宋体" w:hint="eastAsia"/>
                <w:sz w:val="28"/>
                <w:szCs w:val="28"/>
              </w:rPr>
              <w:t>来访时间、参会单位（排名不分先后）</w:t>
            </w:r>
          </w:p>
        </w:tc>
        <w:tc>
          <w:tcPr>
            <w:tcW w:w="6667" w:type="dxa"/>
            <w:vAlign w:val="center"/>
          </w:tcPr>
          <w:p w14:paraId="7827B909" w14:textId="642B9A15" w:rsidR="00D80A75" w:rsidRDefault="008B5054">
            <w:pPr>
              <w:spacing w:line="240" w:lineRule="auto"/>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02</w:t>
            </w:r>
            <w:r>
              <w:rPr>
                <w:rFonts w:ascii="宋体" w:eastAsia="宋体" w:hAnsi="宋体" w:hint="eastAsia"/>
                <w:sz w:val="28"/>
                <w:szCs w:val="28"/>
              </w:rPr>
              <w:t>5年7月28日</w:t>
            </w:r>
            <w:r w:rsidR="00D80A75">
              <w:rPr>
                <w:rFonts w:ascii="宋体" w:eastAsia="宋体" w:hAnsi="宋体" w:hint="eastAsia"/>
                <w:sz w:val="28"/>
                <w:szCs w:val="28"/>
              </w:rPr>
              <w:t xml:space="preserve"> </w:t>
            </w:r>
            <w:r w:rsidR="00EE712A">
              <w:rPr>
                <w:rFonts w:ascii="宋体" w:eastAsia="宋体" w:hAnsi="宋体" w:hint="eastAsia"/>
                <w:sz w:val="28"/>
                <w:szCs w:val="28"/>
              </w:rPr>
              <w:t>万家基金、浙商证券</w:t>
            </w:r>
          </w:p>
          <w:p w14:paraId="43A3BA72" w14:textId="328B0376" w:rsidR="00D80A75" w:rsidRDefault="006E5441">
            <w:pPr>
              <w:spacing w:line="240" w:lineRule="auto"/>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02</w:t>
            </w:r>
            <w:r>
              <w:rPr>
                <w:rFonts w:ascii="宋体" w:eastAsia="宋体" w:hAnsi="宋体" w:hint="eastAsia"/>
                <w:sz w:val="28"/>
                <w:szCs w:val="28"/>
              </w:rPr>
              <w:t>5年7月</w:t>
            </w:r>
            <w:r w:rsidR="00404D03">
              <w:rPr>
                <w:rFonts w:ascii="宋体" w:eastAsia="宋体" w:hAnsi="宋体" w:hint="eastAsia"/>
                <w:sz w:val="28"/>
                <w:szCs w:val="28"/>
              </w:rPr>
              <w:t>30</w:t>
            </w:r>
            <w:r>
              <w:rPr>
                <w:rFonts w:ascii="宋体" w:eastAsia="宋体" w:hAnsi="宋体" w:hint="eastAsia"/>
                <w:sz w:val="28"/>
                <w:szCs w:val="28"/>
              </w:rPr>
              <w:t>日</w:t>
            </w:r>
            <w:r w:rsidR="00D80A75">
              <w:rPr>
                <w:rFonts w:ascii="宋体" w:eastAsia="宋体" w:hAnsi="宋体" w:hint="eastAsia"/>
                <w:sz w:val="28"/>
                <w:szCs w:val="28"/>
              </w:rPr>
              <w:t xml:space="preserve"> </w:t>
            </w:r>
            <w:r w:rsidR="00D80A75" w:rsidRPr="00404D03">
              <w:rPr>
                <w:rFonts w:ascii="宋体" w:eastAsia="宋体" w:hAnsi="宋体" w:hint="eastAsia"/>
                <w:sz w:val="28"/>
                <w:szCs w:val="28"/>
              </w:rPr>
              <w:t>永赢</w:t>
            </w:r>
            <w:r w:rsidR="00D80A75">
              <w:rPr>
                <w:rFonts w:ascii="宋体" w:eastAsia="宋体" w:hAnsi="宋体" w:hint="eastAsia"/>
                <w:sz w:val="28"/>
                <w:szCs w:val="28"/>
              </w:rPr>
              <w:t>基金</w:t>
            </w:r>
            <w:r w:rsidR="00EE712A">
              <w:rPr>
                <w:rFonts w:ascii="宋体" w:eastAsia="宋体" w:hAnsi="宋体" w:hint="eastAsia"/>
                <w:sz w:val="28"/>
                <w:szCs w:val="28"/>
              </w:rPr>
              <w:t>、浙商证券</w:t>
            </w:r>
          </w:p>
          <w:p w14:paraId="2566EDC8" w14:textId="40AFF4A9" w:rsidR="00D80A75" w:rsidRDefault="00404D03">
            <w:pPr>
              <w:spacing w:line="240" w:lineRule="auto"/>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02</w:t>
            </w:r>
            <w:r>
              <w:rPr>
                <w:rFonts w:ascii="宋体" w:eastAsia="宋体" w:hAnsi="宋体" w:hint="eastAsia"/>
                <w:sz w:val="28"/>
                <w:szCs w:val="28"/>
              </w:rPr>
              <w:t>5年7月31</w:t>
            </w:r>
            <w:r w:rsidR="0005319A">
              <w:rPr>
                <w:rFonts w:ascii="宋体" w:eastAsia="宋体" w:hAnsi="宋体" w:hint="eastAsia"/>
                <w:sz w:val="28"/>
                <w:szCs w:val="28"/>
              </w:rPr>
              <w:t>日</w:t>
            </w:r>
            <w:r w:rsidR="00D80A75">
              <w:rPr>
                <w:rFonts w:ascii="宋体" w:eastAsia="宋体" w:hAnsi="宋体" w:hint="eastAsia"/>
                <w:sz w:val="28"/>
                <w:szCs w:val="28"/>
              </w:rPr>
              <w:t xml:space="preserve"> </w:t>
            </w:r>
            <w:r w:rsidR="00D80A75" w:rsidRPr="00404D03">
              <w:rPr>
                <w:rFonts w:ascii="宋体" w:eastAsia="宋体" w:hAnsi="宋体" w:hint="eastAsia"/>
                <w:sz w:val="28"/>
                <w:szCs w:val="28"/>
              </w:rPr>
              <w:t>天弘基金、国信证券</w:t>
            </w:r>
            <w:r w:rsidR="00D80A75">
              <w:rPr>
                <w:rFonts w:ascii="宋体" w:eastAsia="宋体" w:hAnsi="宋体" w:hint="eastAsia"/>
                <w:sz w:val="28"/>
                <w:szCs w:val="28"/>
              </w:rPr>
              <w:t>、</w:t>
            </w:r>
            <w:r w:rsidR="00D80A75" w:rsidRPr="00404D03">
              <w:rPr>
                <w:rFonts w:ascii="宋体" w:eastAsia="宋体" w:hAnsi="宋体" w:hint="eastAsia"/>
                <w:sz w:val="28"/>
                <w:szCs w:val="28"/>
              </w:rPr>
              <w:t>中华财险</w:t>
            </w:r>
            <w:r w:rsidR="00D80A75">
              <w:rPr>
                <w:rFonts w:ascii="宋体" w:eastAsia="宋体" w:hAnsi="宋体" w:hint="eastAsia"/>
                <w:sz w:val="28"/>
                <w:szCs w:val="28"/>
              </w:rPr>
              <w:t>、</w:t>
            </w:r>
            <w:r w:rsidR="00D80A75" w:rsidRPr="00404D03">
              <w:rPr>
                <w:rFonts w:ascii="宋体" w:eastAsia="宋体" w:hAnsi="宋体" w:hint="eastAsia"/>
                <w:sz w:val="28"/>
                <w:szCs w:val="28"/>
              </w:rPr>
              <w:t>招商基金</w:t>
            </w:r>
            <w:r w:rsidR="00D80A75">
              <w:rPr>
                <w:rFonts w:ascii="宋体" w:eastAsia="宋体" w:hAnsi="宋体" w:hint="eastAsia"/>
                <w:sz w:val="28"/>
                <w:szCs w:val="28"/>
              </w:rPr>
              <w:t>、</w:t>
            </w:r>
            <w:r w:rsidR="00D80A75" w:rsidRPr="00404D03">
              <w:rPr>
                <w:rFonts w:ascii="宋体" w:eastAsia="宋体" w:hAnsi="宋体" w:hint="eastAsia"/>
                <w:sz w:val="28"/>
                <w:szCs w:val="28"/>
              </w:rPr>
              <w:t>汇丰环球、招商</w:t>
            </w:r>
            <w:r w:rsidR="00D40BC7">
              <w:rPr>
                <w:rFonts w:ascii="宋体" w:eastAsia="宋体" w:hAnsi="宋体" w:hint="eastAsia"/>
                <w:sz w:val="28"/>
                <w:szCs w:val="28"/>
              </w:rPr>
              <w:t>基金</w:t>
            </w:r>
            <w:r w:rsidR="00D80A75">
              <w:rPr>
                <w:rFonts w:ascii="宋体" w:eastAsia="宋体" w:hAnsi="宋体" w:hint="eastAsia"/>
                <w:sz w:val="28"/>
                <w:szCs w:val="28"/>
              </w:rPr>
              <w:t>、</w:t>
            </w:r>
            <w:r w:rsidR="00D80A75" w:rsidRPr="00404D03">
              <w:rPr>
                <w:rFonts w:ascii="宋体" w:eastAsia="宋体" w:hAnsi="宋体" w:hint="eastAsia"/>
                <w:sz w:val="28"/>
                <w:szCs w:val="28"/>
              </w:rPr>
              <w:t>易方达</w:t>
            </w:r>
            <w:r w:rsidR="00D80A75">
              <w:rPr>
                <w:rFonts w:ascii="宋体" w:eastAsia="宋体" w:hAnsi="宋体" w:hint="eastAsia"/>
                <w:sz w:val="28"/>
                <w:szCs w:val="28"/>
              </w:rPr>
              <w:t>基金、华泰</w:t>
            </w:r>
            <w:r w:rsidR="00D80A75" w:rsidRPr="00404D03">
              <w:rPr>
                <w:rFonts w:ascii="宋体" w:eastAsia="宋体" w:hAnsi="宋体" w:hint="eastAsia"/>
                <w:sz w:val="28"/>
                <w:szCs w:val="28"/>
              </w:rPr>
              <w:t>柏</w:t>
            </w:r>
            <w:r w:rsidR="00D80A75">
              <w:rPr>
                <w:rFonts w:ascii="宋体" w:eastAsia="宋体" w:hAnsi="宋体" w:hint="eastAsia"/>
                <w:sz w:val="28"/>
                <w:szCs w:val="28"/>
              </w:rPr>
              <w:t>瑞、</w:t>
            </w:r>
            <w:r w:rsidR="00D80A75" w:rsidRPr="00404D03">
              <w:rPr>
                <w:rFonts w:ascii="宋体" w:eastAsia="宋体" w:hAnsi="宋体" w:hint="eastAsia"/>
                <w:sz w:val="28"/>
                <w:szCs w:val="28"/>
              </w:rPr>
              <w:t>诺安基金</w:t>
            </w:r>
          </w:p>
          <w:p w14:paraId="018F453A" w14:textId="2656C196" w:rsidR="00D80A75" w:rsidRDefault="00404D03">
            <w:pPr>
              <w:spacing w:line="240" w:lineRule="auto"/>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02</w:t>
            </w:r>
            <w:r>
              <w:rPr>
                <w:rFonts w:ascii="宋体" w:eastAsia="宋体" w:hAnsi="宋体" w:hint="eastAsia"/>
                <w:sz w:val="28"/>
                <w:szCs w:val="28"/>
              </w:rPr>
              <w:t>5年8月1日</w:t>
            </w:r>
            <w:r w:rsidR="00D80A75">
              <w:rPr>
                <w:rFonts w:ascii="宋体" w:eastAsia="宋体" w:hAnsi="宋体" w:hint="eastAsia"/>
                <w:sz w:val="28"/>
                <w:szCs w:val="28"/>
              </w:rPr>
              <w:t xml:space="preserve"> </w:t>
            </w:r>
            <w:r w:rsidR="00D80A75" w:rsidRPr="00404D03">
              <w:rPr>
                <w:rFonts w:ascii="宋体" w:eastAsia="宋体" w:hAnsi="宋体" w:hint="eastAsia"/>
                <w:sz w:val="28"/>
                <w:szCs w:val="28"/>
              </w:rPr>
              <w:t>华安</w:t>
            </w:r>
            <w:r w:rsidR="00D80A75">
              <w:rPr>
                <w:rFonts w:ascii="宋体" w:eastAsia="宋体" w:hAnsi="宋体" w:hint="eastAsia"/>
                <w:sz w:val="28"/>
                <w:szCs w:val="28"/>
              </w:rPr>
              <w:t>基金</w:t>
            </w:r>
            <w:r w:rsidR="00812455">
              <w:rPr>
                <w:rFonts w:ascii="宋体" w:eastAsia="宋体" w:hAnsi="宋体" w:hint="eastAsia"/>
                <w:sz w:val="28"/>
                <w:szCs w:val="28"/>
              </w:rPr>
              <w:t>、</w:t>
            </w:r>
            <w:r w:rsidR="00812455" w:rsidRPr="00404D03">
              <w:rPr>
                <w:rFonts w:ascii="宋体" w:eastAsia="宋体" w:hAnsi="宋体" w:hint="eastAsia"/>
                <w:sz w:val="28"/>
                <w:szCs w:val="28"/>
              </w:rPr>
              <w:t>国信证券</w:t>
            </w:r>
          </w:p>
          <w:p w14:paraId="1746DE93" w14:textId="414C6EF7" w:rsidR="00F91989" w:rsidRDefault="000E2E94">
            <w:pPr>
              <w:spacing w:line="240" w:lineRule="auto"/>
              <w:rPr>
                <w:rFonts w:ascii="宋体" w:eastAsia="宋体" w:hAnsi="宋体"/>
                <w:sz w:val="28"/>
                <w:szCs w:val="28"/>
              </w:rPr>
            </w:pPr>
            <w:r>
              <w:rPr>
                <w:rFonts w:ascii="宋体" w:eastAsia="宋体" w:hAnsi="宋体" w:hint="eastAsia"/>
                <w:sz w:val="28"/>
                <w:szCs w:val="28"/>
              </w:rPr>
              <w:t>2025年8月7日</w:t>
            </w:r>
            <w:r w:rsidR="00D80A75">
              <w:rPr>
                <w:rFonts w:ascii="宋体" w:eastAsia="宋体" w:hAnsi="宋体" w:hint="eastAsia"/>
                <w:sz w:val="28"/>
                <w:szCs w:val="28"/>
              </w:rPr>
              <w:t xml:space="preserve"> </w:t>
            </w:r>
            <w:r w:rsidR="00D80A75" w:rsidRPr="008E2E2E">
              <w:rPr>
                <w:rFonts w:ascii="宋体" w:eastAsia="宋体" w:hAnsi="宋体" w:hint="eastAsia"/>
                <w:sz w:val="28"/>
                <w:szCs w:val="28"/>
              </w:rPr>
              <w:t>民生加银</w:t>
            </w:r>
            <w:r w:rsidR="00D80A75">
              <w:rPr>
                <w:rFonts w:ascii="宋体" w:eastAsia="宋体" w:hAnsi="宋体" w:hint="eastAsia"/>
                <w:sz w:val="28"/>
                <w:szCs w:val="28"/>
              </w:rPr>
              <w:t>、</w:t>
            </w:r>
            <w:r w:rsidR="00D80A75" w:rsidRPr="008E2E2E">
              <w:rPr>
                <w:rFonts w:ascii="宋体" w:eastAsia="宋体" w:hAnsi="宋体" w:hint="eastAsia"/>
                <w:sz w:val="28"/>
                <w:szCs w:val="28"/>
              </w:rPr>
              <w:t>海富通</w:t>
            </w:r>
            <w:r w:rsidR="00D80A75">
              <w:rPr>
                <w:rFonts w:ascii="宋体" w:eastAsia="宋体" w:hAnsi="宋体" w:hint="eastAsia"/>
                <w:sz w:val="28"/>
                <w:szCs w:val="28"/>
              </w:rPr>
              <w:t>、</w:t>
            </w:r>
            <w:r w:rsidR="00D80A75" w:rsidRPr="008E2E2E">
              <w:rPr>
                <w:rFonts w:ascii="宋体" w:eastAsia="宋体" w:hAnsi="宋体" w:hint="eastAsia"/>
                <w:sz w:val="28"/>
                <w:szCs w:val="28"/>
              </w:rPr>
              <w:t>光大保德信</w:t>
            </w:r>
            <w:r w:rsidR="00812455">
              <w:rPr>
                <w:rFonts w:ascii="宋体" w:eastAsia="宋体" w:hAnsi="宋体" w:hint="eastAsia"/>
                <w:sz w:val="28"/>
                <w:szCs w:val="28"/>
              </w:rPr>
              <w:t>、</w:t>
            </w:r>
            <w:r w:rsidR="00812455" w:rsidRPr="00404D03">
              <w:rPr>
                <w:rFonts w:ascii="宋体" w:eastAsia="宋体" w:hAnsi="宋体" w:hint="eastAsia"/>
                <w:sz w:val="28"/>
                <w:szCs w:val="28"/>
              </w:rPr>
              <w:t>国信证券</w:t>
            </w:r>
            <w:r w:rsidR="00812455">
              <w:rPr>
                <w:rFonts w:ascii="宋体" w:eastAsia="宋体" w:hAnsi="宋体" w:hint="eastAsia"/>
                <w:sz w:val="28"/>
                <w:szCs w:val="28"/>
              </w:rPr>
              <w:t>、招商仁和、银河证券</w:t>
            </w:r>
          </w:p>
          <w:p w14:paraId="2FFAF9B8" w14:textId="12B496AC" w:rsidR="00D80A75" w:rsidRDefault="00D80A75">
            <w:pPr>
              <w:spacing w:line="240" w:lineRule="auto"/>
              <w:rPr>
                <w:rFonts w:ascii="宋体" w:eastAsia="宋体" w:hAnsi="宋体"/>
                <w:sz w:val="28"/>
                <w:szCs w:val="28"/>
              </w:rPr>
            </w:pPr>
            <w:r>
              <w:rPr>
                <w:rFonts w:ascii="宋体" w:eastAsia="宋体" w:hAnsi="宋体"/>
                <w:sz w:val="28"/>
                <w:szCs w:val="28"/>
              </w:rPr>
              <w:t>2025</w:t>
            </w:r>
            <w:r>
              <w:rPr>
                <w:rFonts w:ascii="宋体" w:eastAsia="宋体" w:hAnsi="宋体" w:hint="eastAsia"/>
                <w:sz w:val="28"/>
                <w:szCs w:val="28"/>
              </w:rPr>
              <w:t>年8月15日 上海证券交易所、中证中小投资者服务中心、上海证券报、</w:t>
            </w:r>
            <w:r w:rsidR="000654ED">
              <w:rPr>
                <w:rFonts w:ascii="宋体" w:eastAsia="宋体" w:hAnsi="宋体" w:hint="eastAsia"/>
                <w:sz w:val="28"/>
                <w:szCs w:val="28"/>
              </w:rPr>
              <w:t>中金公司、</w:t>
            </w:r>
            <w:r w:rsidR="00426A9D">
              <w:rPr>
                <w:rFonts w:ascii="宋体" w:eastAsia="宋体" w:hAnsi="宋体" w:hint="eastAsia"/>
                <w:sz w:val="28"/>
                <w:szCs w:val="28"/>
              </w:rPr>
              <w:t>华林证券、</w:t>
            </w:r>
            <w:r>
              <w:rPr>
                <w:rFonts w:ascii="宋体" w:eastAsia="宋体" w:hAnsi="宋体" w:hint="eastAsia"/>
                <w:sz w:val="28"/>
                <w:szCs w:val="28"/>
              </w:rPr>
              <w:t>个人投资者</w:t>
            </w:r>
          </w:p>
        </w:tc>
      </w:tr>
      <w:tr w:rsidR="00F91989" w14:paraId="4B2BE8F5" w14:textId="77777777">
        <w:trPr>
          <w:trHeight w:val="510"/>
          <w:jc w:val="center"/>
        </w:trPr>
        <w:tc>
          <w:tcPr>
            <w:tcW w:w="2122" w:type="dxa"/>
            <w:vAlign w:val="center"/>
          </w:tcPr>
          <w:p w14:paraId="34B29467" w14:textId="77777777" w:rsidR="00F91989" w:rsidRDefault="006E5441">
            <w:pPr>
              <w:spacing w:line="240" w:lineRule="auto"/>
              <w:jc w:val="center"/>
              <w:rPr>
                <w:rFonts w:ascii="宋体" w:eastAsia="宋体" w:hAnsi="宋体"/>
                <w:sz w:val="28"/>
                <w:szCs w:val="28"/>
              </w:rPr>
            </w:pPr>
            <w:r>
              <w:rPr>
                <w:rFonts w:ascii="宋体" w:eastAsia="宋体" w:hAnsi="宋体" w:hint="eastAsia"/>
                <w:sz w:val="28"/>
                <w:szCs w:val="28"/>
              </w:rPr>
              <w:t>地点及形式</w:t>
            </w:r>
          </w:p>
        </w:tc>
        <w:tc>
          <w:tcPr>
            <w:tcW w:w="6667" w:type="dxa"/>
            <w:vAlign w:val="center"/>
          </w:tcPr>
          <w:p w14:paraId="41F4108E" w14:textId="74C7233E" w:rsidR="00F91989" w:rsidRDefault="006E5441" w:rsidP="00BB1239">
            <w:pPr>
              <w:spacing w:line="240" w:lineRule="auto"/>
              <w:rPr>
                <w:rFonts w:ascii="宋体" w:eastAsia="宋体" w:hAnsi="宋体"/>
                <w:sz w:val="28"/>
                <w:szCs w:val="28"/>
              </w:rPr>
            </w:pPr>
            <w:r>
              <w:rPr>
                <w:rFonts w:ascii="宋体" w:eastAsia="宋体" w:hAnsi="宋体" w:hint="eastAsia"/>
                <w:sz w:val="28"/>
                <w:szCs w:val="28"/>
              </w:rPr>
              <w:t>腾讯会议线上调研</w:t>
            </w:r>
            <w:r w:rsidR="00541742">
              <w:rPr>
                <w:rFonts w:ascii="宋体" w:eastAsia="宋体" w:hAnsi="宋体" w:hint="eastAsia"/>
                <w:sz w:val="28"/>
                <w:szCs w:val="28"/>
              </w:rPr>
              <w:t>、公司会议室现场调研</w:t>
            </w:r>
            <w:r w:rsidR="00BB1239">
              <w:rPr>
                <w:rFonts w:ascii="宋体" w:eastAsia="宋体" w:hAnsi="宋体" w:hint="eastAsia"/>
                <w:sz w:val="28"/>
                <w:szCs w:val="28"/>
              </w:rPr>
              <w:t>座谈</w:t>
            </w:r>
          </w:p>
        </w:tc>
      </w:tr>
      <w:tr w:rsidR="00F91989" w14:paraId="46CDB3D1" w14:textId="77777777">
        <w:trPr>
          <w:trHeight w:val="1247"/>
          <w:jc w:val="center"/>
        </w:trPr>
        <w:tc>
          <w:tcPr>
            <w:tcW w:w="2122" w:type="dxa"/>
            <w:vAlign w:val="center"/>
          </w:tcPr>
          <w:p w14:paraId="6E94E2E1" w14:textId="77777777" w:rsidR="00F91989" w:rsidRDefault="006E5441">
            <w:pPr>
              <w:spacing w:line="400" w:lineRule="exact"/>
              <w:jc w:val="center"/>
              <w:rPr>
                <w:rFonts w:ascii="宋体" w:eastAsia="宋体" w:hAnsi="宋体"/>
                <w:sz w:val="28"/>
                <w:szCs w:val="28"/>
              </w:rPr>
            </w:pPr>
            <w:r>
              <w:rPr>
                <w:rFonts w:ascii="宋体" w:eastAsia="宋体" w:hAnsi="宋体" w:hint="eastAsia"/>
                <w:sz w:val="28"/>
                <w:szCs w:val="28"/>
              </w:rPr>
              <w:t>公司接待人员</w:t>
            </w:r>
          </w:p>
        </w:tc>
        <w:tc>
          <w:tcPr>
            <w:tcW w:w="6667" w:type="dxa"/>
            <w:vAlign w:val="center"/>
          </w:tcPr>
          <w:p w14:paraId="60D0D6CF" w14:textId="77777777" w:rsidR="00F91989" w:rsidRDefault="006E5441">
            <w:pPr>
              <w:spacing w:line="540" w:lineRule="exact"/>
              <w:rPr>
                <w:rFonts w:ascii="宋体" w:eastAsia="宋体" w:hAnsi="宋体"/>
                <w:sz w:val="28"/>
                <w:szCs w:val="28"/>
              </w:rPr>
            </w:pPr>
            <w:r>
              <w:rPr>
                <w:rFonts w:ascii="宋体" w:eastAsia="宋体" w:hAnsi="宋体" w:hint="eastAsia"/>
                <w:sz w:val="28"/>
                <w:szCs w:val="28"/>
              </w:rPr>
              <w:t>公司董事、董事会秘</w:t>
            </w:r>
            <w:r>
              <w:rPr>
                <w:rFonts w:ascii="宋体" w:eastAsia="宋体" w:hAnsi="宋体" w:cs="微软雅黑" w:hint="eastAsia"/>
                <w:sz w:val="28"/>
                <w:szCs w:val="28"/>
              </w:rPr>
              <w:t>书</w:t>
            </w:r>
            <w:r>
              <w:rPr>
                <w:rFonts w:ascii="宋体" w:eastAsia="宋体" w:hAnsi="宋体" w:cs="MS Gothic" w:hint="eastAsia"/>
                <w:sz w:val="28"/>
                <w:szCs w:val="28"/>
              </w:rPr>
              <w:t>、首席合</w:t>
            </w:r>
            <w:r>
              <w:rPr>
                <w:rFonts w:ascii="宋体" w:eastAsia="宋体" w:hAnsi="宋体" w:cs="微软雅黑" w:hint="eastAsia"/>
                <w:sz w:val="28"/>
                <w:szCs w:val="28"/>
              </w:rPr>
              <w:t>规</w:t>
            </w:r>
            <w:r>
              <w:rPr>
                <w:rFonts w:ascii="宋体" w:eastAsia="宋体" w:hAnsi="宋体" w:cs="MS Gothic" w:hint="eastAsia"/>
                <w:sz w:val="28"/>
                <w:szCs w:val="28"/>
              </w:rPr>
              <w:t>官吴永</w:t>
            </w:r>
            <w:r>
              <w:rPr>
                <w:rFonts w:ascii="宋体" w:eastAsia="宋体" w:hAnsi="宋体" w:cs="微软雅黑" w:hint="eastAsia"/>
                <w:sz w:val="28"/>
                <w:szCs w:val="28"/>
              </w:rPr>
              <w:t>钢先生</w:t>
            </w:r>
            <w:r>
              <w:rPr>
                <w:rFonts w:ascii="宋体" w:eastAsia="宋体" w:hAnsi="宋体" w:hint="eastAsia"/>
                <w:sz w:val="28"/>
                <w:szCs w:val="28"/>
              </w:rPr>
              <w:t>，证券部等相关部</w:t>
            </w:r>
            <w:r>
              <w:rPr>
                <w:rFonts w:ascii="宋体" w:eastAsia="宋体" w:hAnsi="宋体" w:cs="微软雅黑" w:hint="eastAsia"/>
                <w:sz w:val="28"/>
                <w:szCs w:val="28"/>
              </w:rPr>
              <w:t>门</w:t>
            </w:r>
            <w:r>
              <w:rPr>
                <w:rFonts w:ascii="宋体" w:eastAsia="宋体" w:hAnsi="宋体" w:hint="eastAsia"/>
                <w:sz w:val="28"/>
                <w:szCs w:val="28"/>
              </w:rPr>
              <w:t>人</w:t>
            </w:r>
            <w:r>
              <w:rPr>
                <w:rFonts w:ascii="宋体" w:eastAsia="宋体" w:hAnsi="宋体" w:cs="微软雅黑" w:hint="eastAsia"/>
                <w:sz w:val="28"/>
                <w:szCs w:val="28"/>
              </w:rPr>
              <w:t>员</w:t>
            </w:r>
            <w:r>
              <w:rPr>
                <w:rFonts w:ascii="宋体" w:eastAsia="宋体" w:hAnsi="宋体" w:hint="eastAsia"/>
                <w:sz w:val="28"/>
                <w:szCs w:val="28"/>
              </w:rPr>
              <w:t>。</w:t>
            </w:r>
          </w:p>
        </w:tc>
      </w:tr>
      <w:tr w:rsidR="00F91989" w14:paraId="4DF258DB" w14:textId="77777777">
        <w:trPr>
          <w:trHeight w:val="416"/>
          <w:jc w:val="center"/>
        </w:trPr>
        <w:tc>
          <w:tcPr>
            <w:tcW w:w="2122" w:type="dxa"/>
            <w:vAlign w:val="center"/>
          </w:tcPr>
          <w:p w14:paraId="5C7832FD" w14:textId="77777777" w:rsidR="00F91989" w:rsidRDefault="006E5441">
            <w:pPr>
              <w:spacing w:line="400" w:lineRule="exact"/>
              <w:jc w:val="center"/>
              <w:rPr>
                <w:rFonts w:ascii="宋体" w:eastAsia="宋体" w:hAnsi="宋体"/>
                <w:sz w:val="28"/>
                <w:szCs w:val="28"/>
              </w:rPr>
            </w:pPr>
            <w:r>
              <w:rPr>
                <w:rFonts w:ascii="宋体" w:eastAsia="宋体" w:hAnsi="宋体" w:hint="eastAsia"/>
                <w:sz w:val="28"/>
                <w:szCs w:val="28"/>
              </w:rPr>
              <w:t>投资者关系活动主要内容</w:t>
            </w:r>
          </w:p>
        </w:tc>
        <w:tc>
          <w:tcPr>
            <w:tcW w:w="6667" w:type="dxa"/>
          </w:tcPr>
          <w:p w14:paraId="0A48FA7E" w14:textId="6257FCAA" w:rsidR="00B24A90" w:rsidRPr="00576A66" w:rsidRDefault="006E5441" w:rsidP="00B24A90">
            <w:pPr>
              <w:spacing w:line="500" w:lineRule="exact"/>
              <w:ind w:firstLineChars="200" w:firstLine="562"/>
              <w:rPr>
                <w:rFonts w:ascii="宋体" w:eastAsia="宋体" w:hAnsi="宋体"/>
                <w:bCs/>
                <w:sz w:val="28"/>
                <w:szCs w:val="28"/>
              </w:rPr>
            </w:pPr>
            <w:r>
              <w:rPr>
                <w:rFonts w:ascii="宋体" w:eastAsia="宋体" w:hAnsi="宋体" w:hint="eastAsia"/>
                <w:b/>
                <w:sz w:val="28"/>
                <w:szCs w:val="28"/>
              </w:rPr>
              <w:t>问：</w:t>
            </w:r>
            <w:r w:rsidR="00404D03" w:rsidRPr="00404D03">
              <w:rPr>
                <w:rFonts w:ascii="宋体" w:eastAsia="宋体" w:hAnsi="宋体" w:hint="eastAsia"/>
                <w:b/>
                <w:sz w:val="28"/>
                <w:szCs w:val="28"/>
              </w:rPr>
              <w:t>公司如何看此次稀土价格上涨？</w:t>
            </w:r>
          </w:p>
          <w:p w14:paraId="45472D49" w14:textId="77777777" w:rsidR="00904B80" w:rsidRDefault="000065B7" w:rsidP="00404D03">
            <w:pPr>
              <w:spacing w:line="500" w:lineRule="exact"/>
              <w:ind w:firstLineChars="200" w:firstLine="560"/>
              <w:rPr>
                <w:rFonts w:ascii="宋体" w:eastAsia="宋体" w:hAnsi="宋体"/>
                <w:bCs/>
                <w:sz w:val="28"/>
                <w:szCs w:val="28"/>
              </w:rPr>
            </w:pPr>
            <w:r>
              <w:rPr>
                <w:rFonts w:ascii="宋体" w:eastAsia="宋体" w:hAnsi="宋体" w:hint="eastAsia"/>
                <w:bCs/>
                <w:sz w:val="28"/>
                <w:szCs w:val="28"/>
              </w:rPr>
              <w:t>答：</w:t>
            </w:r>
            <w:r w:rsidR="00904B80" w:rsidRPr="00904B80">
              <w:rPr>
                <w:rFonts w:ascii="宋体" w:eastAsia="宋体" w:hAnsi="宋体" w:hint="eastAsia"/>
                <w:bCs/>
                <w:sz w:val="28"/>
                <w:szCs w:val="28"/>
              </w:rPr>
              <w:t>产品价格主要是受供需关系影响。上半年，镨钕等主流产品价格稳定运行。期间，虽然受国际贸易等因素影响，市场订单以及产品价格受到一定冲击，但稳定的国内需求对稀土市场形成有力支撑，稀土市</w:t>
            </w:r>
            <w:r w:rsidR="00904B80" w:rsidRPr="00904B80">
              <w:rPr>
                <w:rFonts w:ascii="宋体" w:eastAsia="宋体" w:hAnsi="宋体" w:hint="eastAsia"/>
                <w:bCs/>
                <w:sz w:val="28"/>
                <w:szCs w:val="28"/>
              </w:rPr>
              <w:lastRenderedPageBreak/>
              <w:t>场整体活跃度好于上年同期。近期受预期影响，并随着生产企业订单的持续恢复，带动主流稀土产品价格上行。</w:t>
            </w:r>
          </w:p>
          <w:p w14:paraId="3EF177CC" w14:textId="735AD87C" w:rsidR="00904B80" w:rsidRPr="00904B80" w:rsidRDefault="00904B80" w:rsidP="00904B80">
            <w:pPr>
              <w:spacing w:line="500" w:lineRule="exact"/>
              <w:ind w:firstLineChars="200" w:firstLine="562"/>
              <w:rPr>
                <w:rFonts w:ascii="宋体" w:eastAsia="宋体" w:hAnsi="宋体"/>
                <w:b/>
                <w:bCs/>
                <w:sz w:val="28"/>
                <w:szCs w:val="28"/>
              </w:rPr>
            </w:pPr>
            <w:r w:rsidRPr="00904B80">
              <w:rPr>
                <w:rFonts w:ascii="宋体" w:eastAsia="宋体" w:hAnsi="宋体" w:hint="eastAsia"/>
                <w:b/>
                <w:bCs/>
                <w:sz w:val="28"/>
                <w:szCs w:val="28"/>
              </w:rPr>
              <w:t>问：公司在稀土磁材领域是如何规划的？</w:t>
            </w:r>
          </w:p>
          <w:p w14:paraId="508D96B0" w14:textId="237CD8DB" w:rsidR="00904B80" w:rsidRPr="00904B80" w:rsidRDefault="00904B80" w:rsidP="00904B80">
            <w:pPr>
              <w:spacing w:line="500" w:lineRule="exact"/>
              <w:ind w:firstLineChars="200" w:firstLine="560"/>
              <w:rPr>
                <w:rFonts w:ascii="宋体" w:eastAsia="宋体" w:hAnsi="宋体"/>
                <w:bCs/>
                <w:sz w:val="28"/>
                <w:szCs w:val="28"/>
              </w:rPr>
            </w:pPr>
            <w:r>
              <w:rPr>
                <w:rFonts w:ascii="宋体" w:eastAsia="宋体" w:hAnsi="宋体" w:hint="eastAsia"/>
                <w:bCs/>
                <w:sz w:val="28"/>
                <w:szCs w:val="28"/>
              </w:rPr>
              <w:t>答</w:t>
            </w:r>
            <w:r w:rsidRPr="00904B80">
              <w:rPr>
                <w:rFonts w:ascii="宋体" w:eastAsia="宋体" w:hAnsi="宋体" w:hint="eastAsia"/>
                <w:bCs/>
                <w:sz w:val="28"/>
                <w:szCs w:val="28"/>
              </w:rPr>
              <w:t>：展望“十五五”，公司将以做大做优做强速凝合金产业为基础，多元化多品种发展稀土永磁材料产业。</w:t>
            </w:r>
          </w:p>
          <w:p w14:paraId="62DAC603" w14:textId="77777777" w:rsidR="00904B80" w:rsidRPr="00904B80" w:rsidRDefault="00904B80" w:rsidP="00904B80">
            <w:pPr>
              <w:spacing w:line="500" w:lineRule="exact"/>
              <w:ind w:firstLineChars="200" w:firstLine="560"/>
              <w:rPr>
                <w:rFonts w:ascii="宋体" w:eastAsia="宋体" w:hAnsi="宋体"/>
                <w:bCs/>
                <w:sz w:val="28"/>
                <w:szCs w:val="28"/>
              </w:rPr>
            </w:pPr>
            <w:r w:rsidRPr="00904B80">
              <w:rPr>
                <w:rFonts w:ascii="宋体" w:eastAsia="宋体" w:hAnsi="宋体" w:hint="eastAsia"/>
                <w:bCs/>
                <w:sz w:val="28"/>
                <w:szCs w:val="28"/>
              </w:rPr>
              <w:t>磁材合金方面，进一步提升速凝合金生产规模，从工艺优化、设备升级、过程管控等多方面协同发力，不断提升产品质量、生产效率，优化成本管控，持续巩固公司在钕铁硼速凝合金领域的领先地位。公司目前拥有10万吨/年的磁性材料合金产能。为进一步提升产业竞争力，公司子公司北方磁材启动建设5万吨高性能钕铁硼速凝合金项目。该项目建成后，将新增年产5万吨磁材合金及1万吨氢碎粉的生产能力，打造单体产能最大、综合成本效益最优、最具市场竞争力的稀土磁性材料合金（粉体）生产工厂及质量领先的新能源配套磁材。</w:t>
            </w:r>
          </w:p>
          <w:p w14:paraId="47BAE6B8" w14:textId="7DEB4664" w:rsidR="00404D03" w:rsidRDefault="00904B80" w:rsidP="00904B80">
            <w:pPr>
              <w:spacing w:line="500" w:lineRule="exact"/>
              <w:ind w:firstLineChars="200" w:firstLine="560"/>
              <w:rPr>
                <w:rFonts w:ascii="宋体" w:eastAsia="宋体" w:hAnsi="宋体"/>
                <w:bCs/>
                <w:sz w:val="28"/>
                <w:szCs w:val="28"/>
              </w:rPr>
            </w:pPr>
            <w:r w:rsidRPr="00904B80">
              <w:rPr>
                <w:rFonts w:ascii="宋体" w:eastAsia="宋体" w:hAnsi="宋体" w:hint="eastAsia"/>
                <w:bCs/>
                <w:sz w:val="28"/>
                <w:szCs w:val="28"/>
              </w:rPr>
              <w:t>磁体方面，差异化、多元化布局磁材下游领域，构建全产业链多品种优势，提升稀土磁性材料板块的综合竞争力。公司正加速推进产能建设与技术升级，与子公司北方磁材及安泰科技合资成立的安泰北方，已建成5000吨/年稀土永磁产业化项目；联合宁波招宝磁业、苏州通润驱动、宁波西磁科技共同投资设立北方招宝，实施3000吨/年高性能钕铁硼磁性材料项目，进一步满足高端永磁电机、机器人、智能装备等领域的磁材需求。</w:t>
            </w:r>
          </w:p>
          <w:p w14:paraId="0833814A" w14:textId="6F963420" w:rsidR="00404D03" w:rsidRPr="00BD041E" w:rsidRDefault="00404D03" w:rsidP="00404D03">
            <w:pPr>
              <w:spacing w:line="500" w:lineRule="exact"/>
              <w:ind w:firstLineChars="200" w:firstLine="562"/>
              <w:rPr>
                <w:rFonts w:ascii="宋体" w:eastAsia="宋体" w:hAnsi="宋体"/>
                <w:b/>
                <w:bCs/>
                <w:sz w:val="28"/>
                <w:szCs w:val="28"/>
              </w:rPr>
            </w:pPr>
            <w:r w:rsidRPr="00BD041E">
              <w:rPr>
                <w:rFonts w:ascii="宋体" w:eastAsia="宋体" w:hAnsi="宋体" w:hint="eastAsia"/>
                <w:b/>
                <w:bCs/>
                <w:sz w:val="28"/>
                <w:szCs w:val="28"/>
              </w:rPr>
              <w:lastRenderedPageBreak/>
              <w:t>问：公司怎么看今年的稀土总量控制指标？</w:t>
            </w:r>
          </w:p>
          <w:p w14:paraId="307C6531" w14:textId="07980F78" w:rsidR="00404D03" w:rsidRDefault="00404D03" w:rsidP="00404D03">
            <w:pPr>
              <w:spacing w:line="500" w:lineRule="exact"/>
              <w:ind w:firstLineChars="200" w:firstLine="560"/>
              <w:rPr>
                <w:rFonts w:ascii="宋体" w:eastAsia="宋体" w:hAnsi="宋体"/>
                <w:bCs/>
                <w:sz w:val="28"/>
                <w:szCs w:val="28"/>
              </w:rPr>
            </w:pPr>
            <w:r w:rsidRPr="00404D03">
              <w:rPr>
                <w:rFonts w:ascii="宋体" w:eastAsia="宋体" w:hAnsi="宋体" w:hint="eastAsia"/>
                <w:bCs/>
                <w:sz w:val="28"/>
                <w:szCs w:val="28"/>
              </w:rPr>
              <w:t>答：《稀土管理条例》第十条明确规定：“国家根据稀土资源储量和种类差异、产业发展、生态保护、市场需求等因素，对稀土开采和稀土冶炼分离实行总量调控，并优化动态管理。具体办法由国务院工业和信息化主管部门会同国务院自然资源、发展改革等部门制定”。今年总量控制指标也是综合考虑市场、企业生产以及稀土行业的供应与需求情况综合制定的。</w:t>
            </w:r>
          </w:p>
          <w:p w14:paraId="39330F4D" w14:textId="77777777" w:rsidR="00404D03" w:rsidRPr="00BD041E" w:rsidRDefault="00404D03" w:rsidP="00404D03">
            <w:pPr>
              <w:spacing w:line="500" w:lineRule="exact"/>
              <w:ind w:firstLineChars="200" w:firstLine="562"/>
              <w:rPr>
                <w:rFonts w:ascii="宋体" w:eastAsia="宋体" w:hAnsi="宋体"/>
                <w:b/>
                <w:bCs/>
                <w:sz w:val="28"/>
                <w:szCs w:val="28"/>
              </w:rPr>
            </w:pPr>
            <w:r w:rsidRPr="00BD041E">
              <w:rPr>
                <w:rFonts w:ascii="宋体" w:eastAsia="宋体" w:hAnsi="宋体" w:hint="eastAsia"/>
                <w:b/>
                <w:bCs/>
                <w:sz w:val="28"/>
                <w:szCs w:val="28"/>
              </w:rPr>
              <w:t>问：中重稀土的出口政策目前有无变化？公司的出口情况怎样？是否受到影响？</w:t>
            </w:r>
          </w:p>
          <w:p w14:paraId="76DED336" w14:textId="77777777" w:rsidR="00404D03" w:rsidRPr="00404D03" w:rsidRDefault="00404D03" w:rsidP="00404D03">
            <w:pPr>
              <w:spacing w:line="500" w:lineRule="exact"/>
              <w:ind w:firstLineChars="200" w:firstLine="560"/>
              <w:rPr>
                <w:rFonts w:ascii="宋体" w:eastAsia="宋体" w:hAnsi="宋体"/>
                <w:bCs/>
                <w:sz w:val="28"/>
                <w:szCs w:val="28"/>
              </w:rPr>
            </w:pPr>
            <w:r w:rsidRPr="00404D03">
              <w:rPr>
                <w:rFonts w:ascii="宋体" w:eastAsia="宋体" w:hAnsi="宋体" w:hint="eastAsia"/>
                <w:bCs/>
                <w:sz w:val="28"/>
                <w:szCs w:val="28"/>
              </w:rPr>
              <w:t>答：国家出台的稀土产品出口管制政策，是要合规的管理稀土产品出口，也是从履行国家安全防护义务的角度去做稀土产品出口管控工作。公司坚决拥护执行国家出台的各项政策措施。从4月末开始，一些稀土企业陆续办理出口许可证，出口管制主要针对的是军民两用属性的中重稀土的物项进行出口许可管理，涉及镝、铽等7种中重稀土元素产品，需要申领两用物项出口许可，并明确最终用户和最终用途。</w:t>
            </w:r>
          </w:p>
          <w:p w14:paraId="5435A88A" w14:textId="0ADAFB9A" w:rsidR="00404D03" w:rsidRDefault="00404D03" w:rsidP="00404D03">
            <w:pPr>
              <w:spacing w:line="500" w:lineRule="exact"/>
              <w:ind w:firstLineChars="200" w:firstLine="560"/>
              <w:rPr>
                <w:rFonts w:ascii="宋体" w:eastAsia="宋体" w:hAnsi="宋体"/>
                <w:bCs/>
                <w:sz w:val="28"/>
                <w:szCs w:val="28"/>
              </w:rPr>
            </w:pPr>
            <w:r w:rsidRPr="00404D03">
              <w:rPr>
                <w:rFonts w:ascii="宋体" w:eastAsia="宋体" w:hAnsi="宋体" w:hint="eastAsia"/>
                <w:bCs/>
                <w:sz w:val="28"/>
                <w:szCs w:val="28"/>
              </w:rPr>
              <w:t>镧铈产品出口正常，镝铽等7种中重稀土元素产品的出口按管</w:t>
            </w:r>
            <w:r w:rsidR="00BB1239">
              <w:rPr>
                <w:rFonts w:ascii="宋体" w:eastAsia="宋体" w:hAnsi="宋体" w:hint="eastAsia"/>
                <w:bCs/>
                <w:sz w:val="28"/>
                <w:szCs w:val="28"/>
              </w:rPr>
              <w:t>制</w:t>
            </w:r>
            <w:r w:rsidRPr="00404D03">
              <w:rPr>
                <w:rFonts w:ascii="宋体" w:eastAsia="宋体" w:hAnsi="宋体" w:hint="eastAsia"/>
                <w:bCs/>
                <w:sz w:val="28"/>
                <w:szCs w:val="28"/>
              </w:rPr>
              <w:t>措施执行。公司主要以轻稀土产品出口为主，目前出口量占总销量比重较小，占公司整体营收的比重很小，所以受出口管制的影响也相对较小。</w:t>
            </w:r>
          </w:p>
          <w:p w14:paraId="2F4684A4" w14:textId="5DEC53E5" w:rsidR="00404D03" w:rsidRPr="00BD041E" w:rsidRDefault="00404D03" w:rsidP="00404D03">
            <w:pPr>
              <w:spacing w:line="500" w:lineRule="exact"/>
              <w:ind w:firstLineChars="200" w:firstLine="562"/>
              <w:rPr>
                <w:rFonts w:ascii="宋体" w:eastAsia="宋体" w:hAnsi="宋体"/>
                <w:b/>
                <w:bCs/>
                <w:sz w:val="28"/>
                <w:szCs w:val="28"/>
              </w:rPr>
            </w:pPr>
            <w:r w:rsidRPr="00590EFD">
              <w:rPr>
                <w:rFonts w:ascii="宋体" w:eastAsia="宋体" w:hAnsi="宋体" w:hint="eastAsia"/>
                <w:b/>
                <w:bCs/>
                <w:sz w:val="28"/>
                <w:szCs w:val="28"/>
              </w:rPr>
              <w:t>问：</w:t>
            </w:r>
            <w:r w:rsidR="00590EFD" w:rsidRPr="00590EFD">
              <w:rPr>
                <w:rFonts w:ascii="宋体" w:eastAsia="宋体" w:hAnsi="宋体" w:hint="eastAsia"/>
                <w:b/>
                <w:bCs/>
                <w:sz w:val="28"/>
                <w:szCs w:val="28"/>
              </w:rPr>
              <w:t>今年以来公司在市值管理方面开展了哪些工作？公司未来的分红规划是什么？</w:t>
            </w:r>
          </w:p>
          <w:p w14:paraId="1396FACD" w14:textId="77777777" w:rsidR="00590EFD" w:rsidRPr="00590EFD" w:rsidRDefault="00404D03" w:rsidP="00590EFD">
            <w:pPr>
              <w:spacing w:line="500" w:lineRule="exact"/>
              <w:ind w:firstLineChars="200" w:firstLine="560"/>
              <w:rPr>
                <w:rFonts w:ascii="宋体" w:eastAsia="宋体" w:hAnsi="宋体"/>
                <w:bCs/>
                <w:sz w:val="28"/>
                <w:szCs w:val="28"/>
              </w:rPr>
            </w:pPr>
            <w:r w:rsidRPr="00404D03">
              <w:rPr>
                <w:rFonts w:ascii="宋体" w:eastAsia="宋体" w:hAnsi="宋体" w:hint="eastAsia"/>
                <w:bCs/>
                <w:sz w:val="28"/>
                <w:szCs w:val="28"/>
              </w:rPr>
              <w:t>答：</w:t>
            </w:r>
            <w:r w:rsidR="00590EFD" w:rsidRPr="00590EFD">
              <w:rPr>
                <w:rFonts w:ascii="宋体" w:eastAsia="宋体" w:hAnsi="宋体" w:hint="eastAsia"/>
                <w:bCs/>
                <w:sz w:val="28"/>
                <w:szCs w:val="28"/>
              </w:rPr>
              <w:t>公司积极履行市值管理主体责任，在扎实做好生产经营、推动高质量发展基础上，依法合规运用信息披露、投资者关系管理、并购重组、现金分红、</w:t>
            </w:r>
            <w:r w:rsidR="00590EFD" w:rsidRPr="00590EFD">
              <w:rPr>
                <w:rFonts w:ascii="宋体" w:eastAsia="宋体" w:hAnsi="宋体" w:hint="eastAsia"/>
                <w:bCs/>
                <w:sz w:val="28"/>
                <w:szCs w:val="28"/>
              </w:rPr>
              <w:lastRenderedPageBreak/>
              <w:t>ESG与合规管理等市值管理工具，积极开展市值管理。公司结合实际制定了《市值管理办法》，明确了市值管理目的、基本原则、机构与职责、主要方式、监测预警机制和应急措施，为公司做好市值管理提供了制度遵循。</w:t>
            </w:r>
          </w:p>
          <w:p w14:paraId="22204BE3" w14:textId="77777777" w:rsidR="00590EFD" w:rsidRPr="00590EFD" w:rsidRDefault="00590EFD" w:rsidP="00590EFD">
            <w:pPr>
              <w:spacing w:line="500" w:lineRule="exact"/>
              <w:ind w:firstLineChars="200" w:firstLine="560"/>
              <w:rPr>
                <w:rFonts w:ascii="宋体" w:eastAsia="宋体" w:hAnsi="宋体"/>
                <w:bCs/>
                <w:sz w:val="28"/>
                <w:szCs w:val="28"/>
              </w:rPr>
            </w:pPr>
            <w:r w:rsidRPr="00590EFD">
              <w:rPr>
                <w:rFonts w:ascii="宋体" w:eastAsia="宋体" w:hAnsi="宋体" w:hint="eastAsia"/>
                <w:bCs/>
                <w:sz w:val="28"/>
                <w:szCs w:val="28"/>
              </w:rPr>
              <w:t>公司半年度经营业绩实现同比大幅增长，收入、利润、产值、市值保持行业第一，为公司开展市值管理、维护和促进市值提升奠定了坚实基础。</w:t>
            </w:r>
          </w:p>
          <w:p w14:paraId="4C0C0CE5" w14:textId="77777777" w:rsidR="00590EFD" w:rsidRPr="00590EFD" w:rsidRDefault="00590EFD" w:rsidP="00590EFD">
            <w:pPr>
              <w:spacing w:line="500" w:lineRule="exact"/>
              <w:ind w:firstLineChars="200" w:firstLine="560"/>
              <w:rPr>
                <w:rFonts w:ascii="宋体" w:eastAsia="宋体" w:hAnsi="宋体"/>
                <w:bCs/>
                <w:sz w:val="28"/>
                <w:szCs w:val="28"/>
              </w:rPr>
            </w:pPr>
            <w:r w:rsidRPr="00590EFD">
              <w:rPr>
                <w:rFonts w:ascii="宋体" w:eastAsia="宋体" w:hAnsi="宋体" w:hint="eastAsia"/>
                <w:bCs/>
                <w:sz w:val="28"/>
                <w:szCs w:val="28"/>
              </w:rPr>
              <w:t>2025年3月，基于对公司未来发展前景的信心及中长期投资价值的认可，公司控股股东包钢（集团）公司出资10亿元实施了增持公司股份计划，累计增持公司43,099,222股，占公司总股本的1.19%，增持完成后，包钢（集团）公司持有公司1,374,799,791股，占公司总股本的38.03%。</w:t>
            </w:r>
          </w:p>
          <w:p w14:paraId="05578756" w14:textId="77777777" w:rsidR="00590EFD" w:rsidRPr="00590EFD" w:rsidRDefault="00590EFD" w:rsidP="00590EFD">
            <w:pPr>
              <w:spacing w:line="500" w:lineRule="exact"/>
              <w:ind w:firstLineChars="200" w:firstLine="560"/>
              <w:rPr>
                <w:rFonts w:ascii="宋体" w:eastAsia="宋体" w:hAnsi="宋体"/>
                <w:bCs/>
                <w:sz w:val="28"/>
                <w:szCs w:val="28"/>
              </w:rPr>
            </w:pPr>
            <w:r w:rsidRPr="00590EFD">
              <w:rPr>
                <w:rFonts w:ascii="宋体" w:eastAsia="宋体" w:hAnsi="宋体" w:hint="eastAsia"/>
                <w:bCs/>
                <w:sz w:val="28"/>
                <w:szCs w:val="28"/>
              </w:rPr>
              <w:t>公司实施了2024年度利润分配，向全体股东现金分红1.27亿元（含税）。上市至今，公司现金分红22次，累计分红55.46亿元（其中2019年度公司以股份回购形式分红），分红水平位居以稀土为主营业务的行业上市公司首位，为投资者创造了丰厚的投资回报。</w:t>
            </w:r>
          </w:p>
          <w:p w14:paraId="09EF8F10" w14:textId="77777777" w:rsidR="00590EFD" w:rsidRPr="00590EFD" w:rsidRDefault="00590EFD" w:rsidP="00590EFD">
            <w:pPr>
              <w:spacing w:line="500" w:lineRule="exact"/>
              <w:ind w:firstLineChars="200" w:firstLine="560"/>
              <w:rPr>
                <w:rFonts w:ascii="宋体" w:eastAsia="宋体" w:hAnsi="宋体"/>
                <w:bCs/>
                <w:sz w:val="28"/>
                <w:szCs w:val="28"/>
              </w:rPr>
            </w:pPr>
            <w:r w:rsidRPr="00590EFD">
              <w:rPr>
                <w:rFonts w:ascii="宋体" w:eastAsia="宋体" w:hAnsi="宋体" w:hint="eastAsia"/>
                <w:bCs/>
                <w:sz w:val="28"/>
                <w:szCs w:val="28"/>
              </w:rPr>
              <w:t>公司以信息披露等合法合规方式向市场传递公司发展信息，披露定期报告2份，临时公告45份，及时向市场传递公司发展信息，提升公司透明度；接待投资者调研10场；主动“走出去”开展路演，通过参加券商策略会、拜访座谈等形式，与80余家机构投资者互动交流，交流机构数量同比增长1.7倍。定期报告披露后在上证路演中心及时召开业绩说明会，答复投资者提问，增进了投资者对公司的了解与认可。接听</w:t>
            </w:r>
            <w:r w:rsidRPr="00590EFD">
              <w:rPr>
                <w:rFonts w:ascii="宋体" w:eastAsia="宋体" w:hAnsi="宋体" w:hint="eastAsia"/>
                <w:bCs/>
                <w:sz w:val="28"/>
                <w:szCs w:val="28"/>
              </w:rPr>
              <w:lastRenderedPageBreak/>
              <w:t>投资者来电77次，接听次数同比提升1.1倍。“上证e互动”平台回答问题24个，“上市公司发布”栏目发布投关活动记录表10次，答复率100%，以良好ESG管理促进评级提升。</w:t>
            </w:r>
          </w:p>
          <w:p w14:paraId="465021B8" w14:textId="77777777" w:rsidR="00590EFD" w:rsidRPr="00590EFD" w:rsidRDefault="00590EFD" w:rsidP="00590EFD">
            <w:pPr>
              <w:spacing w:line="500" w:lineRule="exact"/>
              <w:ind w:firstLineChars="200" w:firstLine="560"/>
              <w:rPr>
                <w:rFonts w:ascii="宋体" w:eastAsia="宋体" w:hAnsi="宋体"/>
                <w:bCs/>
                <w:sz w:val="28"/>
                <w:szCs w:val="28"/>
              </w:rPr>
            </w:pPr>
            <w:r w:rsidRPr="00590EFD">
              <w:rPr>
                <w:rFonts w:ascii="宋体" w:eastAsia="宋体" w:hAnsi="宋体" w:hint="eastAsia"/>
                <w:bCs/>
                <w:sz w:val="28"/>
                <w:szCs w:val="28"/>
              </w:rPr>
              <w:t>中证指数公司对公司ESG评级由BBB提升至A；万得（Wind）对公司ESG评级由A提升至AA；公司在新华社品牌工作办公室、中国国家品牌网主办的2025世界品牌莫干山大会上荣获“金狮”ESG年度优秀环境责任案例。合规体系建设与运行日臻完善，合规驱动高质量发展效能持续增强。</w:t>
            </w:r>
          </w:p>
          <w:p w14:paraId="0B2A5F92" w14:textId="77777777" w:rsidR="00590EFD" w:rsidRPr="00590EFD" w:rsidRDefault="00590EFD" w:rsidP="00590EFD">
            <w:pPr>
              <w:spacing w:line="500" w:lineRule="exact"/>
              <w:ind w:firstLineChars="200" w:firstLine="560"/>
              <w:rPr>
                <w:rFonts w:ascii="宋体" w:eastAsia="宋体" w:hAnsi="宋体"/>
                <w:bCs/>
                <w:sz w:val="28"/>
                <w:szCs w:val="28"/>
              </w:rPr>
            </w:pPr>
            <w:r w:rsidRPr="00590EFD">
              <w:rPr>
                <w:rFonts w:ascii="宋体" w:eastAsia="宋体" w:hAnsi="宋体" w:hint="eastAsia"/>
                <w:bCs/>
                <w:sz w:val="28"/>
                <w:szCs w:val="28"/>
              </w:rPr>
              <w:t>今年以来，公司市值稳步上行，市值表现强于大盘等主要指数，市值规模长期保持行业第一。依托公司行业地位、影响力和市值规模，公司股票首次入选中证A50指数成分股，公司资本市场关注度和投资价值吸引力进一步增强。年初公司市值767亿元，2025年8月28日市值2029亿元，较年初增长165%；公司市值大幅上涨引领带动了稀土永磁板块上市公司市值整体上涨。</w:t>
            </w:r>
          </w:p>
          <w:p w14:paraId="3019C167" w14:textId="73A121B4" w:rsidR="00404D03" w:rsidRDefault="00590EFD" w:rsidP="00590EFD">
            <w:pPr>
              <w:spacing w:line="500" w:lineRule="exact"/>
              <w:ind w:firstLineChars="200" w:firstLine="560"/>
              <w:rPr>
                <w:rFonts w:ascii="宋体" w:eastAsia="宋体" w:hAnsi="宋体"/>
                <w:bCs/>
                <w:sz w:val="28"/>
                <w:szCs w:val="28"/>
              </w:rPr>
            </w:pPr>
            <w:r w:rsidRPr="00590EFD">
              <w:rPr>
                <w:rFonts w:ascii="宋体" w:eastAsia="宋体" w:hAnsi="宋体" w:hint="eastAsia"/>
                <w:bCs/>
                <w:sz w:val="28"/>
                <w:szCs w:val="28"/>
              </w:rPr>
              <w:t>未来，公司将在全力推动提升经营质量和价值创造能力的基础上，结合行业发展、自身经营模式、盈利水平以及重大资金支出安排等因素，推动提高分红率，增强分红稳定性、持续性和可预期性，力争为股东创造更好的投资回报。</w:t>
            </w:r>
          </w:p>
          <w:p w14:paraId="29DC7149" w14:textId="77777777" w:rsidR="00404D03" w:rsidRPr="00BD041E" w:rsidRDefault="00404D03" w:rsidP="00404D03">
            <w:pPr>
              <w:spacing w:line="500" w:lineRule="exact"/>
              <w:ind w:firstLineChars="200" w:firstLine="562"/>
              <w:rPr>
                <w:rFonts w:ascii="宋体" w:eastAsia="宋体" w:hAnsi="宋体"/>
                <w:b/>
                <w:bCs/>
                <w:sz w:val="28"/>
                <w:szCs w:val="28"/>
              </w:rPr>
            </w:pPr>
            <w:r w:rsidRPr="00BD041E">
              <w:rPr>
                <w:rFonts w:ascii="宋体" w:eastAsia="宋体" w:hAnsi="宋体" w:hint="eastAsia"/>
                <w:b/>
                <w:bCs/>
                <w:sz w:val="28"/>
                <w:szCs w:val="28"/>
              </w:rPr>
              <w:t>问：公司对未来稀土行业下游需求有何预期？</w:t>
            </w:r>
          </w:p>
          <w:p w14:paraId="19A3211A" w14:textId="77777777" w:rsidR="00904B80" w:rsidRPr="00904B80" w:rsidRDefault="00404D03" w:rsidP="00904B80">
            <w:pPr>
              <w:spacing w:line="500" w:lineRule="exact"/>
              <w:ind w:firstLineChars="200" w:firstLine="560"/>
              <w:rPr>
                <w:rFonts w:ascii="宋体" w:eastAsia="宋体" w:hAnsi="宋体"/>
                <w:bCs/>
                <w:sz w:val="28"/>
                <w:szCs w:val="28"/>
              </w:rPr>
            </w:pPr>
            <w:r w:rsidRPr="00404D03">
              <w:rPr>
                <w:rFonts w:ascii="宋体" w:eastAsia="宋体" w:hAnsi="宋体" w:hint="eastAsia"/>
                <w:bCs/>
                <w:sz w:val="28"/>
                <w:szCs w:val="28"/>
              </w:rPr>
              <w:t>答：</w:t>
            </w:r>
            <w:r w:rsidR="00904B80" w:rsidRPr="00904B80">
              <w:rPr>
                <w:rFonts w:ascii="宋体" w:eastAsia="宋体" w:hAnsi="宋体" w:hint="eastAsia"/>
                <w:bCs/>
                <w:sz w:val="28"/>
                <w:szCs w:val="28"/>
              </w:rPr>
              <w:t>为响应国家“2030年碳达峰、2060年碳中和”目标，在构建以新能源为主体的新型电力系统及节能减排的新需求驱动下，以永磁同步技术为代表的相关</w:t>
            </w:r>
            <w:r w:rsidR="00904B80" w:rsidRPr="00904B80">
              <w:rPr>
                <w:rFonts w:ascii="宋体" w:eastAsia="宋体" w:hAnsi="宋体" w:hint="eastAsia"/>
                <w:bCs/>
                <w:sz w:val="28"/>
                <w:szCs w:val="28"/>
              </w:rPr>
              <w:lastRenderedPageBreak/>
              <w:t>技术在一定领域将带动稀土行业需求成为主流。</w:t>
            </w:r>
          </w:p>
          <w:p w14:paraId="65374D5F" w14:textId="18D9F226" w:rsidR="00404D03" w:rsidRDefault="00904B80" w:rsidP="00904B80">
            <w:pPr>
              <w:spacing w:line="500" w:lineRule="exact"/>
              <w:ind w:firstLineChars="200" w:firstLine="560"/>
              <w:rPr>
                <w:rFonts w:ascii="宋体" w:eastAsia="宋体" w:hAnsi="宋体"/>
                <w:bCs/>
                <w:sz w:val="28"/>
                <w:szCs w:val="28"/>
              </w:rPr>
            </w:pPr>
            <w:r w:rsidRPr="00904B80">
              <w:rPr>
                <w:rFonts w:ascii="宋体" w:eastAsia="宋体" w:hAnsi="宋体" w:hint="eastAsia"/>
                <w:bCs/>
                <w:sz w:val="28"/>
                <w:szCs w:val="28"/>
              </w:rPr>
              <w:t>近年来，在绿色低碳及“万物电驱”发展的背景下，磁材需求量增幅在10%左右，预计2025年将保持这一趋势。风电、新能源汽车以及人形机器人、低空经济等新兴领域迅速发展，为下游需求增长提供有力支撑。另外，手机盖板、半导体、芯片将带来下游抛光粉产业的发展，贮氢在储能发展的背景下会有新的增量，永磁电机在“两重两新”政策推动下也会有明显增长。因此，公司对未来稀土行业下游需求增长持乐观态度。</w:t>
            </w:r>
          </w:p>
          <w:p w14:paraId="01180019" w14:textId="77777777" w:rsidR="00404D03" w:rsidRPr="00BD041E" w:rsidRDefault="00404D03" w:rsidP="00404D03">
            <w:pPr>
              <w:spacing w:line="500" w:lineRule="exact"/>
              <w:ind w:firstLineChars="200" w:firstLine="562"/>
              <w:rPr>
                <w:rFonts w:ascii="宋体" w:eastAsia="宋体" w:hAnsi="宋体"/>
                <w:b/>
                <w:bCs/>
                <w:sz w:val="28"/>
                <w:szCs w:val="28"/>
              </w:rPr>
            </w:pPr>
            <w:r w:rsidRPr="00BD041E">
              <w:rPr>
                <w:rFonts w:ascii="宋体" w:eastAsia="宋体" w:hAnsi="宋体" w:hint="eastAsia"/>
                <w:b/>
                <w:bCs/>
                <w:sz w:val="28"/>
                <w:szCs w:val="28"/>
              </w:rPr>
              <w:t>问：公司与包钢股份稀土精矿交易定价机制如何？</w:t>
            </w:r>
          </w:p>
          <w:p w14:paraId="7597A158" w14:textId="77777777" w:rsidR="00404D03" w:rsidRDefault="00404D03" w:rsidP="00404D03">
            <w:pPr>
              <w:spacing w:line="500" w:lineRule="exact"/>
              <w:ind w:firstLineChars="200" w:firstLine="560"/>
              <w:rPr>
                <w:rFonts w:ascii="宋体" w:eastAsia="宋体" w:hAnsi="宋体"/>
                <w:bCs/>
                <w:sz w:val="28"/>
                <w:szCs w:val="28"/>
              </w:rPr>
            </w:pPr>
            <w:r w:rsidRPr="00404D03">
              <w:rPr>
                <w:rFonts w:ascii="宋体" w:eastAsia="宋体" w:hAnsi="宋体" w:hint="eastAsia"/>
                <w:bCs/>
                <w:sz w:val="28"/>
                <w:szCs w:val="28"/>
              </w:rPr>
              <w:t>答：公司与包钢股份稀土精矿交易定价机制按照公司2023年第一次临时股东大会通过的《关于稀土精矿日常关联交易定价机制暨2022年度执行及2023年度预计的议案》执行，即自2023年4月1日起，在稀土精矿定价公式不变的情况下，每季度首月上旬，公司根据定价公式计算、调整稀土精矿价格，重新签订稀土精矿供应合同或补充协议并公告。目前，该定价机制运行稳定。</w:t>
            </w:r>
          </w:p>
          <w:p w14:paraId="38BC7EFE" w14:textId="77777777" w:rsidR="00404D03" w:rsidRPr="00BD041E" w:rsidRDefault="00404D03" w:rsidP="00404D03">
            <w:pPr>
              <w:spacing w:line="500" w:lineRule="exact"/>
              <w:ind w:firstLineChars="200" w:firstLine="562"/>
              <w:rPr>
                <w:rFonts w:ascii="宋体" w:eastAsia="宋体" w:hAnsi="宋体"/>
                <w:b/>
                <w:bCs/>
                <w:sz w:val="28"/>
                <w:szCs w:val="28"/>
              </w:rPr>
            </w:pPr>
            <w:r w:rsidRPr="00BD041E">
              <w:rPr>
                <w:rFonts w:ascii="宋体" w:eastAsia="宋体" w:hAnsi="宋体" w:hint="eastAsia"/>
                <w:b/>
                <w:bCs/>
                <w:sz w:val="28"/>
                <w:szCs w:val="28"/>
              </w:rPr>
              <w:t>问：最近公司在包头稀土产品交易所做的稀土产品拍卖是出于什么考虑？</w:t>
            </w:r>
          </w:p>
          <w:p w14:paraId="18B26B63" w14:textId="77777777" w:rsidR="00404D03" w:rsidRDefault="00404D03" w:rsidP="00404D03">
            <w:pPr>
              <w:spacing w:line="500" w:lineRule="exact"/>
              <w:ind w:firstLineChars="200" w:firstLine="560"/>
              <w:rPr>
                <w:rFonts w:ascii="宋体" w:eastAsia="宋体" w:hAnsi="宋体"/>
                <w:bCs/>
                <w:sz w:val="28"/>
                <w:szCs w:val="28"/>
              </w:rPr>
            </w:pPr>
            <w:r w:rsidRPr="00404D03">
              <w:rPr>
                <w:rFonts w:ascii="宋体" w:eastAsia="宋体" w:hAnsi="宋体" w:hint="eastAsia"/>
                <w:bCs/>
                <w:sz w:val="28"/>
                <w:szCs w:val="28"/>
              </w:rPr>
              <w:t>答：竞拍是公司向下游企业出售的稀土产品的一种销售模式，是公司为了更加贴合市场、适应市场、检验产品价格与市场契合度做出的举措之一，近期由于稀土产品价格上涨受到了更多的关注。稀土产品的价格受市场供需影响，但市场预期也会影响价格。目</w:t>
            </w:r>
            <w:r w:rsidRPr="00404D03">
              <w:rPr>
                <w:rFonts w:ascii="宋体" w:eastAsia="宋体" w:hAnsi="宋体" w:hint="eastAsia"/>
                <w:bCs/>
                <w:sz w:val="28"/>
                <w:szCs w:val="28"/>
              </w:rPr>
              <w:lastRenderedPageBreak/>
              <w:t>前稀土产品的价格在逐步上移，公司拿出一部分稀土产品放到包头稀土产品交易所拍卖，通过实际成交情况研判下游应用和终端客户对稀土产品价格的接受程度。</w:t>
            </w:r>
          </w:p>
          <w:p w14:paraId="314DD2FB" w14:textId="77777777" w:rsidR="00404D03" w:rsidRPr="00BD041E" w:rsidRDefault="00404D03" w:rsidP="00404D03">
            <w:pPr>
              <w:spacing w:line="500" w:lineRule="exact"/>
              <w:ind w:firstLineChars="200" w:firstLine="562"/>
              <w:rPr>
                <w:rFonts w:ascii="宋体" w:eastAsia="宋体" w:hAnsi="宋体"/>
                <w:b/>
                <w:bCs/>
                <w:sz w:val="28"/>
                <w:szCs w:val="28"/>
              </w:rPr>
            </w:pPr>
            <w:r w:rsidRPr="00BD041E">
              <w:rPr>
                <w:rFonts w:ascii="宋体" w:eastAsia="宋体" w:hAnsi="宋体" w:hint="eastAsia"/>
                <w:b/>
                <w:bCs/>
                <w:sz w:val="28"/>
                <w:szCs w:val="28"/>
              </w:rPr>
              <w:t>问：公司对于整合两大稀土集团以外的冶炼分离资产有何考虑？</w:t>
            </w:r>
          </w:p>
          <w:p w14:paraId="450E2C7F" w14:textId="0D3F494D" w:rsidR="00404D03" w:rsidRDefault="00404D03" w:rsidP="00974A33">
            <w:pPr>
              <w:spacing w:line="500" w:lineRule="exact"/>
              <w:ind w:firstLineChars="200" w:firstLine="560"/>
              <w:rPr>
                <w:rFonts w:ascii="宋体" w:eastAsia="宋体" w:hAnsi="宋体"/>
                <w:bCs/>
                <w:sz w:val="28"/>
                <w:szCs w:val="28"/>
              </w:rPr>
            </w:pPr>
            <w:r w:rsidRPr="00404D03">
              <w:rPr>
                <w:rFonts w:ascii="宋体" w:eastAsia="宋体" w:hAnsi="宋体" w:hint="eastAsia"/>
                <w:bCs/>
                <w:sz w:val="28"/>
                <w:szCs w:val="28"/>
              </w:rPr>
              <w:t>答：《稀土管理条例》及相关细则实施以来，国家一直在收紧对上游冶炼分离、废料回收、境外资源的管控。</w:t>
            </w:r>
            <w:r w:rsidR="009C4A07">
              <w:rPr>
                <w:rFonts w:ascii="宋体" w:eastAsia="宋体" w:hAnsi="宋体" w:hint="eastAsia"/>
                <w:bCs/>
                <w:sz w:val="28"/>
                <w:szCs w:val="28"/>
              </w:rPr>
              <w:t>为进一步提升公司稀土资源供给能力和高质化综合利用水平，增强稀土资源优势和原料产业竞争力，合作共同打造一条品种齐全、工艺技术领先的稀土分离示范线，</w:t>
            </w:r>
            <w:r w:rsidR="006C5577">
              <w:rPr>
                <w:rFonts w:ascii="宋体" w:eastAsia="宋体" w:hAnsi="宋体" w:hint="eastAsia"/>
                <w:bCs/>
                <w:sz w:val="28"/>
                <w:szCs w:val="28"/>
              </w:rPr>
              <w:t>公司与福建省金龙稀土股份有限公司合资成立北方金龙（包头）稀土有限公司</w:t>
            </w:r>
            <w:r w:rsidR="00BB1239">
              <w:rPr>
                <w:rFonts w:ascii="宋体" w:eastAsia="宋体" w:hAnsi="宋体" w:hint="eastAsia"/>
                <w:bCs/>
                <w:sz w:val="28"/>
                <w:szCs w:val="28"/>
              </w:rPr>
              <w:t>，</w:t>
            </w:r>
            <w:r w:rsidR="00974A33" w:rsidRPr="001C6156">
              <w:rPr>
                <w:rFonts w:ascii="宋体" w:eastAsia="宋体" w:hAnsi="宋体" w:hint="eastAsia"/>
                <w:bCs/>
                <w:sz w:val="28"/>
                <w:szCs w:val="28"/>
              </w:rPr>
              <w:t>并</w:t>
            </w:r>
            <w:r w:rsidR="006C5577" w:rsidRPr="001C6156">
              <w:rPr>
                <w:rFonts w:ascii="宋体" w:eastAsia="宋体" w:hAnsi="宋体" w:hint="eastAsia"/>
                <w:bCs/>
                <w:sz w:val="28"/>
                <w:szCs w:val="28"/>
              </w:rPr>
              <w:t>以北方金龙为主体建设年产5000吨氧化稀土分离生产线项目</w:t>
            </w:r>
            <w:r w:rsidR="00974A33" w:rsidRPr="001C6156">
              <w:rPr>
                <w:rFonts w:ascii="宋体" w:eastAsia="宋体" w:hAnsi="宋体" w:hint="eastAsia"/>
                <w:bCs/>
                <w:sz w:val="28"/>
                <w:szCs w:val="28"/>
              </w:rPr>
              <w:t>，</w:t>
            </w:r>
            <w:r w:rsidR="00BB1239" w:rsidRPr="001C6156">
              <w:rPr>
                <w:rFonts w:ascii="宋体" w:eastAsia="宋体" w:hAnsi="宋体" w:hint="eastAsia"/>
                <w:bCs/>
                <w:sz w:val="28"/>
                <w:szCs w:val="28"/>
              </w:rPr>
              <w:t>新公司</w:t>
            </w:r>
            <w:r w:rsidR="00974A33" w:rsidRPr="001C6156">
              <w:rPr>
                <w:rFonts w:ascii="宋体" w:eastAsia="宋体" w:hAnsi="宋体" w:hint="eastAsia"/>
                <w:bCs/>
                <w:sz w:val="28"/>
                <w:szCs w:val="28"/>
              </w:rPr>
              <w:t>已完成工商注册登记</w:t>
            </w:r>
            <w:r w:rsidR="00BB1239" w:rsidRPr="001C6156">
              <w:rPr>
                <w:rFonts w:ascii="宋体" w:eastAsia="宋体" w:hAnsi="宋体" w:hint="eastAsia"/>
                <w:bCs/>
                <w:sz w:val="28"/>
                <w:szCs w:val="28"/>
              </w:rPr>
              <w:t>，目前正在</w:t>
            </w:r>
            <w:r w:rsidR="001C6156" w:rsidRPr="001C6156">
              <w:rPr>
                <w:rFonts w:ascii="宋体" w:eastAsia="宋体" w:hAnsi="宋体" w:hint="eastAsia"/>
                <w:bCs/>
                <w:sz w:val="28"/>
                <w:szCs w:val="28"/>
              </w:rPr>
              <w:t>进</w:t>
            </w:r>
            <w:r w:rsidR="001C6156">
              <w:rPr>
                <w:rFonts w:ascii="宋体" w:eastAsia="宋体" w:hAnsi="宋体" w:hint="eastAsia"/>
                <w:bCs/>
                <w:sz w:val="28"/>
                <w:szCs w:val="28"/>
              </w:rPr>
              <w:t>行项目前期筹备</w:t>
            </w:r>
            <w:r w:rsidR="00974A33">
              <w:rPr>
                <w:rFonts w:ascii="宋体" w:eastAsia="宋体" w:hAnsi="宋体" w:hint="eastAsia"/>
                <w:bCs/>
                <w:sz w:val="28"/>
                <w:szCs w:val="28"/>
              </w:rPr>
              <w:t>。</w:t>
            </w:r>
            <w:r w:rsidRPr="00404D03">
              <w:rPr>
                <w:rFonts w:ascii="宋体" w:eastAsia="宋体" w:hAnsi="宋体" w:hint="eastAsia"/>
                <w:bCs/>
                <w:sz w:val="28"/>
                <w:szCs w:val="28"/>
              </w:rPr>
              <w:t>未来，公司将进一步加强对冶炼</w:t>
            </w:r>
            <w:bookmarkStart w:id="0" w:name="_GoBack"/>
            <w:bookmarkEnd w:id="0"/>
            <w:r w:rsidRPr="00404D03">
              <w:rPr>
                <w:rFonts w:ascii="宋体" w:eastAsia="宋体" w:hAnsi="宋体" w:hint="eastAsia"/>
                <w:bCs/>
                <w:sz w:val="28"/>
                <w:szCs w:val="28"/>
              </w:rPr>
              <w:t>分离企业整合，增强竞争力，推动行业可持续高质量发展。</w:t>
            </w:r>
          </w:p>
          <w:p w14:paraId="7A505D4A" w14:textId="77777777" w:rsidR="00590EFD" w:rsidRDefault="00590EFD" w:rsidP="00590EFD">
            <w:pPr>
              <w:spacing w:line="500" w:lineRule="exact"/>
              <w:ind w:firstLineChars="200" w:firstLine="562"/>
              <w:rPr>
                <w:rFonts w:ascii="宋体" w:eastAsia="宋体" w:hAnsi="宋体"/>
                <w:b/>
                <w:bCs/>
                <w:sz w:val="28"/>
                <w:szCs w:val="28"/>
              </w:rPr>
            </w:pPr>
            <w:r w:rsidRPr="00590EFD">
              <w:rPr>
                <w:rFonts w:ascii="宋体" w:eastAsia="宋体" w:hAnsi="宋体" w:hint="eastAsia"/>
                <w:b/>
                <w:bCs/>
                <w:sz w:val="28"/>
                <w:szCs w:val="28"/>
              </w:rPr>
              <w:t>问：在中高端、高附加值产品方面，公司有何新进展、新规划？</w:t>
            </w:r>
          </w:p>
          <w:p w14:paraId="75836CD0" w14:textId="450E9844" w:rsidR="00590EFD" w:rsidRPr="00590EFD" w:rsidRDefault="00590EFD" w:rsidP="00590EFD">
            <w:pPr>
              <w:spacing w:line="500" w:lineRule="exact"/>
              <w:ind w:firstLineChars="200" w:firstLine="560"/>
              <w:rPr>
                <w:rFonts w:ascii="宋体" w:eastAsia="宋体" w:hAnsi="宋体"/>
                <w:bCs/>
                <w:sz w:val="28"/>
                <w:szCs w:val="28"/>
              </w:rPr>
            </w:pPr>
            <w:r w:rsidRPr="00590EFD">
              <w:rPr>
                <w:rFonts w:ascii="宋体" w:eastAsia="宋体" w:hAnsi="宋体" w:hint="eastAsia"/>
                <w:bCs/>
                <w:sz w:val="28"/>
                <w:szCs w:val="28"/>
              </w:rPr>
              <w:t>答：在中高端、高附加值产品方面，重点围绕建链、强链、补链、延链，加大攻关力度，依靠资源优势做强稀土磁性材料、稀土储氢材料、稀土抛光材料、稀土合金材料，推进稀土助剂材料研发及高丰度稀土元素高值化利用。稀土磁性材料及应用方面，重点围绕研制高性能钕铁硼永磁材料、航空航天用钐钴磁性材料、磁致伸缩材料等开展技术攻关，针对新能源汽车、人形机器人、低空经济等领域，开展微特稀土永</w:t>
            </w:r>
            <w:r w:rsidRPr="00590EFD">
              <w:rPr>
                <w:rFonts w:ascii="宋体" w:eastAsia="宋体" w:hAnsi="宋体" w:hint="eastAsia"/>
                <w:bCs/>
                <w:sz w:val="28"/>
                <w:szCs w:val="28"/>
              </w:rPr>
              <w:lastRenderedPageBreak/>
              <w:t>磁电机的研发工作。稀土储氢材料及应用方面，开展高能量密度稀土储氢材料及高容量稀土改性储氢材料研究，开发固态储氢装置及系统开发及产业化技术研究，实现在两轮车、叉车、船舶、分布式储能、加氢站等领域的规模化应用。稀土抛光材料重点开展高性能用纳米氧化抛光材料研究；稀土金属及合金材料重点围绕高纯稀土金属及靶材、稀土铝镁合金及应用开展研究；高分子材料功能助剂重点开展稀土热稳定剂、阻燃剂、聚乳酸用功能助剂等，推动产业链延伸。高丰度稀土元素高值化利用方面，围绕镧、铈等高丰度元素，研制稀土改性绿色节能涂料、稀土改性工业防腐涂料、稀土陶瓷材料、稀土耐火材料等，丰富产品规格，拓展应用领域。</w:t>
            </w:r>
          </w:p>
        </w:tc>
      </w:tr>
      <w:tr w:rsidR="00F91989" w14:paraId="0EB3F314" w14:textId="77777777">
        <w:trPr>
          <w:jc w:val="center"/>
        </w:trPr>
        <w:tc>
          <w:tcPr>
            <w:tcW w:w="8789" w:type="dxa"/>
            <w:gridSpan w:val="2"/>
            <w:vAlign w:val="center"/>
          </w:tcPr>
          <w:p w14:paraId="5E737748" w14:textId="77777777" w:rsidR="00F91989" w:rsidRDefault="006E5441">
            <w:pPr>
              <w:spacing w:line="500" w:lineRule="exact"/>
              <w:rPr>
                <w:rFonts w:ascii="宋体" w:eastAsia="宋体" w:hAnsi="宋体"/>
                <w:sz w:val="28"/>
                <w:szCs w:val="28"/>
              </w:rPr>
            </w:pPr>
            <w:r>
              <w:rPr>
                <w:rFonts w:ascii="宋体" w:eastAsia="宋体" w:hAnsi="宋体" w:hint="eastAsia"/>
                <w:sz w:val="28"/>
                <w:szCs w:val="28"/>
              </w:rPr>
              <w:lastRenderedPageBreak/>
              <w:t>注：公司严格遵守信息披露法律法规与投资者交流，如涉及公司战略规划等意向性目标，不视为公司或管理层对公司业绩的保证或承诺，敬请广大投资者注意投资风险。</w:t>
            </w:r>
          </w:p>
        </w:tc>
      </w:tr>
    </w:tbl>
    <w:p w14:paraId="28810BA7" w14:textId="77777777" w:rsidR="00F91989" w:rsidRDefault="00F91989">
      <w:pPr>
        <w:spacing w:line="20" w:lineRule="exact"/>
        <w:rPr>
          <w:rFonts w:ascii="宋体" w:eastAsia="宋体" w:hAnsi="宋体"/>
          <w:sz w:val="24"/>
        </w:rPr>
      </w:pPr>
    </w:p>
    <w:sectPr w:rsidR="00F91989">
      <w:headerReference w:type="default" r:id="rId6"/>
      <w:footerReference w:type="default" r:id="rId7"/>
      <w:pgSz w:w="11906" w:h="16838"/>
      <w:pgMar w:top="1440" w:right="1800" w:bottom="1440" w:left="1800" w:header="680"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0879B" w14:textId="77777777" w:rsidR="00AB5801" w:rsidRDefault="00AB5801">
      <w:pPr>
        <w:spacing w:line="240" w:lineRule="auto"/>
      </w:pPr>
      <w:r>
        <w:separator/>
      </w:r>
    </w:p>
  </w:endnote>
  <w:endnote w:type="continuationSeparator" w:id="0">
    <w:p w14:paraId="41EFCDC7" w14:textId="77777777" w:rsidR="00AB5801" w:rsidRDefault="00AB58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0574822"/>
    </w:sdtPr>
    <w:sdtEndPr>
      <w:rPr>
        <w:rFonts w:ascii="宋体" w:eastAsia="宋体" w:hAnsi="宋体"/>
        <w:sz w:val="28"/>
        <w:szCs w:val="28"/>
      </w:rPr>
    </w:sdtEndPr>
    <w:sdtContent>
      <w:p w14:paraId="0FABC26F" w14:textId="77777777" w:rsidR="00F91989" w:rsidRDefault="006E5441">
        <w:pPr>
          <w:pStyle w:val="a5"/>
          <w:jc w:val="center"/>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7F4EB5" w:rsidRPr="007F4EB5">
          <w:rPr>
            <w:rFonts w:ascii="宋体" w:eastAsia="宋体" w:hAnsi="宋体"/>
            <w:noProof/>
            <w:sz w:val="28"/>
            <w:szCs w:val="28"/>
            <w:lang w:val="zh-CN"/>
          </w:rPr>
          <w:t>7</w:t>
        </w:r>
        <w:r>
          <w:rPr>
            <w:rFonts w:ascii="宋体" w:eastAsia="宋体" w:hAnsi="宋体"/>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A27A42" w14:textId="77777777" w:rsidR="00AB5801" w:rsidRDefault="00AB5801">
      <w:pPr>
        <w:spacing w:line="240" w:lineRule="auto"/>
      </w:pPr>
      <w:r>
        <w:separator/>
      </w:r>
    </w:p>
  </w:footnote>
  <w:footnote w:type="continuationSeparator" w:id="0">
    <w:p w14:paraId="79B53652" w14:textId="77777777" w:rsidR="00AB5801" w:rsidRDefault="00AB580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F9621" w14:textId="77777777" w:rsidR="00F91989" w:rsidRDefault="006E5441">
    <w:pPr>
      <w:rPr>
        <w:rFonts w:ascii="宋体" w:eastAsia="宋体" w:hAnsi="宋体"/>
        <w:sz w:val="21"/>
        <w:szCs w:val="21"/>
        <w:u w:val="single"/>
      </w:rPr>
    </w:pPr>
    <w:r>
      <w:rPr>
        <w:rFonts w:ascii="宋体" w:eastAsia="宋体" w:hAnsi="宋体" w:hint="eastAsia"/>
        <w:sz w:val="21"/>
        <w:szCs w:val="21"/>
        <w:u w:val="single"/>
      </w:rPr>
      <w:t>证券代码：6</w:t>
    </w:r>
    <w:r>
      <w:rPr>
        <w:rFonts w:ascii="宋体" w:eastAsia="宋体" w:hAnsi="宋体"/>
        <w:sz w:val="21"/>
        <w:szCs w:val="21"/>
        <w:u w:val="single"/>
      </w:rPr>
      <w:t xml:space="preserve">00111                                             </w:t>
    </w:r>
    <w:r>
      <w:rPr>
        <w:rFonts w:ascii="宋体" w:eastAsia="宋体" w:hAnsi="宋体" w:hint="eastAsia"/>
        <w:sz w:val="21"/>
        <w:szCs w:val="21"/>
        <w:u w:val="single"/>
      </w:rPr>
      <w:t>证券简称：北方稀土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60"/>
  <w:drawingGridVerticalSpacing w:val="435"/>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hMWU3OTQ1MzFjMDUwMTY1ZjNjNTM5NWFhODc5NDMifQ=="/>
  </w:docVars>
  <w:rsids>
    <w:rsidRoot w:val="00C441BB"/>
    <w:rsid w:val="00002450"/>
    <w:rsid w:val="00003ACB"/>
    <w:rsid w:val="00003E6D"/>
    <w:rsid w:val="000063B6"/>
    <w:rsid w:val="000065B7"/>
    <w:rsid w:val="0000669A"/>
    <w:rsid w:val="000075FA"/>
    <w:rsid w:val="00007F1B"/>
    <w:rsid w:val="0001045D"/>
    <w:rsid w:val="000128CB"/>
    <w:rsid w:val="000147D4"/>
    <w:rsid w:val="000169C8"/>
    <w:rsid w:val="000206A8"/>
    <w:rsid w:val="00021068"/>
    <w:rsid w:val="00021239"/>
    <w:rsid w:val="00022896"/>
    <w:rsid w:val="00022AA2"/>
    <w:rsid w:val="00023713"/>
    <w:rsid w:val="00025480"/>
    <w:rsid w:val="0003014A"/>
    <w:rsid w:val="00031806"/>
    <w:rsid w:val="00032F0D"/>
    <w:rsid w:val="000346FE"/>
    <w:rsid w:val="00036037"/>
    <w:rsid w:val="00036970"/>
    <w:rsid w:val="00037106"/>
    <w:rsid w:val="000377E4"/>
    <w:rsid w:val="00037B97"/>
    <w:rsid w:val="00042AFC"/>
    <w:rsid w:val="00044341"/>
    <w:rsid w:val="00044BE2"/>
    <w:rsid w:val="00046FE4"/>
    <w:rsid w:val="000477F1"/>
    <w:rsid w:val="0005078F"/>
    <w:rsid w:val="00050A51"/>
    <w:rsid w:val="0005145E"/>
    <w:rsid w:val="0005230D"/>
    <w:rsid w:val="0005319A"/>
    <w:rsid w:val="00053D25"/>
    <w:rsid w:val="00056687"/>
    <w:rsid w:val="00057226"/>
    <w:rsid w:val="00060C58"/>
    <w:rsid w:val="0006189F"/>
    <w:rsid w:val="000625FA"/>
    <w:rsid w:val="00063B3A"/>
    <w:rsid w:val="00063F99"/>
    <w:rsid w:val="0006422C"/>
    <w:rsid w:val="000654ED"/>
    <w:rsid w:val="0006589F"/>
    <w:rsid w:val="00071B8F"/>
    <w:rsid w:val="00071E74"/>
    <w:rsid w:val="00074CD4"/>
    <w:rsid w:val="000758DB"/>
    <w:rsid w:val="00076053"/>
    <w:rsid w:val="000772FB"/>
    <w:rsid w:val="00081740"/>
    <w:rsid w:val="00083FBE"/>
    <w:rsid w:val="000852E1"/>
    <w:rsid w:val="00086DB4"/>
    <w:rsid w:val="00090A30"/>
    <w:rsid w:val="0009116C"/>
    <w:rsid w:val="00093D21"/>
    <w:rsid w:val="00097DD2"/>
    <w:rsid w:val="000A1F09"/>
    <w:rsid w:val="000A2861"/>
    <w:rsid w:val="000A61BB"/>
    <w:rsid w:val="000A73E5"/>
    <w:rsid w:val="000B0092"/>
    <w:rsid w:val="000B2BB0"/>
    <w:rsid w:val="000B33AD"/>
    <w:rsid w:val="000B6151"/>
    <w:rsid w:val="000B7040"/>
    <w:rsid w:val="000C5F6A"/>
    <w:rsid w:val="000C6531"/>
    <w:rsid w:val="000E1D6C"/>
    <w:rsid w:val="000E2E94"/>
    <w:rsid w:val="000E32B8"/>
    <w:rsid w:val="000E3EA5"/>
    <w:rsid w:val="000E44B4"/>
    <w:rsid w:val="000E484B"/>
    <w:rsid w:val="000E50BA"/>
    <w:rsid w:val="000E5F9C"/>
    <w:rsid w:val="000E6FD6"/>
    <w:rsid w:val="000F1359"/>
    <w:rsid w:val="000F1A97"/>
    <w:rsid w:val="000F2C46"/>
    <w:rsid w:val="000F3E74"/>
    <w:rsid w:val="000F4902"/>
    <w:rsid w:val="000F5228"/>
    <w:rsid w:val="000F614D"/>
    <w:rsid w:val="000F661E"/>
    <w:rsid w:val="00101D02"/>
    <w:rsid w:val="001046AB"/>
    <w:rsid w:val="00106B7D"/>
    <w:rsid w:val="001102BE"/>
    <w:rsid w:val="0011160F"/>
    <w:rsid w:val="00113461"/>
    <w:rsid w:val="00113C31"/>
    <w:rsid w:val="00113CD4"/>
    <w:rsid w:val="0011424D"/>
    <w:rsid w:val="001153EB"/>
    <w:rsid w:val="00116915"/>
    <w:rsid w:val="0012052A"/>
    <w:rsid w:val="00121EED"/>
    <w:rsid w:val="00122FF4"/>
    <w:rsid w:val="00123B39"/>
    <w:rsid w:val="00126B7D"/>
    <w:rsid w:val="00126E88"/>
    <w:rsid w:val="001313BB"/>
    <w:rsid w:val="0013160A"/>
    <w:rsid w:val="001338C4"/>
    <w:rsid w:val="001341B6"/>
    <w:rsid w:val="00136CC0"/>
    <w:rsid w:val="00141204"/>
    <w:rsid w:val="001427C6"/>
    <w:rsid w:val="00144222"/>
    <w:rsid w:val="0014515E"/>
    <w:rsid w:val="00146F4C"/>
    <w:rsid w:val="001504BF"/>
    <w:rsid w:val="00151C65"/>
    <w:rsid w:val="00152480"/>
    <w:rsid w:val="00156292"/>
    <w:rsid w:val="00156419"/>
    <w:rsid w:val="00157890"/>
    <w:rsid w:val="00163B5B"/>
    <w:rsid w:val="00166472"/>
    <w:rsid w:val="001673A3"/>
    <w:rsid w:val="00170FDB"/>
    <w:rsid w:val="00171EED"/>
    <w:rsid w:val="00172DD9"/>
    <w:rsid w:val="00175D2A"/>
    <w:rsid w:val="00176D09"/>
    <w:rsid w:val="00177558"/>
    <w:rsid w:val="00182443"/>
    <w:rsid w:val="001825B5"/>
    <w:rsid w:val="001825F5"/>
    <w:rsid w:val="00183363"/>
    <w:rsid w:val="00183849"/>
    <w:rsid w:val="001840C5"/>
    <w:rsid w:val="00185687"/>
    <w:rsid w:val="001863DF"/>
    <w:rsid w:val="00186C01"/>
    <w:rsid w:val="00187C3E"/>
    <w:rsid w:val="001906AE"/>
    <w:rsid w:val="001908FC"/>
    <w:rsid w:val="00195F8E"/>
    <w:rsid w:val="001971CC"/>
    <w:rsid w:val="001A0AC0"/>
    <w:rsid w:val="001A2CB6"/>
    <w:rsid w:val="001B0864"/>
    <w:rsid w:val="001B12EC"/>
    <w:rsid w:val="001B290A"/>
    <w:rsid w:val="001B4C07"/>
    <w:rsid w:val="001B66C0"/>
    <w:rsid w:val="001B6861"/>
    <w:rsid w:val="001B7CBC"/>
    <w:rsid w:val="001C02D2"/>
    <w:rsid w:val="001C0F9B"/>
    <w:rsid w:val="001C29FD"/>
    <w:rsid w:val="001C2B1A"/>
    <w:rsid w:val="001C2EB1"/>
    <w:rsid w:val="001C3079"/>
    <w:rsid w:val="001C3895"/>
    <w:rsid w:val="001C4798"/>
    <w:rsid w:val="001C570D"/>
    <w:rsid w:val="001C5AC8"/>
    <w:rsid w:val="001C6156"/>
    <w:rsid w:val="001C62BF"/>
    <w:rsid w:val="001C707B"/>
    <w:rsid w:val="001D0954"/>
    <w:rsid w:val="001D1842"/>
    <w:rsid w:val="001D2ACE"/>
    <w:rsid w:val="001D4005"/>
    <w:rsid w:val="001D46B8"/>
    <w:rsid w:val="001D4AD2"/>
    <w:rsid w:val="001D5485"/>
    <w:rsid w:val="001D6150"/>
    <w:rsid w:val="001D6699"/>
    <w:rsid w:val="001D67BD"/>
    <w:rsid w:val="001D78E1"/>
    <w:rsid w:val="001E057B"/>
    <w:rsid w:val="001E0D71"/>
    <w:rsid w:val="001E0E7B"/>
    <w:rsid w:val="001E3120"/>
    <w:rsid w:val="001E4E65"/>
    <w:rsid w:val="001E5885"/>
    <w:rsid w:val="001E68CD"/>
    <w:rsid w:val="001F0527"/>
    <w:rsid w:val="001F0E0F"/>
    <w:rsid w:val="001F298E"/>
    <w:rsid w:val="001F5804"/>
    <w:rsid w:val="001F5AD1"/>
    <w:rsid w:val="001F60ED"/>
    <w:rsid w:val="001F67CD"/>
    <w:rsid w:val="001F7B24"/>
    <w:rsid w:val="00202F7A"/>
    <w:rsid w:val="002032EB"/>
    <w:rsid w:val="0020439B"/>
    <w:rsid w:val="00204ED6"/>
    <w:rsid w:val="00207DB3"/>
    <w:rsid w:val="00212997"/>
    <w:rsid w:val="00213154"/>
    <w:rsid w:val="0021427D"/>
    <w:rsid w:val="00214817"/>
    <w:rsid w:val="0021517D"/>
    <w:rsid w:val="00217045"/>
    <w:rsid w:val="002200EF"/>
    <w:rsid w:val="00223B7C"/>
    <w:rsid w:val="00225001"/>
    <w:rsid w:val="0022624A"/>
    <w:rsid w:val="002262EF"/>
    <w:rsid w:val="0022730F"/>
    <w:rsid w:val="00227315"/>
    <w:rsid w:val="002311B5"/>
    <w:rsid w:val="00232D7A"/>
    <w:rsid w:val="0023380D"/>
    <w:rsid w:val="00240392"/>
    <w:rsid w:val="002419B9"/>
    <w:rsid w:val="00243658"/>
    <w:rsid w:val="00244F53"/>
    <w:rsid w:val="0024795D"/>
    <w:rsid w:val="00247E4A"/>
    <w:rsid w:val="002518D0"/>
    <w:rsid w:val="002522BE"/>
    <w:rsid w:val="00253EE3"/>
    <w:rsid w:val="00254B71"/>
    <w:rsid w:val="00255068"/>
    <w:rsid w:val="002551CC"/>
    <w:rsid w:val="002558E0"/>
    <w:rsid w:val="0026002A"/>
    <w:rsid w:val="00260421"/>
    <w:rsid w:val="00260CA3"/>
    <w:rsid w:val="002610C3"/>
    <w:rsid w:val="00262FC4"/>
    <w:rsid w:val="0026320B"/>
    <w:rsid w:val="0026334F"/>
    <w:rsid w:val="00264CEC"/>
    <w:rsid w:val="00265505"/>
    <w:rsid w:val="00265530"/>
    <w:rsid w:val="00266A82"/>
    <w:rsid w:val="002709B5"/>
    <w:rsid w:val="00270CEA"/>
    <w:rsid w:val="0027101E"/>
    <w:rsid w:val="00271400"/>
    <w:rsid w:val="00271649"/>
    <w:rsid w:val="002731CE"/>
    <w:rsid w:val="00277333"/>
    <w:rsid w:val="00280B28"/>
    <w:rsid w:val="00281DF7"/>
    <w:rsid w:val="00282AFC"/>
    <w:rsid w:val="002835C4"/>
    <w:rsid w:val="00286F9C"/>
    <w:rsid w:val="0029084B"/>
    <w:rsid w:val="00290857"/>
    <w:rsid w:val="00290D5B"/>
    <w:rsid w:val="00291D78"/>
    <w:rsid w:val="00292919"/>
    <w:rsid w:val="00292B6E"/>
    <w:rsid w:val="002939FF"/>
    <w:rsid w:val="00294839"/>
    <w:rsid w:val="002A25F7"/>
    <w:rsid w:val="002A3791"/>
    <w:rsid w:val="002A3C87"/>
    <w:rsid w:val="002A7F7E"/>
    <w:rsid w:val="002B08BC"/>
    <w:rsid w:val="002B1D62"/>
    <w:rsid w:val="002B31F8"/>
    <w:rsid w:val="002B4AC1"/>
    <w:rsid w:val="002C12B7"/>
    <w:rsid w:val="002C2015"/>
    <w:rsid w:val="002C2368"/>
    <w:rsid w:val="002C3857"/>
    <w:rsid w:val="002C6D02"/>
    <w:rsid w:val="002D480D"/>
    <w:rsid w:val="002D544A"/>
    <w:rsid w:val="002D680B"/>
    <w:rsid w:val="002E3064"/>
    <w:rsid w:val="002E7BB2"/>
    <w:rsid w:val="002E7FAC"/>
    <w:rsid w:val="002F1F9D"/>
    <w:rsid w:val="002F30C4"/>
    <w:rsid w:val="002F3F48"/>
    <w:rsid w:val="002F52D9"/>
    <w:rsid w:val="0030214B"/>
    <w:rsid w:val="00302674"/>
    <w:rsid w:val="00304076"/>
    <w:rsid w:val="00304270"/>
    <w:rsid w:val="0031597B"/>
    <w:rsid w:val="00316F4B"/>
    <w:rsid w:val="00320500"/>
    <w:rsid w:val="003235F0"/>
    <w:rsid w:val="00323943"/>
    <w:rsid w:val="0032422C"/>
    <w:rsid w:val="0032453A"/>
    <w:rsid w:val="0032799A"/>
    <w:rsid w:val="00327C9B"/>
    <w:rsid w:val="00333A97"/>
    <w:rsid w:val="00333D48"/>
    <w:rsid w:val="00334A58"/>
    <w:rsid w:val="00334A60"/>
    <w:rsid w:val="00334C24"/>
    <w:rsid w:val="00336316"/>
    <w:rsid w:val="003366E0"/>
    <w:rsid w:val="0033772A"/>
    <w:rsid w:val="0034086F"/>
    <w:rsid w:val="00341220"/>
    <w:rsid w:val="00342B30"/>
    <w:rsid w:val="00342DDF"/>
    <w:rsid w:val="00345801"/>
    <w:rsid w:val="00350231"/>
    <w:rsid w:val="00352A6C"/>
    <w:rsid w:val="003551FF"/>
    <w:rsid w:val="003559AB"/>
    <w:rsid w:val="00356956"/>
    <w:rsid w:val="003622D8"/>
    <w:rsid w:val="00363D2C"/>
    <w:rsid w:val="00365231"/>
    <w:rsid w:val="0036673E"/>
    <w:rsid w:val="00366A8C"/>
    <w:rsid w:val="00371015"/>
    <w:rsid w:val="00371D8C"/>
    <w:rsid w:val="00374494"/>
    <w:rsid w:val="0037480B"/>
    <w:rsid w:val="00377C7B"/>
    <w:rsid w:val="00380566"/>
    <w:rsid w:val="00381673"/>
    <w:rsid w:val="003816B8"/>
    <w:rsid w:val="00383606"/>
    <w:rsid w:val="0038662D"/>
    <w:rsid w:val="003868FD"/>
    <w:rsid w:val="003879A6"/>
    <w:rsid w:val="003901B9"/>
    <w:rsid w:val="00390401"/>
    <w:rsid w:val="00391B9D"/>
    <w:rsid w:val="0039327B"/>
    <w:rsid w:val="003946E4"/>
    <w:rsid w:val="003951F5"/>
    <w:rsid w:val="003A22B8"/>
    <w:rsid w:val="003A3CEE"/>
    <w:rsid w:val="003A3DA4"/>
    <w:rsid w:val="003A3E79"/>
    <w:rsid w:val="003A4021"/>
    <w:rsid w:val="003A53E1"/>
    <w:rsid w:val="003A727B"/>
    <w:rsid w:val="003A78D4"/>
    <w:rsid w:val="003A7FE9"/>
    <w:rsid w:val="003B156C"/>
    <w:rsid w:val="003B282B"/>
    <w:rsid w:val="003B2A3F"/>
    <w:rsid w:val="003B4432"/>
    <w:rsid w:val="003B636F"/>
    <w:rsid w:val="003C03E4"/>
    <w:rsid w:val="003C0AD4"/>
    <w:rsid w:val="003C5860"/>
    <w:rsid w:val="003C6162"/>
    <w:rsid w:val="003D152B"/>
    <w:rsid w:val="003D27B8"/>
    <w:rsid w:val="003D6815"/>
    <w:rsid w:val="003D6ABD"/>
    <w:rsid w:val="003E3BA4"/>
    <w:rsid w:val="003E5B76"/>
    <w:rsid w:val="003E6B6D"/>
    <w:rsid w:val="003E71C5"/>
    <w:rsid w:val="003F1A6B"/>
    <w:rsid w:val="003F3F1B"/>
    <w:rsid w:val="003F50B0"/>
    <w:rsid w:val="003F6B3F"/>
    <w:rsid w:val="0040138C"/>
    <w:rsid w:val="004028CD"/>
    <w:rsid w:val="004028F9"/>
    <w:rsid w:val="0040328C"/>
    <w:rsid w:val="00404B14"/>
    <w:rsid w:val="00404D03"/>
    <w:rsid w:val="0040741E"/>
    <w:rsid w:val="0041180C"/>
    <w:rsid w:val="00411F6C"/>
    <w:rsid w:val="00411FC5"/>
    <w:rsid w:val="00412AF1"/>
    <w:rsid w:val="00415B67"/>
    <w:rsid w:val="004210AC"/>
    <w:rsid w:val="004224F3"/>
    <w:rsid w:val="00422A2F"/>
    <w:rsid w:val="00423223"/>
    <w:rsid w:val="00426A9D"/>
    <w:rsid w:val="00427BBC"/>
    <w:rsid w:val="004330FC"/>
    <w:rsid w:val="0043342A"/>
    <w:rsid w:val="00434C89"/>
    <w:rsid w:val="00435337"/>
    <w:rsid w:val="004366FF"/>
    <w:rsid w:val="00442140"/>
    <w:rsid w:val="00442CC2"/>
    <w:rsid w:val="00442E50"/>
    <w:rsid w:val="004454FF"/>
    <w:rsid w:val="0044560C"/>
    <w:rsid w:val="0044689C"/>
    <w:rsid w:val="00453A54"/>
    <w:rsid w:val="00453D05"/>
    <w:rsid w:val="0045443E"/>
    <w:rsid w:val="00454B50"/>
    <w:rsid w:val="004558AA"/>
    <w:rsid w:val="00456F33"/>
    <w:rsid w:val="004570E6"/>
    <w:rsid w:val="00460FCF"/>
    <w:rsid w:val="00461F71"/>
    <w:rsid w:val="00462770"/>
    <w:rsid w:val="00462A9A"/>
    <w:rsid w:val="00467004"/>
    <w:rsid w:val="004733E6"/>
    <w:rsid w:val="00476690"/>
    <w:rsid w:val="00476EC5"/>
    <w:rsid w:val="004808F4"/>
    <w:rsid w:val="00481A0C"/>
    <w:rsid w:val="00482245"/>
    <w:rsid w:val="004843A1"/>
    <w:rsid w:val="0048683F"/>
    <w:rsid w:val="0048689C"/>
    <w:rsid w:val="00487ECC"/>
    <w:rsid w:val="00491B4D"/>
    <w:rsid w:val="00491DEC"/>
    <w:rsid w:val="00492ED8"/>
    <w:rsid w:val="00494908"/>
    <w:rsid w:val="00494A7B"/>
    <w:rsid w:val="004960CB"/>
    <w:rsid w:val="004A1D7D"/>
    <w:rsid w:val="004A3636"/>
    <w:rsid w:val="004A56EA"/>
    <w:rsid w:val="004B184C"/>
    <w:rsid w:val="004B35E3"/>
    <w:rsid w:val="004B7768"/>
    <w:rsid w:val="004B7E61"/>
    <w:rsid w:val="004C0947"/>
    <w:rsid w:val="004C1F80"/>
    <w:rsid w:val="004C3192"/>
    <w:rsid w:val="004C5EA4"/>
    <w:rsid w:val="004C658D"/>
    <w:rsid w:val="004C6D59"/>
    <w:rsid w:val="004D19F4"/>
    <w:rsid w:val="004D30AD"/>
    <w:rsid w:val="004D7F61"/>
    <w:rsid w:val="004E067B"/>
    <w:rsid w:val="004E2748"/>
    <w:rsid w:val="004E4E8A"/>
    <w:rsid w:val="004E5C85"/>
    <w:rsid w:val="004E6D59"/>
    <w:rsid w:val="004E72FE"/>
    <w:rsid w:val="004F0918"/>
    <w:rsid w:val="004F41D3"/>
    <w:rsid w:val="004F754F"/>
    <w:rsid w:val="004F7C43"/>
    <w:rsid w:val="00501AB4"/>
    <w:rsid w:val="0050299C"/>
    <w:rsid w:val="0050341C"/>
    <w:rsid w:val="005055D2"/>
    <w:rsid w:val="00507CC3"/>
    <w:rsid w:val="00510BDA"/>
    <w:rsid w:val="00511DFF"/>
    <w:rsid w:val="00512630"/>
    <w:rsid w:val="0051602E"/>
    <w:rsid w:val="00516AFE"/>
    <w:rsid w:val="00520872"/>
    <w:rsid w:val="00520E04"/>
    <w:rsid w:val="00523D7B"/>
    <w:rsid w:val="00524DBD"/>
    <w:rsid w:val="00527B20"/>
    <w:rsid w:val="00530281"/>
    <w:rsid w:val="00530347"/>
    <w:rsid w:val="005318DD"/>
    <w:rsid w:val="00531EB8"/>
    <w:rsid w:val="005320F5"/>
    <w:rsid w:val="00532ADD"/>
    <w:rsid w:val="00532B85"/>
    <w:rsid w:val="0054129D"/>
    <w:rsid w:val="005412F7"/>
    <w:rsid w:val="0054154E"/>
    <w:rsid w:val="00541742"/>
    <w:rsid w:val="00541CCC"/>
    <w:rsid w:val="005421FD"/>
    <w:rsid w:val="00543EB9"/>
    <w:rsid w:val="00544659"/>
    <w:rsid w:val="00547A54"/>
    <w:rsid w:val="005502D8"/>
    <w:rsid w:val="00550A0A"/>
    <w:rsid w:val="005512B7"/>
    <w:rsid w:val="0055663A"/>
    <w:rsid w:val="005566C2"/>
    <w:rsid w:val="00562998"/>
    <w:rsid w:val="00563A90"/>
    <w:rsid w:val="00564A89"/>
    <w:rsid w:val="0056549E"/>
    <w:rsid w:val="00567AC3"/>
    <w:rsid w:val="005723F3"/>
    <w:rsid w:val="00573BC3"/>
    <w:rsid w:val="005752DD"/>
    <w:rsid w:val="00576A66"/>
    <w:rsid w:val="00580026"/>
    <w:rsid w:val="005803B1"/>
    <w:rsid w:val="005808CB"/>
    <w:rsid w:val="0058626D"/>
    <w:rsid w:val="00586481"/>
    <w:rsid w:val="00590B96"/>
    <w:rsid w:val="00590EFD"/>
    <w:rsid w:val="00591CF8"/>
    <w:rsid w:val="00592DED"/>
    <w:rsid w:val="00593763"/>
    <w:rsid w:val="00593CE0"/>
    <w:rsid w:val="0059649F"/>
    <w:rsid w:val="00596BFF"/>
    <w:rsid w:val="00596E96"/>
    <w:rsid w:val="005979B1"/>
    <w:rsid w:val="005A0D15"/>
    <w:rsid w:val="005A0E9E"/>
    <w:rsid w:val="005A1ABC"/>
    <w:rsid w:val="005A1EEC"/>
    <w:rsid w:val="005A2650"/>
    <w:rsid w:val="005A3607"/>
    <w:rsid w:val="005A5D76"/>
    <w:rsid w:val="005B34BC"/>
    <w:rsid w:val="005B403E"/>
    <w:rsid w:val="005B5010"/>
    <w:rsid w:val="005B5244"/>
    <w:rsid w:val="005B735C"/>
    <w:rsid w:val="005C0542"/>
    <w:rsid w:val="005C0B3D"/>
    <w:rsid w:val="005C5193"/>
    <w:rsid w:val="005C6863"/>
    <w:rsid w:val="005C720C"/>
    <w:rsid w:val="005D002D"/>
    <w:rsid w:val="005D2726"/>
    <w:rsid w:val="005D3926"/>
    <w:rsid w:val="005D54AC"/>
    <w:rsid w:val="005D7537"/>
    <w:rsid w:val="005E03AA"/>
    <w:rsid w:val="005E26FB"/>
    <w:rsid w:val="005E3043"/>
    <w:rsid w:val="005E3698"/>
    <w:rsid w:val="005E40F0"/>
    <w:rsid w:val="005E6E0B"/>
    <w:rsid w:val="005F03B2"/>
    <w:rsid w:val="005F180D"/>
    <w:rsid w:val="005F1F0A"/>
    <w:rsid w:val="005F21E1"/>
    <w:rsid w:val="006018B4"/>
    <w:rsid w:val="00604154"/>
    <w:rsid w:val="00607CED"/>
    <w:rsid w:val="00607E3C"/>
    <w:rsid w:val="00610106"/>
    <w:rsid w:val="00612F0D"/>
    <w:rsid w:val="00614392"/>
    <w:rsid w:val="00616322"/>
    <w:rsid w:val="00621EB3"/>
    <w:rsid w:val="00624A9E"/>
    <w:rsid w:val="006255D1"/>
    <w:rsid w:val="00625F24"/>
    <w:rsid w:val="0062638D"/>
    <w:rsid w:val="00626F46"/>
    <w:rsid w:val="00627906"/>
    <w:rsid w:val="0063017D"/>
    <w:rsid w:val="00630B2D"/>
    <w:rsid w:val="00631C05"/>
    <w:rsid w:val="00632C2F"/>
    <w:rsid w:val="006338CF"/>
    <w:rsid w:val="006372B0"/>
    <w:rsid w:val="0063757A"/>
    <w:rsid w:val="0064269B"/>
    <w:rsid w:val="006454F9"/>
    <w:rsid w:val="0064627E"/>
    <w:rsid w:val="006477AC"/>
    <w:rsid w:val="0065140A"/>
    <w:rsid w:val="00651ABE"/>
    <w:rsid w:val="006557EB"/>
    <w:rsid w:val="006563BB"/>
    <w:rsid w:val="00657F4D"/>
    <w:rsid w:val="00662AC1"/>
    <w:rsid w:val="00663895"/>
    <w:rsid w:val="0066468E"/>
    <w:rsid w:val="00665080"/>
    <w:rsid w:val="00665503"/>
    <w:rsid w:val="00667A7A"/>
    <w:rsid w:val="00667D5C"/>
    <w:rsid w:val="006705C7"/>
    <w:rsid w:val="00671B9B"/>
    <w:rsid w:val="00674DD9"/>
    <w:rsid w:val="00676F9E"/>
    <w:rsid w:val="0067788E"/>
    <w:rsid w:val="006800C5"/>
    <w:rsid w:val="00683CF6"/>
    <w:rsid w:val="00684565"/>
    <w:rsid w:val="00684838"/>
    <w:rsid w:val="0068603C"/>
    <w:rsid w:val="00691222"/>
    <w:rsid w:val="00693BD8"/>
    <w:rsid w:val="006947FA"/>
    <w:rsid w:val="00695BF6"/>
    <w:rsid w:val="006A047A"/>
    <w:rsid w:val="006A0497"/>
    <w:rsid w:val="006A0742"/>
    <w:rsid w:val="006A5DC6"/>
    <w:rsid w:val="006A6D01"/>
    <w:rsid w:val="006A77BF"/>
    <w:rsid w:val="006A7C6D"/>
    <w:rsid w:val="006B1279"/>
    <w:rsid w:val="006B1EEB"/>
    <w:rsid w:val="006B27CD"/>
    <w:rsid w:val="006B40BD"/>
    <w:rsid w:val="006B4239"/>
    <w:rsid w:val="006B4889"/>
    <w:rsid w:val="006B546C"/>
    <w:rsid w:val="006B5C2F"/>
    <w:rsid w:val="006C075C"/>
    <w:rsid w:val="006C1C95"/>
    <w:rsid w:val="006C361F"/>
    <w:rsid w:val="006C3906"/>
    <w:rsid w:val="006C51CD"/>
    <w:rsid w:val="006C5577"/>
    <w:rsid w:val="006C5DDB"/>
    <w:rsid w:val="006C74EC"/>
    <w:rsid w:val="006D1383"/>
    <w:rsid w:val="006D1A15"/>
    <w:rsid w:val="006D24C1"/>
    <w:rsid w:val="006D2FE0"/>
    <w:rsid w:val="006D673F"/>
    <w:rsid w:val="006E5441"/>
    <w:rsid w:val="006E5585"/>
    <w:rsid w:val="006E64D6"/>
    <w:rsid w:val="006E6FAD"/>
    <w:rsid w:val="006E7519"/>
    <w:rsid w:val="006E7CC3"/>
    <w:rsid w:val="006F4E33"/>
    <w:rsid w:val="006F4E85"/>
    <w:rsid w:val="006F5446"/>
    <w:rsid w:val="006F6D39"/>
    <w:rsid w:val="006F7077"/>
    <w:rsid w:val="00703189"/>
    <w:rsid w:val="00703FE7"/>
    <w:rsid w:val="00704108"/>
    <w:rsid w:val="007042DE"/>
    <w:rsid w:val="00704846"/>
    <w:rsid w:val="00704ADA"/>
    <w:rsid w:val="00706BD0"/>
    <w:rsid w:val="00710661"/>
    <w:rsid w:val="00714154"/>
    <w:rsid w:val="007144DA"/>
    <w:rsid w:val="00714B8A"/>
    <w:rsid w:val="00716212"/>
    <w:rsid w:val="00716B08"/>
    <w:rsid w:val="007170C7"/>
    <w:rsid w:val="0071739D"/>
    <w:rsid w:val="007200D4"/>
    <w:rsid w:val="00723732"/>
    <w:rsid w:val="0072416C"/>
    <w:rsid w:val="0072493C"/>
    <w:rsid w:val="00726D70"/>
    <w:rsid w:val="00731D5B"/>
    <w:rsid w:val="007343D8"/>
    <w:rsid w:val="00737ABF"/>
    <w:rsid w:val="00737D1F"/>
    <w:rsid w:val="00740B97"/>
    <w:rsid w:val="00740CEB"/>
    <w:rsid w:val="00741825"/>
    <w:rsid w:val="0074248B"/>
    <w:rsid w:val="00742F18"/>
    <w:rsid w:val="0074644E"/>
    <w:rsid w:val="00746D7A"/>
    <w:rsid w:val="00750AC7"/>
    <w:rsid w:val="00752E4D"/>
    <w:rsid w:val="00755075"/>
    <w:rsid w:val="0075773B"/>
    <w:rsid w:val="00761AD3"/>
    <w:rsid w:val="00762778"/>
    <w:rsid w:val="00763757"/>
    <w:rsid w:val="00763831"/>
    <w:rsid w:val="007700D6"/>
    <w:rsid w:val="00770D1B"/>
    <w:rsid w:val="0077381C"/>
    <w:rsid w:val="00773A3B"/>
    <w:rsid w:val="007818D7"/>
    <w:rsid w:val="00781B73"/>
    <w:rsid w:val="00782F5A"/>
    <w:rsid w:val="00783BDB"/>
    <w:rsid w:val="007840A8"/>
    <w:rsid w:val="007869C7"/>
    <w:rsid w:val="00787830"/>
    <w:rsid w:val="00787C29"/>
    <w:rsid w:val="00792814"/>
    <w:rsid w:val="007947E3"/>
    <w:rsid w:val="007A1028"/>
    <w:rsid w:val="007A3194"/>
    <w:rsid w:val="007A31C0"/>
    <w:rsid w:val="007A4819"/>
    <w:rsid w:val="007A7B9C"/>
    <w:rsid w:val="007B03D8"/>
    <w:rsid w:val="007B05EC"/>
    <w:rsid w:val="007B0E9F"/>
    <w:rsid w:val="007B3E4D"/>
    <w:rsid w:val="007B4F75"/>
    <w:rsid w:val="007B6069"/>
    <w:rsid w:val="007B6CF7"/>
    <w:rsid w:val="007C31BA"/>
    <w:rsid w:val="007C46DC"/>
    <w:rsid w:val="007C4AE8"/>
    <w:rsid w:val="007C6709"/>
    <w:rsid w:val="007C797C"/>
    <w:rsid w:val="007D2DBC"/>
    <w:rsid w:val="007D34DE"/>
    <w:rsid w:val="007D385F"/>
    <w:rsid w:val="007D3971"/>
    <w:rsid w:val="007D4F5C"/>
    <w:rsid w:val="007D5B4F"/>
    <w:rsid w:val="007D747C"/>
    <w:rsid w:val="007D7C64"/>
    <w:rsid w:val="007E11AA"/>
    <w:rsid w:val="007E23DA"/>
    <w:rsid w:val="007E24F1"/>
    <w:rsid w:val="007E4C99"/>
    <w:rsid w:val="007E568E"/>
    <w:rsid w:val="007E5B42"/>
    <w:rsid w:val="007F1D47"/>
    <w:rsid w:val="007F346F"/>
    <w:rsid w:val="007F4EB5"/>
    <w:rsid w:val="007F6CB0"/>
    <w:rsid w:val="007F6D13"/>
    <w:rsid w:val="00802127"/>
    <w:rsid w:val="00802CCC"/>
    <w:rsid w:val="0080393F"/>
    <w:rsid w:val="00804A98"/>
    <w:rsid w:val="00804DA2"/>
    <w:rsid w:val="00806058"/>
    <w:rsid w:val="008062B4"/>
    <w:rsid w:val="00806C7C"/>
    <w:rsid w:val="00807932"/>
    <w:rsid w:val="00811C90"/>
    <w:rsid w:val="008121FD"/>
    <w:rsid w:val="00812455"/>
    <w:rsid w:val="0081301A"/>
    <w:rsid w:val="0081367A"/>
    <w:rsid w:val="0081426A"/>
    <w:rsid w:val="00817597"/>
    <w:rsid w:val="00817CB6"/>
    <w:rsid w:val="0082023A"/>
    <w:rsid w:val="00824A3D"/>
    <w:rsid w:val="00826C92"/>
    <w:rsid w:val="008274DB"/>
    <w:rsid w:val="00827F2B"/>
    <w:rsid w:val="0083035E"/>
    <w:rsid w:val="00830EB1"/>
    <w:rsid w:val="00831F53"/>
    <w:rsid w:val="00832B36"/>
    <w:rsid w:val="00832C0E"/>
    <w:rsid w:val="008342D8"/>
    <w:rsid w:val="00834458"/>
    <w:rsid w:val="00840AB0"/>
    <w:rsid w:val="00842665"/>
    <w:rsid w:val="008437E9"/>
    <w:rsid w:val="008446FB"/>
    <w:rsid w:val="0085089E"/>
    <w:rsid w:val="008511EE"/>
    <w:rsid w:val="008552C6"/>
    <w:rsid w:val="00855C5F"/>
    <w:rsid w:val="00856B96"/>
    <w:rsid w:val="008607BB"/>
    <w:rsid w:val="00860AAE"/>
    <w:rsid w:val="008615AE"/>
    <w:rsid w:val="00861EEC"/>
    <w:rsid w:val="00861F96"/>
    <w:rsid w:val="008646A2"/>
    <w:rsid w:val="00865232"/>
    <w:rsid w:val="00865304"/>
    <w:rsid w:val="00871304"/>
    <w:rsid w:val="008713F4"/>
    <w:rsid w:val="00871D48"/>
    <w:rsid w:val="008763DF"/>
    <w:rsid w:val="00877C5F"/>
    <w:rsid w:val="00880B63"/>
    <w:rsid w:val="00880C96"/>
    <w:rsid w:val="00882880"/>
    <w:rsid w:val="00884593"/>
    <w:rsid w:val="00887CF0"/>
    <w:rsid w:val="00890057"/>
    <w:rsid w:val="00890C10"/>
    <w:rsid w:val="0089166C"/>
    <w:rsid w:val="00892F91"/>
    <w:rsid w:val="008945E7"/>
    <w:rsid w:val="00895F7F"/>
    <w:rsid w:val="008979BD"/>
    <w:rsid w:val="008A0E82"/>
    <w:rsid w:val="008A3C1A"/>
    <w:rsid w:val="008A4763"/>
    <w:rsid w:val="008A6C35"/>
    <w:rsid w:val="008A6CF7"/>
    <w:rsid w:val="008B06F3"/>
    <w:rsid w:val="008B42A6"/>
    <w:rsid w:val="008B5054"/>
    <w:rsid w:val="008B54EF"/>
    <w:rsid w:val="008B77B8"/>
    <w:rsid w:val="008B7EC8"/>
    <w:rsid w:val="008C05AB"/>
    <w:rsid w:val="008C0EBB"/>
    <w:rsid w:val="008C1A8A"/>
    <w:rsid w:val="008C2ADC"/>
    <w:rsid w:val="008C5B9C"/>
    <w:rsid w:val="008D1FE9"/>
    <w:rsid w:val="008D2FCC"/>
    <w:rsid w:val="008D54FC"/>
    <w:rsid w:val="008D55BD"/>
    <w:rsid w:val="008D60B4"/>
    <w:rsid w:val="008D6AC4"/>
    <w:rsid w:val="008D7244"/>
    <w:rsid w:val="008D734E"/>
    <w:rsid w:val="008D7462"/>
    <w:rsid w:val="008E2E2E"/>
    <w:rsid w:val="008E38FB"/>
    <w:rsid w:val="008E3D5D"/>
    <w:rsid w:val="008E5017"/>
    <w:rsid w:val="008E7F23"/>
    <w:rsid w:val="008F0DB5"/>
    <w:rsid w:val="008F1B5B"/>
    <w:rsid w:val="008F26DD"/>
    <w:rsid w:val="008F33B4"/>
    <w:rsid w:val="008F50C5"/>
    <w:rsid w:val="008F56D4"/>
    <w:rsid w:val="008F672E"/>
    <w:rsid w:val="008F6D3B"/>
    <w:rsid w:val="008F7559"/>
    <w:rsid w:val="0090296F"/>
    <w:rsid w:val="00903723"/>
    <w:rsid w:val="00904B80"/>
    <w:rsid w:val="00906508"/>
    <w:rsid w:val="00907958"/>
    <w:rsid w:val="009117F5"/>
    <w:rsid w:val="009137FC"/>
    <w:rsid w:val="0091442D"/>
    <w:rsid w:val="0091500A"/>
    <w:rsid w:val="0091641C"/>
    <w:rsid w:val="00916653"/>
    <w:rsid w:val="00920C63"/>
    <w:rsid w:val="0092287B"/>
    <w:rsid w:val="00922A22"/>
    <w:rsid w:val="00925DDA"/>
    <w:rsid w:val="00925E43"/>
    <w:rsid w:val="00927270"/>
    <w:rsid w:val="009302FF"/>
    <w:rsid w:val="009303A0"/>
    <w:rsid w:val="009304A5"/>
    <w:rsid w:val="0093191F"/>
    <w:rsid w:val="009335A9"/>
    <w:rsid w:val="00937B05"/>
    <w:rsid w:val="00940DB2"/>
    <w:rsid w:val="00943F7E"/>
    <w:rsid w:val="009451FF"/>
    <w:rsid w:val="00952FA1"/>
    <w:rsid w:val="00953518"/>
    <w:rsid w:val="00954561"/>
    <w:rsid w:val="00954A36"/>
    <w:rsid w:val="009579DE"/>
    <w:rsid w:val="009620B3"/>
    <w:rsid w:val="009649CE"/>
    <w:rsid w:val="00971751"/>
    <w:rsid w:val="00971B49"/>
    <w:rsid w:val="00973744"/>
    <w:rsid w:val="0097442C"/>
    <w:rsid w:val="00974A33"/>
    <w:rsid w:val="0097579E"/>
    <w:rsid w:val="00976196"/>
    <w:rsid w:val="009766EF"/>
    <w:rsid w:val="0098185A"/>
    <w:rsid w:val="0098232A"/>
    <w:rsid w:val="009834F6"/>
    <w:rsid w:val="00983890"/>
    <w:rsid w:val="009843C4"/>
    <w:rsid w:val="00994603"/>
    <w:rsid w:val="009A16FB"/>
    <w:rsid w:val="009A1AD6"/>
    <w:rsid w:val="009A2E84"/>
    <w:rsid w:val="009A4FF1"/>
    <w:rsid w:val="009A508C"/>
    <w:rsid w:val="009A5618"/>
    <w:rsid w:val="009A5EE7"/>
    <w:rsid w:val="009A7944"/>
    <w:rsid w:val="009A7CF0"/>
    <w:rsid w:val="009B095E"/>
    <w:rsid w:val="009B1414"/>
    <w:rsid w:val="009B2FDA"/>
    <w:rsid w:val="009B4F78"/>
    <w:rsid w:val="009B5515"/>
    <w:rsid w:val="009B61BD"/>
    <w:rsid w:val="009B6A89"/>
    <w:rsid w:val="009B72A1"/>
    <w:rsid w:val="009B79F7"/>
    <w:rsid w:val="009C4A07"/>
    <w:rsid w:val="009C4DC5"/>
    <w:rsid w:val="009C54CB"/>
    <w:rsid w:val="009C63F5"/>
    <w:rsid w:val="009C6AE7"/>
    <w:rsid w:val="009C6C08"/>
    <w:rsid w:val="009C716B"/>
    <w:rsid w:val="009D1195"/>
    <w:rsid w:val="009D263B"/>
    <w:rsid w:val="009D3497"/>
    <w:rsid w:val="009D4117"/>
    <w:rsid w:val="009D49E1"/>
    <w:rsid w:val="009D525D"/>
    <w:rsid w:val="009D6FAB"/>
    <w:rsid w:val="009D76B6"/>
    <w:rsid w:val="009E201F"/>
    <w:rsid w:val="009E27B8"/>
    <w:rsid w:val="009E3859"/>
    <w:rsid w:val="009E39F1"/>
    <w:rsid w:val="009E5541"/>
    <w:rsid w:val="009E58C6"/>
    <w:rsid w:val="009F2A0F"/>
    <w:rsid w:val="009F7CC2"/>
    <w:rsid w:val="00A03245"/>
    <w:rsid w:val="00A10248"/>
    <w:rsid w:val="00A10818"/>
    <w:rsid w:val="00A10A8D"/>
    <w:rsid w:val="00A11CAA"/>
    <w:rsid w:val="00A12CC8"/>
    <w:rsid w:val="00A13155"/>
    <w:rsid w:val="00A14E8A"/>
    <w:rsid w:val="00A157C8"/>
    <w:rsid w:val="00A231A1"/>
    <w:rsid w:val="00A231B3"/>
    <w:rsid w:val="00A237CF"/>
    <w:rsid w:val="00A259FC"/>
    <w:rsid w:val="00A265BC"/>
    <w:rsid w:val="00A27AF6"/>
    <w:rsid w:val="00A31238"/>
    <w:rsid w:val="00A31D7E"/>
    <w:rsid w:val="00A33938"/>
    <w:rsid w:val="00A352C9"/>
    <w:rsid w:val="00A36354"/>
    <w:rsid w:val="00A36400"/>
    <w:rsid w:val="00A36BDE"/>
    <w:rsid w:val="00A40804"/>
    <w:rsid w:val="00A42C5A"/>
    <w:rsid w:val="00A43B63"/>
    <w:rsid w:val="00A43E6A"/>
    <w:rsid w:val="00A503F7"/>
    <w:rsid w:val="00A5081F"/>
    <w:rsid w:val="00A512CB"/>
    <w:rsid w:val="00A5389B"/>
    <w:rsid w:val="00A543D8"/>
    <w:rsid w:val="00A56397"/>
    <w:rsid w:val="00A60FC0"/>
    <w:rsid w:val="00A619FC"/>
    <w:rsid w:val="00A630B5"/>
    <w:rsid w:val="00A65745"/>
    <w:rsid w:val="00A70487"/>
    <w:rsid w:val="00A729A4"/>
    <w:rsid w:val="00A741C5"/>
    <w:rsid w:val="00A77275"/>
    <w:rsid w:val="00A77EB8"/>
    <w:rsid w:val="00A803E7"/>
    <w:rsid w:val="00A81240"/>
    <w:rsid w:val="00A8213F"/>
    <w:rsid w:val="00A849A5"/>
    <w:rsid w:val="00A84FFF"/>
    <w:rsid w:val="00A90290"/>
    <w:rsid w:val="00A921D1"/>
    <w:rsid w:val="00A927A5"/>
    <w:rsid w:val="00A92E58"/>
    <w:rsid w:val="00A949B9"/>
    <w:rsid w:val="00A953B0"/>
    <w:rsid w:val="00A95D69"/>
    <w:rsid w:val="00A96EA9"/>
    <w:rsid w:val="00A97AFD"/>
    <w:rsid w:val="00AA04DF"/>
    <w:rsid w:val="00AA1CAE"/>
    <w:rsid w:val="00AA59AD"/>
    <w:rsid w:val="00AA72AA"/>
    <w:rsid w:val="00AB1BC3"/>
    <w:rsid w:val="00AB26A6"/>
    <w:rsid w:val="00AB3866"/>
    <w:rsid w:val="00AB5801"/>
    <w:rsid w:val="00AB5C78"/>
    <w:rsid w:val="00AB72D6"/>
    <w:rsid w:val="00AC1619"/>
    <w:rsid w:val="00AC169F"/>
    <w:rsid w:val="00AC1C04"/>
    <w:rsid w:val="00AC6BFA"/>
    <w:rsid w:val="00AC6C7F"/>
    <w:rsid w:val="00AC751F"/>
    <w:rsid w:val="00AD0FF4"/>
    <w:rsid w:val="00AD3682"/>
    <w:rsid w:val="00AE0BED"/>
    <w:rsid w:val="00AE0D34"/>
    <w:rsid w:val="00AE3C2A"/>
    <w:rsid w:val="00AF0AB0"/>
    <w:rsid w:val="00AF1353"/>
    <w:rsid w:val="00AF18DD"/>
    <w:rsid w:val="00AF18E3"/>
    <w:rsid w:val="00AF243D"/>
    <w:rsid w:val="00AF4520"/>
    <w:rsid w:val="00AF7E42"/>
    <w:rsid w:val="00B0045D"/>
    <w:rsid w:val="00B01886"/>
    <w:rsid w:val="00B01D5F"/>
    <w:rsid w:val="00B02173"/>
    <w:rsid w:val="00B022E8"/>
    <w:rsid w:val="00B0267D"/>
    <w:rsid w:val="00B07FAD"/>
    <w:rsid w:val="00B10096"/>
    <w:rsid w:val="00B1265A"/>
    <w:rsid w:val="00B13299"/>
    <w:rsid w:val="00B141AC"/>
    <w:rsid w:val="00B165B7"/>
    <w:rsid w:val="00B17242"/>
    <w:rsid w:val="00B17EA5"/>
    <w:rsid w:val="00B214CC"/>
    <w:rsid w:val="00B21C21"/>
    <w:rsid w:val="00B22736"/>
    <w:rsid w:val="00B22865"/>
    <w:rsid w:val="00B234CD"/>
    <w:rsid w:val="00B23618"/>
    <w:rsid w:val="00B24A90"/>
    <w:rsid w:val="00B26CF9"/>
    <w:rsid w:val="00B27221"/>
    <w:rsid w:val="00B354FC"/>
    <w:rsid w:val="00B40A68"/>
    <w:rsid w:val="00B40DB2"/>
    <w:rsid w:val="00B422B7"/>
    <w:rsid w:val="00B43201"/>
    <w:rsid w:val="00B449A6"/>
    <w:rsid w:val="00B449F2"/>
    <w:rsid w:val="00B449FD"/>
    <w:rsid w:val="00B44B3A"/>
    <w:rsid w:val="00B454F0"/>
    <w:rsid w:val="00B46FD3"/>
    <w:rsid w:val="00B47721"/>
    <w:rsid w:val="00B47CB3"/>
    <w:rsid w:val="00B5272D"/>
    <w:rsid w:val="00B54940"/>
    <w:rsid w:val="00B552C4"/>
    <w:rsid w:val="00B569BB"/>
    <w:rsid w:val="00B57AE0"/>
    <w:rsid w:val="00B60C7F"/>
    <w:rsid w:val="00B6741F"/>
    <w:rsid w:val="00B67640"/>
    <w:rsid w:val="00B74007"/>
    <w:rsid w:val="00B75FE7"/>
    <w:rsid w:val="00B7626A"/>
    <w:rsid w:val="00B76534"/>
    <w:rsid w:val="00B769F9"/>
    <w:rsid w:val="00B76EB9"/>
    <w:rsid w:val="00B77FD0"/>
    <w:rsid w:val="00B82618"/>
    <w:rsid w:val="00B82837"/>
    <w:rsid w:val="00B8342A"/>
    <w:rsid w:val="00B83EC5"/>
    <w:rsid w:val="00B85E64"/>
    <w:rsid w:val="00B86C55"/>
    <w:rsid w:val="00B874FC"/>
    <w:rsid w:val="00B91242"/>
    <w:rsid w:val="00B932B3"/>
    <w:rsid w:val="00B9430E"/>
    <w:rsid w:val="00B95B30"/>
    <w:rsid w:val="00B97082"/>
    <w:rsid w:val="00B977D7"/>
    <w:rsid w:val="00B97B63"/>
    <w:rsid w:val="00BA07EA"/>
    <w:rsid w:val="00BA2DE5"/>
    <w:rsid w:val="00BA4A9B"/>
    <w:rsid w:val="00BA7C13"/>
    <w:rsid w:val="00BB0763"/>
    <w:rsid w:val="00BB1239"/>
    <w:rsid w:val="00BB1AE6"/>
    <w:rsid w:val="00BB3532"/>
    <w:rsid w:val="00BB3832"/>
    <w:rsid w:val="00BB42DF"/>
    <w:rsid w:val="00BB45DA"/>
    <w:rsid w:val="00BB66DA"/>
    <w:rsid w:val="00BC0701"/>
    <w:rsid w:val="00BC21FC"/>
    <w:rsid w:val="00BC3574"/>
    <w:rsid w:val="00BD041E"/>
    <w:rsid w:val="00BD1210"/>
    <w:rsid w:val="00BD42A4"/>
    <w:rsid w:val="00BD5169"/>
    <w:rsid w:val="00BD5418"/>
    <w:rsid w:val="00BD6D7A"/>
    <w:rsid w:val="00BD72BE"/>
    <w:rsid w:val="00BE00EE"/>
    <w:rsid w:val="00BE072E"/>
    <w:rsid w:val="00BE0DCE"/>
    <w:rsid w:val="00BE121F"/>
    <w:rsid w:val="00BE20EB"/>
    <w:rsid w:val="00BE2B17"/>
    <w:rsid w:val="00BE2BE2"/>
    <w:rsid w:val="00BE3632"/>
    <w:rsid w:val="00BE3C4A"/>
    <w:rsid w:val="00BE3E15"/>
    <w:rsid w:val="00BE6DB2"/>
    <w:rsid w:val="00BE78FE"/>
    <w:rsid w:val="00BE7B4C"/>
    <w:rsid w:val="00BF04CD"/>
    <w:rsid w:val="00BF0C73"/>
    <w:rsid w:val="00BF4EE1"/>
    <w:rsid w:val="00BF52B4"/>
    <w:rsid w:val="00BF6A9D"/>
    <w:rsid w:val="00BF7367"/>
    <w:rsid w:val="00C009C3"/>
    <w:rsid w:val="00C00C28"/>
    <w:rsid w:val="00C01C82"/>
    <w:rsid w:val="00C02E94"/>
    <w:rsid w:val="00C10CFA"/>
    <w:rsid w:val="00C15895"/>
    <w:rsid w:val="00C17C63"/>
    <w:rsid w:val="00C203D9"/>
    <w:rsid w:val="00C207D4"/>
    <w:rsid w:val="00C24104"/>
    <w:rsid w:val="00C26F43"/>
    <w:rsid w:val="00C31459"/>
    <w:rsid w:val="00C314FC"/>
    <w:rsid w:val="00C328F4"/>
    <w:rsid w:val="00C32ECE"/>
    <w:rsid w:val="00C360D6"/>
    <w:rsid w:val="00C369BC"/>
    <w:rsid w:val="00C373F9"/>
    <w:rsid w:val="00C40E85"/>
    <w:rsid w:val="00C441BB"/>
    <w:rsid w:val="00C44906"/>
    <w:rsid w:val="00C45521"/>
    <w:rsid w:val="00C4682F"/>
    <w:rsid w:val="00C50DBE"/>
    <w:rsid w:val="00C520CE"/>
    <w:rsid w:val="00C52CC4"/>
    <w:rsid w:val="00C53407"/>
    <w:rsid w:val="00C53B86"/>
    <w:rsid w:val="00C53CF2"/>
    <w:rsid w:val="00C55316"/>
    <w:rsid w:val="00C568E8"/>
    <w:rsid w:val="00C56A3C"/>
    <w:rsid w:val="00C57EB2"/>
    <w:rsid w:val="00C60DFD"/>
    <w:rsid w:val="00C66F3B"/>
    <w:rsid w:val="00C67642"/>
    <w:rsid w:val="00C71387"/>
    <w:rsid w:val="00C7275F"/>
    <w:rsid w:val="00C73B0D"/>
    <w:rsid w:val="00C75DDC"/>
    <w:rsid w:val="00C77BF4"/>
    <w:rsid w:val="00C816A0"/>
    <w:rsid w:val="00C82036"/>
    <w:rsid w:val="00C824B4"/>
    <w:rsid w:val="00C84BB2"/>
    <w:rsid w:val="00C86F86"/>
    <w:rsid w:val="00C879AC"/>
    <w:rsid w:val="00C91887"/>
    <w:rsid w:val="00C918FE"/>
    <w:rsid w:val="00CA16D0"/>
    <w:rsid w:val="00CA295F"/>
    <w:rsid w:val="00CA2A2C"/>
    <w:rsid w:val="00CA2DFA"/>
    <w:rsid w:val="00CA2F8B"/>
    <w:rsid w:val="00CA3890"/>
    <w:rsid w:val="00CA45C8"/>
    <w:rsid w:val="00CA4E1D"/>
    <w:rsid w:val="00CA566D"/>
    <w:rsid w:val="00CB0581"/>
    <w:rsid w:val="00CB0A0C"/>
    <w:rsid w:val="00CB3E32"/>
    <w:rsid w:val="00CB3E73"/>
    <w:rsid w:val="00CB7185"/>
    <w:rsid w:val="00CC3A11"/>
    <w:rsid w:val="00CC4720"/>
    <w:rsid w:val="00CC625A"/>
    <w:rsid w:val="00CD0388"/>
    <w:rsid w:val="00CD2E46"/>
    <w:rsid w:val="00CD30A1"/>
    <w:rsid w:val="00CD341F"/>
    <w:rsid w:val="00CD3809"/>
    <w:rsid w:val="00CD495F"/>
    <w:rsid w:val="00CD4AD1"/>
    <w:rsid w:val="00CD4EA6"/>
    <w:rsid w:val="00CD5531"/>
    <w:rsid w:val="00CD634B"/>
    <w:rsid w:val="00CD758B"/>
    <w:rsid w:val="00CE2186"/>
    <w:rsid w:val="00CE4E07"/>
    <w:rsid w:val="00CE5885"/>
    <w:rsid w:val="00CE6C30"/>
    <w:rsid w:val="00CE7232"/>
    <w:rsid w:val="00CF062B"/>
    <w:rsid w:val="00CF1076"/>
    <w:rsid w:val="00CF2792"/>
    <w:rsid w:val="00CF5FA7"/>
    <w:rsid w:val="00CF68B8"/>
    <w:rsid w:val="00D02AC3"/>
    <w:rsid w:val="00D03A51"/>
    <w:rsid w:val="00D03C6E"/>
    <w:rsid w:val="00D05102"/>
    <w:rsid w:val="00D055BB"/>
    <w:rsid w:val="00D05E27"/>
    <w:rsid w:val="00D10558"/>
    <w:rsid w:val="00D1116A"/>
    <w:rsid w:val="00D116F5"/>
    <w:rsid w:val="00D11BEE"/>
    <w:rsid w:val="00D15261"/>
    <w:rsid w:val="00D17675"/>
    <w:rsid w:val="00D176B3"/>
    <w:rsid w:val="00D220E5"/>
    <w:rsid w:val="00D2257E"/>
    <w:rsid w:val="00D23514"/>
    <w:rsid w:val="00D2391F"/>
    <w:rsid w:val="00D26F9F"/>
    <w:rsid w:val="00D27F34"/>
    <w:rsid w:val="00D30095"/>
    <w:rsid w:val="00D301CE"/>
    <w:rsid w:val="00D30E6E"/>
    <w:rsid w:val="00D3143D"/>
    <w:rsid w:val="00D322AB"/>
    <w:rsid w:val="00D33367"/>
    <w:rsid w:val="00D3523A"/>
    <w:rsid w:val="00D35A52"/>
    <w:rsid w:val="00D40BC7"/>
    <w:rsid w:val="00D43993"/>
    <w:rsid w:val="00D441F6"/>
    <w:rsid w:val="00D44317"/>
    <w:rsid w:val="00D45FD1"/>
    <w:rsid w:val="00D477D5"/>
    <w:rsid w:val="00D4795A"/>
    <w:rsid w:val="00D47CD9"/>
    <w:rsid w:val="00D47D03"/>
    <w:rsid w:val="00D509A8"/>
    <w:rsid w:val="00D517E1"/>
    <w:rsid w:val="00D528A9"/>
    <w:rsid w:val="00D542C5"/>
    <w:rsid w:val="00D605A8"/>
    <w:rsid w:val="00D617FD"/>
    <w:rsid w:val="00D6187D"/>
    <w:rsid w:val="00D6289B"/>
    <w:rsid w:val="00D62D38"/>
    <w:rsid w:val="00D63D2F"/>
    <w:rsid w:val="00D73C69"/>
    <w:rsid w:val="00D73CC1"/>
    <w:rsid w:val="00D743EB"/>
    <w:rsid w:val="00D751EA"/>
    <w:rsid w:val="00D756A6"/>
    <w:rsid w:val="00D763E2"/>
    <w:rsid w:val="00D771EB"/>
    <w:rsid w:val="00D80235"/>
    <w:rsid w:val="00D80A75"/>
    <w:rsid w:val="00D80C5D"/>
    <w:rsid w:val="00D820F9"/>
    <w:rsid w:val="00D85E0C"/>
    <w:rsid w:val="00D8698F"/>
    <w:rsid w:val="00D8718B"/>
    <w:rsid w:val="00D9161C"/>
    <w:rsid w:val="00D94B1A"/>
    <w:rsid w:val="00D96DBF"/>
    <w:rsid w:val="00D970E6"/>
    <w:rsid w:val="00D97D86"/>
    <w:rsid w:val="00DA06B7"/>
    <w:rsid w:val="00DA0B3D"/>
    <w:rsid w:val="00DA182E"/>
    <w:rsid w:val="00DA36C1"/>
    <w:rsid w:val="00DA3E10"/>
    <w:rsid w:val="00DA50E5"/>
    <w:rsid w:val="00DA798D"/>
    <w:rsid w:val="00DB29CE"/>
    <w:rsid w:val="00DC0837"/>
    <w:rsid w:val="00DC1507"/>
    <w:rsid w:val="00DC33DB"/>
    <w:rsid w:val="00DC61CF"/>
    <w:rsid w:val="00DD0705"/>
    <w:rsid w:val="00DD3D50"/>
    <w:rsid w:val="00DD6EBF"/>
    <w:rsid w:val="00DD714B"/>
    <w:rsid w:val="00DD7806"/>
    <w:rsid w:val="00DE1CFE"/>
    <w:rsid w:val="00DE301B"/>
    <w:rsid w:val="00DE472C"/>
    <w:rsid w:val="00DE65CA"/>
    <w:rsid w:val="00DF0EF7"/>
    <w:rsid w:val="00DF223E"/>
    <w:rsid w:val="00DF3270"/>
    <w:rsid w:val="00DF4603"/>
    <w:rsid w:val="00DF4ADE"/>
    <w:rsid w:val="00DF5225"/>
    <w:rsid w:val="00DF5EFA"/>
    <w:rsid w:val="00DF6450"/>
    <w:rsid w:val="00DF76B8"/>
    <w:rsid w:val="00E0022F"/>
    <w:rsid w:val="00E003EE"/>
    <w:rsid w:val="00E02953"/>
    <w:rsid w:val="00E04495"/>
    <w:rsid w:val="00E05487"/>
    <w:rsid w:val="00E0552D"/>
    <w:rsid w:val="00E102B2"/>
    <w:rsid w:val="00E1062D"/>
    <w:rsid w:val="00E11A82"/>
    <w:rsid w:val="00E12EF1"/>
    <w:rsid w:val="00E17471"/>
    <w:rsid w:val="00E22053"/>
    <w:rsid w:val="00E2207B"/>
    <w:rsid w:val="00E23FFE"/>
    <w:rsid w:val="00E24327"/>
    <w:rsid w:val="00E258F7"/>
    <w:rsid w:val="00E27279"/>
    <w:rsid w:val="00E3046E"/>
    <w:rsid w:val="00E30D71"/>
    <w:rsid w:val="00E3135B"/>
    <w:rsid w:val="00E32D72"/>
    <w:rsid w:val="00E32F6A"/>
    <w:rsid w:val="00E346E3"/>
    <w:rsid w:val="00E364E3"/>
    <w:rsid w:val="00E37290"/>
    <w:rsid w:val="00E373ED"/>
    <w:rsid w:val="00E3770F"/>
    <w:rsid w:val="00E40BBE"/>
    <w:rsid w:val="00E412D5"/>
    <w:rsid w:val="00E428F6"/>
    <w:rsid w:val="00E437EA"/>
    <w:rsid w:val="00E45F28"/>
    <w:rsid w:val="00E508B3"/>
    <w:rsid w:val="00E5199C"/>
    <w:rsid w:val="00E538AD"/>
    <w:rsid w:val="00E53E87"/>
    <w:rsid w:val="00E54116"/>
    <w:rsid w:val="00E5736F"/>
    <w:rsid w:val="00E604E2"/>
    <w:rsid w:val="00E61AAA"/>
    <w:rsid w:val="00E637F6"/>
    <w:rsid w:val="00E64FEE"/>
    <w:rsid w:val="00E67BF1"/>
    <w:rsid w:val="00E718C6"/>
    <w:rsid w:val="00E71A95"/>
    <w:rsid w:val="00E72BA3"/>
    <w:rsid w:val="00E72D6F"/>
    <w:rsid w:val="00E7492A"/>
    <w:rsid w:val="00E7614F"/>
    <w:rsid w:val="00E76A2A"/>
    <w:rsid w:val="00E76C53"/>
    <w:rsid w:val="00E80D1A"/>
    <w:rsid w:val="00E81878"/>
    <w:rsid w:val="00E82A8E"/>
    <w:rsid w:val="00E84545"/>
    <w:rsid w:val="00E8560C"/>
    <w:rsid w:val="00E86746"/>
    <w:rsid w:val="00E87292"/>
    <w:rsid w:val="00E87950"/>
    <w:rsid w:val="00E9047B"/>
    <w:rsid w:val="00E91BB3"/>
    <w:rsid w:val="00E92316"/>
    <w:rsid w:val="00E93433"/>
    <w:rsid w:val="00E944C6"/>
    <w:rsid w:val="00E96E54"/>
    <w:rsid w:val="00EA1744"/>
    <w:rsid w:val="00EA28A5"/>
    <w:rsid w:val="00EB1A30"/>
    <w:rsid w:val="00EB2DBD"/>
    <w:rsid w:val="00EB5724"/>
    <w:rsid w:val="00EB673C"/>
    <w:rsid w:val="00EB7E3D"/>
    <w:rsid w:val="00EC00B4"/>
    <w:rsid w:val="00EC0493"/>
    <w:rsid w:val="00EC0E6D"/>
    <w:rsid w:val="00EC1894"/>
    <w:rsid w:val="00EC3579"/>
    <w:rsid w:val="00EC7E39"/>
    <w:rsid w:val="00ED01C4"/>
    <w:rsid w:val="00ED1F61"/>
    <w:rsid w:val="00ED2059"/>
    <w:rsid w:val="00ED2960"/>
    <w:rsid w:val="00ED3B9C"/>
    <w:rsid w:val="00ED4774"/>
    <w:rsid w:val="00ED4C0C"/>
    <w:rsid w:val="00ED615F"/>
    <w:rsid w:val="00ED711B"/>
    <w:rsid w:val="00EE02B4"/>
    <w:rsid w:val="00EE17FD"/>
    <w:rsid w:val="00EE2710"/>
    <w:rsid w:val="00EE2FBF"/>
    <w:rsid w:val="00EE351B"/>
    <w:rsid w:val="00EE3C29"/>
    <w:rsid w:val="00EE52D6"/>
    <w:rsid w:val="00EE584F"/>
    <w:rsid w:val="00EE712A"/>
    <w:rsid w:val="00EE7287"/>
    <w:rsid w:val="00EE7F8C"/>
    <w:rsid w:val="00EF00A7"/>
    <w:rsid w:val="00EF128E"/>
    <w:rsid w:val="00EF1E63"/>
    <w:rsid w:val="00EF5D0B"/>
    <w:rsid w:val="00EF7BC3"/>
    <w:rsid w:val="00EF7BC6"/>
    <w:rsid w:val="00F00260"/>
    <w:rsid w:val="00F02268"/>
    <w:rsid w:val="00F03EEB"/>
    <w:rsid w:val="00F0468B"/>
    <w:rsid w:val="00F10C09"/>
    <w:rsid w:val="00F10E4D"/>
    <w:rsid w:val="00F1357B"/>
    <w:rsid w:val="00F1437A"/>
    <w:rsid w:val="00F164D0"/>
    <w:rsid w:val="00F17541"/>
    <w:rsid w:val="00F203B6"/>
    <w:rsid w:val="00F215D6"/>
    <w:rsid w:val="00F2205F"/>
    <w:rsid w:val="00F23A9F"/>
    <w:rsid w:val="00F23F57"/>
    <w:rsid w:val="00F25D68"/>
    <w:rsid w:val="00F277E8"/>
    <w:rsid w:val="00F27E69"/>
    <w:rsid w:val="00F30157"/>
    <w:rsid w:val="00F30777"/>
    <w:rsid w:val="00F30E90"/>
    <w:rsid w:val="00F31ABC"/>
    <w:rsid w:val="00F327FC"/>
    <w:rsid w:val="00F3340C"/>
    <w:rsid w:val="00F34AF2"/>
    <w:rsid w:val="00F35E07"/>
    <w:rsid w:val="00F42C85"/>
    <w:rsid w:val="00F442B4"/>
    <w:rsid w:val="00F47A26"/>
    <w:rsid w:val="00F47EEF"/>
    <w:rsid w:val="00F51013"/>
    <w:rsid w:val="00F530C6"/>
    <w:rsid w:val="00F54696"/>
    <w:rsid w:val="00F5523D"/>
    <w:rsid w:val="00F56638"/>
    <w:rsid w:val="00F577DE"/>
    <w:rsid w:val="00F6014D"/>
    <w:rsid w:val="00F60304"/>
    <w:rsid w:val="00F605FA"/>
    <w:rsid w:val="00F62004"/>
    <w:rsid w:val="00F629E6"/>
    <w:rsid w:val="00F643D6"/>
    <w:rsid w:val="00F64F32"/>
    <w:rsid w:val="00F67172"/>
    <w:rsid w:val="00F671CE"/>
    <w:rsid w:val="00F6782C"/>
    <w:rsid w:val="00F70E1C"/>
    <w:rsid w:val="00F72275"/>
    <w:rsid w:val="00F72957"/>
    <w:rsid w:val="00F76062"/>
    <w:rsid w:val="00F767AC"/>
    <w:rsid w:val="00F767E5"/>
    <w:rsid w:val="00F768DA"/>
    <w:rsid w:val="00F802E5"/>
    <w:rsid w:val="00F80D6B"/>
    <w:rsid w:val="00F82564"/>
    <w:rsid w:val="00F856B5"/>
    <w:rsid w:val="00F85AFF"/>
    <w:rsid w:val="00F8657A"/>
    <w:rsid w:val="00F8728A"/>
    <w:rsid w:val="00F91989"/>
    <w:rsid w:val="00F947E2"/>
    <w:rsid w:val="00F94CF0"/>
    <w:rsid w:val="00F9555C"/>
    <w:rsid w:val="00F95C7F"/>
    <w:rsid w:val="00F966CF"/>
    <w:rsid w:val="00F966E6"/>
    <w:rsid w:val="00F969B1"/>
    <w:rsid w:val="00F96C3F"/>
    <w:rsid w:val="00F97B3D"/>
    <w:rsid w:val="00F97FD6"/>
    <w:rsid w:val="00FA1166"/>
    <w:rsid w:val="00FA1CD1"/>
    <w:rsid w:val="00FA4342"/>
    <w:rsid w:val="00FA5FF9"/>
    <w:rsid w:val="00FA7179"/>
    <w:rsid w:val="00FB002C"/>
    <w:rsid w:val="00FB1C11"/>
    <w:rsid w:val="00FB292B"/>
    <w:rsid w:val="00FB3D9E"/>
    <w:rsid w:val="00FB46F5"/>
    <w:rsid w:val="00FB53CE"/>
    <w:rsid w:val="00FB54D5"/>
    <w:rsid w:val="00FB6FFC"/>
    <w:rsid w:val="00FC162F"/>
    <w:rsid w:val="00FC1805"/>
    <w:rsid w:val="00FC1B56"/>
    <w:rsid w:val="00FC27B0"/>
    <w:rsid w:val="00FC2CBB"/>
    <w:rsid w:val="00FC31F5"/>
    <w:rsid w:val="00FC3B24"/>
    <w:rsid w:val="00FC5D0F"/>
    <w:rsid w:val="00FC63D8"/>
    <w:rsid w:val="00FC6FF2"/>
    <w:rsid w:val="00FD0247"/>
    <w:rsid w:val="00FD4AAE"/>
    <w:rsid w:val="00FD5425"/>
    <w:rsid w:val="00FD6426"/>
    <w:rsid w:val="00FE1EDB"/>
    <w:rsid w:val="00FE24C2"/>
    <w:rsid w:val="00FE2CD3"/>
    <w:rsid w:val="00FE407B"/>
    <w:rsid w:val="00FE45FE"/>
    <w:rsid w:val="00FE7D4B"/>
    <w:rsid w:val="00FF1C4A"/>
    <w:rsid w:val="00FF1DBE"/>
    <w:rsid w:val="00FF50C1"/>
    <w:rsid w:val="00FF6CA0"/>
    <w:rsid w:val="00FF759B"/>
    <w:rsid w:val="00FF7CCE"/>
    <w:rsid w:val="0FE344E6"/>
    <w:rsid w:val="1485205E"/>
    <w:rsid w:val="15A119FD"/>
    <w:rsid w:val="2E1E279D"/>
    <w:rsid w:val="2E3954D1"/>
    <w:rsid w:val="2EA555A0"/>
    <w:rsid w:val="395B2DFA"/>
    <w:rsid w:val="3A0410D5"/>
    <w:rsid w:val="46635CB4"/>
    <w:rsid w:val="49AB6BF2"/>
    <w:rsid w:val="541E08EB"/>
    <w:rsid w:val="5A817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DE58A7"/>
  <w15:docId w15:val="{35EE5CC5-67FD-4E9C-A643-A53630401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80" w:lineRule="exact"/>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pPr>
      <w:spacing w:line="240" w:lineRule="auto"/>
    </w:pPr>
    <w:rPr>
      <w:sz w:val="18"/>
      <w:szCs w:val="18"/>
    </w:rPr>
  </w:style>
  <w:style w:type="paragraph" w:styleId="a5">
    <w:name w:val="footer"/>
    <w:basedOn w:val="a"/>
    <w:link w:val="Char1"/>
    <w:uiPriority w:val="99"/>
    <w:unhideWhenUsed/>
    <w:qFormat/>
    <w:pPr>
      <w:tabs>
        <w:tab w:val="center" w:pos="4153"/>
        <w:tab w:val="right" w:pos="8306"/>
      </w:tabs>
      <w:snapToGrid w:val="0"/>
      <w:spacing w:line="240" w:lineRule="atLeast"/>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basedOn w:val="a0"/>
    <w:uiPriority w:val="20"/>
    <w:qFormat/>
    <w:rPr>
      <w:i/>
      <w:iCs/>
    </w:rPr>
  </w:style>
  <w:style w:type="character" w:styleId="aa">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rFonts w:ascii="Times New Roman" w:eastAsia="仿宋_GB2312" w:hAnsi="Times New Roman" w:cs="Times New Roman"/>
      <w:sz w:val="18"/>
      <w:szCs w:val="18"/>
    </w:rPr>
  </w:style>
  <w:style w:type="character" w:customStyle="1" w:styleId="Char1">
    <w:name w:val="页脚 Char"/>
    <w:basedOn w:val="a0"/>
    <w:link w:val="a5"/>
    <w:uiPriority w:val="99"/>
    <w:qFormat/>
    <w:rPr>
      <w:rFonts w:ascii="Times New Roman" w:eastAsia="仿宋_GB2312" w:hAnsi="Times New Roman" w:cs="Times New Roman"/>
      <w:sz w:val="18"/>
      <w:szCs w:val="18"/>
    </w:rPr>
  </w:style>
  <w:style w:type="character" w:customStyle="1" w:styleId="Char0">
    <w:name w:val="批注框文本 Char"/>
    <w:basedOn w:val="a0"/>
    <w:link w:val="a4"/>
    <w:uiPriority w:val="99"/>
    <w:semiHidden/>
    <w:qFormat/>
    <w:rPr>
      <w:rFonts w:ascii="Times New Roman" w:eastAsia="仿宋_GB2312" w:hAnsi="Times New Roman" w:cs="Times New Roman"/>
      <w:sz w:val="18"/>
      <w:szCs w:val="18"/>
    </w:rPr>
  </w:style>
  <w:style w:type="character" w:customStyle="1" w:styleId="dt-editorword">
    <w:name w:val="dt-editor__word"/>
    <w:basedOn w:val="a0"/>
    <w:qFormat/>
  </w:style>
  <w:style w:type="paragraph" w:customStyle="1" w:styleId="Default">
    <w:name w:val="Default"/>
    <w:qFormat/>
    <w:pPr>
      <w:widowControl w:val="0"/>
      <w:autoSpaceDE w:val="0"/>
      <w:autoSpaceDN w:val="0"/>
      <w:adjustRightInd w:val="0"/>
    </w:pPr>
    <w:rPr>
      <w:rFonts w:ascii="仿宋_GB2312" w:eastAsia="仿宋_GB2312" w:hAnsiTheme="minorHAnsi" w:cs="仿宋_GB2312"/>
      <w:color w:val="000000"/>
      <w:sz w:val="24"/>
      <w:szCs w:val="24"/>
    </w:rPr>
  </w:style>
  <w:style w:type="character" w:customStyle="1" w:styleId="Char">
    <w:name w:val="批注文字 Char"/>
    <w:basedOn w:val="a0"/>
    <w:link w:val="a3"/>
    <w:uiPriority w:val="99"/>
    <w:semiHidden/>
    <w:qFormat/>
    <w:rPr>
      <w:rFonts w:ascii="Times New Roman" w:eastAsia="仿宋_GB2312" w:hAnsi="Times New Roman" w:cs="Times New Roman"/>
      <w:kern w:val="2"/>
      <w:sz w:val="32"/>
      <w:szCs w:val="24"/>
    </w:rPr>
  </w:style>
  <w:style w:type="character" w:customStyle="1" w:styleId="Char3">
    <w:name w:val="批注主题 Char"/>
    <w:basedOn w:val="Char"/>
    <w:link w:val="a7"/>
    <w:uiPriority w:val="99"/>
    <w:semiHidden/>
    <w:qFormat/>
    <w:rPr>
      <w:rFonts w:ascii="Times New Roman" w:eastAsia="仿宋_GB2312" w:hAnsi="Times New Roman" w:cs="Times New Roman"/>
      <w:b/>
      <w:bCs/>
      <w:kern w:val="2"/>
      <w:sz w:val="32"/>
      <w:szCs w:val="24"/>
    </w:rPr>
  </w:style>
  <w:style w:type="paragraph" w:styleId="ab">
    <w:name w:val="List Paragraph"/>
    <w:basedOn w:val="a"/>
    <w:link w:val="Char4"/>
    <w:uiPriority w:val="34"/>
    <w:qFormat/>
    <w:pPr>
      <w:spacing w:line="240" w:lineRule="auto"/>
      <w:ind w:firstLineChars="200" w:firstLine="420"/>
    </w:pPr>
    <w:rPr>
      <w:rFonts w:eastAsia="宋体"/>
      <w:sz w:val="21"/>
      <w:szCs w:val="21"/>
    </w:rPr>
  </w:style>
  <w:style w:type="character" w:customStyle="1" w:styleId="Char4">
    <w:name w:val="列出段落 Char"/>
    <w:link w:val="ab"/>
    <w:uiPriority w:val="34"/>
    <w:qFormat/>
    <w:locked/>
    <w:rPr>
      <w:rFonts w:ascii="Times New Roman" w:eastAsia="宋体" w:hAnsi="Times New Roman"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656</Words>
  <Characters>3744</Characters>
  <Application>Microsoft Office Word</Application>
  <DocSecurity>0</DocSecurity>
  <Lines>31</Lines>
  <Paragraphs>8</Paragraphs>
  <ScaleCrop>false</ScaleCrop>
  <Company>神州网信技术有限公司</Company>
  <LinksUpToDate>false</LinksUpToDate>
  <CharactersWithSpaces>4392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 剑</dc:creator>
  <cp:lastModifiedBy>章欣</cp:lastModifiedBy>
  <cp:revision>2</cp:revision>
  <cp:lastPrinted>2025-09-05T06:07:00Z</cp:lastPrinted>
  <dcterms:created xsi:type="dcterms:W3CDTF">2025-09-05T06:07:00Z</dcterms:created>
  <dcterms:modified xsi:type="dcterms:W3CDTF">2025-09-05T06:07:00Z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3EB8F68132E24FC18A68F9DD050AD331</vt:lpwstr>
  </property>
  <property fmtid="{D5CDD505-2E9C-101B-9397-08002B2CF9AE}" pid="4" name="KSOTemplateDocerSaveRecord">
    <vt:lpwstr>eyJoZGlkIjoiYjRkZjhjMGMxNWIxM2YyNzc4ZTQzYTkxOGFiNTU0Y2EiLCJ1c2VySWQiOiIxMDg3MTk3MTM2In0=</vt:lpwstr>
  </property>
</Properties>
</file>