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证券代码：</w:t>
      </w:r>
      <w:r>
        <w:rPr>
          <w:rFonts w:ascii="Times New Roman" w:cs="Times New Roman" w:hAnsi="Times New Roman"/>
          <w:sz w:val="24"/>
          <w:szCs w:val="24"/>
        </w:rPr>
        <w:t xml:space="preserve">603657                                   </w:t>
      </w:r>
      <w:r>
        <w:rPr>
          <w:rFonts w:ascii="Times New Roman" w:cs="Times New Roman" w:hAnsi="Times New Roman"/>
          <w:sz w:val="24"/>
          <w:szCs w:val="24"/>
        </w:rPr>
        <w:t>证券简称：春光科技</w:t>
      </w:r>
    </w:p>
    <w:p>
      <w:pPr>
        <w:pStyle w:val="style0"/>
        <w:jc w:val="center"/>
        <w:rPr>
          <w:b/>
          <w:sz w:val="30"/>
          <w:szCs w:val="30"/>
        </w:rPr>
      </w:pPr>
    </w:p>
    <w:p>
      <w:pPr>
        <w:pStyle w:val="style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金华</w:t>
      </w:r>
      <w:r>
        <w:rPr>
          <w:b/>
          <w:sz w:val="30"/>
          <w:szCs w:val="30"/>
        </w:rPr>
        <w:t>春光橡塑科技股份有限公司</w:t>
      </w:r>
    </w:p>
    <w:p>
      <w:pPr>
        <w:pStyle w:val="style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投资者关系活动记录表</w:t>
      </w:r>
    </w:p>
    <w:p>
      <w:pPr>
        <w:pStyle w:val="style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</w:t>
      </w:r>
      <w:r>
        <w:rPr>
          <w:rFonts w:hint="eastAsia"/>
          <w:sz w:val="30"/>
          <w:szCs w:val="30"/>
        </w:rPr>
        <w:t>编号</w:t>
      </w:r>
      <w:r>
        <w:rPr>
          <w:sz w:val="30"/>
          <w:szCs w:val="30"/>
        </w:rPr>
        <w:t>：</w:t>
      </w:r>
      <w:r>
        <w:rPr>
          <w:rFonts w:ascii="Times New Roman" w:cs="Times New Roman" w:hAnsi="Times New Roman"/>
          <w:sz w:val="30"/>
          <w:szCs w:val="30"/>
        </w:rPr>
        <w:t>202</w:t>
      </w:r>
      <w:r>
        <w:rPr>
          <w:rFonts w:ascii="Times New Roman" w:cs="Times New Roman" w:hAnsi="Times New Roman" w:hint="eastAsia"/>
          <w:sz w:val="30"/>
          <w:szCs w:val="30"/>
        </w:rPr>
        <w:t>5</w:t>
      </w:r>
      <w:r>
        <w:rPr>
          <w:rFonts w:ascii="Times New Roman" w:cs="Times New Roman" w:hAnsi="Times New Roman"/>
          <w:sz w:val="30"/>
          <w:szCs w:val="30"/>
        </w:rPr>
        <w:t>-00</w:t>
      </w:r>
      <w:r>
        <w:rPr>
          <w:rFonts w:ascii="Times New Roman" w:cs="Times New Roman" w:hAnsi="Times New Roman"/>
          <w:sz w:val="30"/>
          <w:szCs w:val="30"/>
        </w:rPr>
        <w:t>4</w:t>
      </w:r>
    </w:p>
    <w:tbl>
      <w:tblPr>
        <w:tblStyle w:val="style154"/>
        <w:tblW w:w="9498" w:type="dxa"/>
        <w:tblInd w:w="-714" w:type="dxa"/>
        <w:tblLook w:val="04A0" w:firstRow="1" w:lastRow="0" w:firstColumn="1" w:lastColumn="0" w:noHBand="0" w:noVBand="1"/>
      </w:tblPr>
      <w:tblGrid>
        <w:gridCol w:w="2269"/>
        <w:gridCol w:w="7229"/>
      </w:tblGrid>
      <w:tr>
        <w:trPr>
          <w:trHeight w:val="1612" w:hRule="atLeast"/>
        </w:trPr>
        <w:tc>
          <w:tcPr>
            <w:tcW w:w="2269" w:type="dxa"/>
            <w:tcBorders/>
            <w:vAlign w:val="center"/>
          </w:tcPr>
          <w:p>
            <w:pPr>
              <w:pStyle w:val="style0"/>
              <w:spacing w:lineRule="exact" w:line="440"/>
              <w:ind w:left="225" w:leftChars="50" w:hanging="120" w:hangingChars="50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投资者</w:t>
            </w:r>
            <w:r>
              <w:rPr>
                <w:rFonts w:ascii="宋体" w:hAnsi="宋体"/>
                <w:b/>
                <w:sz w:val="24"/>
                <w:szCs w:val="24"/>
              </w:rPr>
              <w:t>关系</w:t>
            </w:r>
          </w:p>
          <w:p>
            <w:pPr>
              <w:pStyle w:val="style0"/>
              <w:spacing w:lineRule="exact" w:line="440"/>
              <w:ind w:left="225" w:leftChars="50" w:hanging="120" w:hangingChars="50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活动类别</w:t>
            </w:r>
          </w:p>
        </w:tc>
        <w:tc>
          <w:tcPr>
            <w:tcW w:w="7229" w:type="dxa"/>
            <w:tcBorders/>
          </w:tcPr>
          <w:p>
            <w:pPr>
              <w:pStyle w:val="style0"/>
              <w:spacing w:lineRule="exact" w:line="5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MS Mincho" w:cs="MS Mincho" w:eastAsia="MS Mincho" w:hAnsi="MS Mincho" w:hint="eastAsia"/>
                <w:sz w:val="24"/>
                <w:szCs w:val="24"/>
              </w:rPr>
              <w:sym w:font="Wingdings 2" w:char="f052"/>
            </w:r>
            <w:r>
              <w:rPr>
                <w:rFonts w:ascii="宋体" w:hAnsi="宋体" w:hint="eastAsia"/>
                <w:sz w:val="24"/>
                <w:szCs w:val="24"/>
              </w:rPr>
              <w:t>特定</w:t>
            </w:r>
            <w:r>
              <w:rPr>
                <w:rFonts w:ascii="宋体" w:hAnsi="宋体"/>
                <w:sz w:val="24"/>
                <w:szCs w:val="24"/>
              </w:rPr>
              <w:t>对象调研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>分析师</w:t>
            </w:r>
            <w:r>
              <w:rPr>
                <w:rFonts w:ascii="宋体" w:hAnsi="宋体"/>
                <w:sz w:val="24"/>
                <w:szCs w:val="24"/>
              </w:rPr>
              <w:t>会议</w:t>
            </w:r>
          </w:p>
          <w:p>
            <w:pPr>
              <w:pStyle w:val="style0"/>
              <w:spacing w:lineRule="exact" w:line="5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>媒体</w:t>
            </w:r>
            <w:r>
              <w:rPr>
                <w:rFonts w:ascii="宋体" w:hAnsi="宋体"/>
                <w:sz w:val="24"/>
                <w:szCs w:val="24"/>
              </w:rPr>
              <w:t>采访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>业绩</w:t>
            </w:r>
            <w:r>
              <w:rPr>
                <w:rFonts w:ascii="宋体" w:hAnsi="宋体"/>
                <w:sz w:val="24"/>
                <w:szCs w:val="24"/>
              </w:rPr>
              <w:t>说明会</w:t>
            </w:r>
          </w:p>
          <w:p>
            <w:pPr>
              <w:pStyle w:val="style0"/>
              <w:spacing w:lineRule="exact" w:line="5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>新闻</w:t>
            </w:r>
            <w:r>
              <w:rPr>
                <w:rFonts w:ascii="宋体" w:hAnsi="宋体"/>
                <w:sz w:val="24"/>
                <w:szCs w:val="24"/>
              </w:rPr>
              <w:t>发布会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>路演</w:t>
            </w:r>
            <w:r>
              <w:rPr>
                <w:rFonts w:ascii="宋体" w:hAnsi="宋体"/>
                <w:sz w:val="24"/>
                <w:szCs w:val="24"/>
              </w:rPr>
              <w:t>活动</w:t>
            </w:r>
          </w:p>
          <w:p>
            <w:pPr>
              <w:pStyle w:val="style0"/>
              <w:spacing w:lineRule="exact" w:line="5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MS Mincho" w:cs="MS Mincho" w:eastAsia="MS Mincho" w:hAnsi="MS Mincho" w:hint="eastAsia"/>
                <w:sz w:val="24"/>
                <w:szCs w:val="24"/>
              </w:rPr>
              <w:sym w:font="Wingdings 2" w:char="f052"/>
            </w:r>
            <w:r>
              <w:rPr>
                <w:rFonts w:ascii="宋体" w:hAnsi="宋体" w:hint="eastAsia"/>
                <w:sz w:val="24"/>
                <w:szCs w:val="24"/>
              </w:rPr>
              <w:t xml:space="preserve">现场参观                     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</w:tr>
      <w:tr>
        <w:tblPrEx/>
        <w:trPr>
          <w:trHeight w:val="768" w:hRule="atLeast"/>
        </w:trPr>
        <w:tc>
          <w:tcPr>
            <w:tcW w:w="2269" w:type="dxa"/>
            <w:tcBorders/>
            <w:vAlign w:val="center"/>
          </w:tcPr>
          <w:p>
            <w:pPr>
              <w:pStyle w:val="style0"/>
              <w:spacing w:lineRule="exact" w:line="360"/>
              <w:ind w:left="120" w:hanging="120" w:hangingChars="5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参与</w:t>
            </w:r>
            <w:r>
              <w:rPr>
                <w:rFonts w:ascii="宋体" w:hAnsi="宋体"/>
                <w:b/>
                <w:sz w:val="24"/>
                <w:szCs w:val="24"/>
              </w:rPr>
              <w:t>单位名称及</w:t>
            </w:r>
          </w:p>
          <w:p>
            <w:pPr>
              <w:pStyle w:val="style0"/>
              <w:spacing w:lineRule="exact" w:line="360"/>
              <w:ind w:left="120" w:hanging="120" w:hangingChars="5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人员姓名</w:t>
            </w:r>
          </w:p>
        </w:tc>
        <w:tc>
          <w:tcPr>
            <w:tcW w:w="7229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</w:rPr>
              <w:t>招商证券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史晋星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 xml:space="preserve"> </w:t>
            </w:r>
          </w:p>
        </w:tc>
      </w:tr>
      <w:tr>
        <w:tblPrEx/>
        <w:trPr/>
        <w:tc>
          <w:tcPr>
            <w:tcW w:w="2269" w:type="dxa"/>
            <w:tcBorders/>
            <w:vAlign w:val="center"/>
          </w:tcPr>
          <w:p>
            <w:pPr>
              <w:pStyle w:val="style0"/>
              <w:spacing w:lineRule="exact" w:line="44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2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</w:rPr>
              <w:t>202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日</w:t>
            </w:r>
          </w:p>
        </w:tc>
      </w:tr>
      <w:tr>
        <w:tblPrEx/>
        <w:trPr/>
        <w:tc>
          <w:tcPr>
            <w:tcW w:w="2269" w:type="dxa"/>
            <w:tcBorders/>
            <w:vAlign w:val="center"/>
          </w:tcPr>
          <w:p>
            <w:pPr>
              <w:pStyle w:val="style0"/>
              <w:spacing w:lineRule="exact" w:line="44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72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</w:rPr>
              <w:t>公司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子公司苏州尚腾公司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会议室</w:t>
            </w:r>
          </w:p>
        </w:tc>
      </w:tr>
      <w:tr>
        <w:tblPrEx/>
        <w:trPr/>
        <w:tc>
          <w:tcPr>
            <w:tcW w:w="2269" w:type="dxa"/>
            <w:tcBorders/>
            <w:vAlign w:val="center"/>
          </w:tcPr>
          <w:p>
            <w:pPr>
              <w:pStyle w:val="style0"/>
              <w:spacing w:lineRule="exact" w:line="44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上市</w:t>
            </w:r>
            <w:r>
              <w:rPr>
                <w:rFonts w:ascii="宋体" w:hAnsi="宋体"/>
                <w:b/>
                <w:sz w:val="24"/>
                <w:szCs w:val="24"/>
              </w:rPr>
              <w:t>公司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接待 </w:t>
            </w:r>
          </w:p>
          <w:p>
            <w:pPr>
              <w:pStyle w:val="style0"/>
              <w:spacing w:lineRule="exact" w:line="44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人员姓名</w:t>
            </w:r>
          </w:p>
        </w:tc>
        <w:tc>
          <w:tcPr>
            <w:tcW w:w="7229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</w:rPr>
              <w:t>董事兼总经理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陈凯</w:t>
            </w:r>
          </w:p>
        </w:tc>
      </w:tr>
      <w:tr>
        <w:tblPrEx/>
        <w:trPr>
          <w:trHeight w:val="1692" w:hRule="atLeast"/>
        </w:trPr>
        <w:tc>
          <w:tcPr>
            <w:tcW w:w="2269" w:type="dxa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投资者</w:t>
            </w:r>
            <w:r>
              <w:rPr>
                <w:rFonts w:ascii="宋体" w:hAnsi="宋体"/>
                <w:b/>
                <w:sz w:val="24"/>
                <w:szCs w:val="24"/>
              </w:rPr>
              <w:t>关系活动主要内容介绍</w:t>
            </w:r>
          </w:p>
        </w:tc>
        <w:tc>
          <w:tcPr>
            <w:tcW w:w="7229" w:type="dxa"/>
            <w:tcBorders/>
          </w:tcPr>
          <w:p>
            <w:pPr>
              <w:pStyle w:val="style0"/>
              <w:spacing w:lineRule="exact" w:line="4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</w:rPr>
              <w:t>问：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公司对外投资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是基于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公司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国内发展的信心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吗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？</w:t>
            </w:r>
          </w:p>
          <w:p>
            <w:pPr>
              <w:pStyle w:val="style0"/>
              <w:spacing w:lineRule="exact" w:line="4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</w:rPr>
              <w:t>答：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公司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今年上半年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国内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业务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增长主要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来源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于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整机代工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业务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，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公司整机代工业务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除顺造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客户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以外还有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LG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等客户储备。</w:t>
            </w:r>
            <w:bookmarkStart w:id="0" w:name="_GoBack"/>
            <w:bookmarkEnd w:id="0"/>
          </w:p>
          <w:p>
            <w:pPr>
              <w:pStyle w:val="style0"/>
              <w:spacing w:lineRule="exact" w:line="4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lineRule="exact" w:line="4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</w:rPr>
              <w:t>问：海外发展战略，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20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24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年新增投资越南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Tengyue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和马来西亚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Suntone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两个海外公司，加快海外供应链布局，目前海外发展思路如何？</w:t>
            </w:r>
          </w:p>
          <w:p>
            <w:pPr>
              <w:pStyle w:val="style0"/>
              <w:spacing w:lineRule="exact" w:line="4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</w:rPr>
              <w:t>答：（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公司</w:t>
            </w:r>
            <w:r>
              <w:rPr>
                <w:rFonts w:ascii="Times New Roman" w:cs="Times New Roman" w:hAnsi="Times New Roman" w:hint="eastAsia"/>
                <w:sz w:val="24"/>
                <w:szCs w:val="24"/>
                <w:lang w:eastAsia="zh-CN"/>
              </w:rPr>
              <w:t>控股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孙公司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越南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tengyue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公司，现在主做环境电器，以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电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风扇、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空气净化器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等产品为主，跟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公司全资孙公司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越南尚腾工厂主做清洁电器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吸尘器业务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分开管理。</w:t>
            </w:r>
          </w:p>
          <w:p>
            <w:pPr>
              <w:pStyle w:val="style0"/>
              <w:spacing w:lineRule="exact" w:line="4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公司控股孙公司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马来西亚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Suntone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公司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，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是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2024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年公司跟当地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企业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合资成立，现在处于新客户导入、试产阶段。当初合资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公司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主要是从提升海外产能角度考虑。</w:t>
            </w:r>
          </w:p>
          <w:p>
            <w:pPr>
              <w:pStyle w:val="style0"/>
              <w:spacing w:lineRule="exact" w:line="4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lineRule="exact" w:line="4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</w:rPr>
              <w:t>问：海外关税应对准备是否充分？</w:t>
            </w:r>
          </w:p>
          <w:p>
            <w:pPr>
              <w:pStyle w:val="style0"/>
              <w:spacing w:lineRule="exact" w:line="4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</w:rPr>
              <w:t>答：公司目前在越南、马来西亚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已有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三个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整机代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工厂。</w:t>
            </w:r>
          </w:p>
          <w:p>
            <w:pPr>
              <w:pStyle w:val="style0"/>
              <w:spacing w:lineRule="exact" w:line="4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lineRule="exact" w:line="4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</w:rPr>
              <w:t>问：春光从零部件软管配件转型整机制造，战略调整成效很明显，下一阶段整机生产利润率提升如何发力？</w:t>
            </w:r>
          </w:p>
          <w:p>
            <w:pPr>
              <w:pStyle w:val="style0"/>
              <w:spacing w:lineRule="exact" w:line="4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</w:rPr>
              <w:t>答：公司通过这几年的海外业务布局，稳住海外客户订单后，下一步将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努力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提升</w:t>
            </w:r>
            <w:r>
              <w:rPr>
                <w:rFonts w:ascii="Times New Roman" w:cs="Times New Roman" w:hAnsi="Times New Roman" w:hint="eastAsia"/>
                <w:sz w:val="24"/>
                <w:szCs w:val="24"/>
                <w:lang w:eastAsia="zh-CN"/>
              </w:rPr>
              <w:t>整机业务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产业链</w:t>
            </w:r>
            <w:r>
              <w:rPr>
                <w:rFonts w:ascii="Times New Roman" w:cs="Times New Roman" w:hAnsi="Times New Roman" w:hint="eastAsia"/>
                <w:sz w:val="24"/>
                <w:szCs w:val="24"/>
                <w:lang w:eastAsia="zh-CN"/>
              </w:rPr>
              <w:t>部件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自制率，除软管配件外，比如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马达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、铝管、滚刷等，公司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已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可以实现自制，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但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导入客户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还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需要认证周期。对内方面，进一步改善管理效率，提升精益制造水平，努力提高整机利润率。</w:t>
            </w:r>
          </w:p>
          <w:p>
            <w:pPr>
              <w:pStyle w:val="style0"/>
              <w:spacing w:lineRule="exact" w:line="4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lineRule="exact" w:line="4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</w:rPr>
              <w:t>问：公司在股东回报方面怎么考虑？</w:t>
            </w:r>
          </w:p>
          <w:p>
            <w:pPr>
              <w:pStyle w:val="style0"/>
              <w:spacing w:lineRule="exact" w:line="4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</w:rPr>
              <w:t>答：公司制定了“提质增效重回报”行动方案，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2024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年现金分红比例达归母净利润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33%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，上市以来累计分红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2.93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亿元。此外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24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月开始回购股票，累计回购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202.53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万股股票存放于回购专用账户内，未来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计划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择机用于股权激励或员工持股计划。</w:t>
            </w:r>
          </w:p>
        </w:tc>
      </w:tr>
      <w:tr>
        <w:tblPrEx/>
        <w:trPr>
          <w:trHeight w:val="111" w:hRule="atLeast"/>
        </w:trPr>
        <w:tc>
          <w:tcPr>
            <w:tcW w:w="2269" w:type="dxa"/>
            <w:tcBorders/>
            <w:vAlign w:val="center"/>
          </w:tcPr>
          <w:p>
            <w:pPr>
              <w:pStyle w:val="style0"/>
              <w:spacing w:lineRule="exact" w:line="44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附件</w:t>
            </w:r>
            <w:r>
              <w:rPr>
                <w:rFonts w:ascii="宋体" w:hAnsi="宋体"/>
                <w:b/>
                <w:sz w:val="24"/>
                <w:szCs w:val="24"/>
              </w:rPr>
              <w:t>清单（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如有</w:t>
            </w:r>
            <w:r>
              <w:rPr>
                <w:rFonts w:ascii="宋体" w:hAnsi="宋体"/>
                <w:b/>
                <w:sz w:val="24"/>
                <w:szCs w:val="24"/>
              </w:rPr>
              <w:t>）</w:t>
            </w:r>
          </w:p>
        </w:tc>
        <w:tc>
          <w:tcPr>
            <w:tcW w:w="72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无</w:t>
            </w:r>
          </w:p>
        </w:tc>
      </w:tr>
    </w:tbl>
    <w:p>
      <w:pPr>
        <w:pStyle w:val="style0"/>
        <w:spacing w:lineRule="exact" w:line="480"/>
        <w:rPr>
          <w:rFonts w:ascii="Times New Roman" w:cs="Times New Roman" w:hAnsi="Times New Roman"/>
          <w:kern w:val="0"/>
        </w:rPr>
      </w:pPr>
    </w:p>
    <w:p>
      <w:pPr>
        <w:pStyle w:val="style0"/>
        <w:rPr>
          <w:sz w:val="30"/>
          <w:szCs w:val="30"/>
        </w:rPr>
      </w:pPr>
    </w:p>
    <w:p>
      <w:pPr>
        <w:pStyle w:val="style0"/>
        <w:rPr>
          <w:sz w:val="30"/>
          <w:szCs w:val="30"/>
        </w:rPr>
      </w:pPr>
    </w:p>
    <w:p>
      <w:pPr>
        <w:pStyle w:val="style0"/>
        <w:rPr>
          <w:sz w:val="30"/>
          <w:szCs w:val="30"/>
        </w:rPr>
      </w:pPr>
    </w:p>
    <w:p>
      <w:pPr>
        <w:pStyle w:val="style0"/>
        <w:rPr>
          <w:sz w:val="30"/>
          <w:szCs w:val="30"/>
        </w:rPr>
      </w:pPr>
    </w:p>
    <w:p>
      <w:pPr>
        <w:pStyle w:val="style0"/>
        <w:rPr>
          <w:sz w:val="30"/>
          <w:szCs w:val="30"/>
        </w:rPr>
      </w:pPr>
    </w:p>
    <w:p>
      <w:pPr>
        <w:pStyle w:val="style0"/>
        <w:rPr>
          <w:sz w:val="30"/>
          <w:szCs w:val="30"/>
        </w:rPr>
      </w:pPr>
    </w:p>
    <w:p>
      <w:pPr>
        <w:pStyle w:val="style0"/>
        <w:rPr>
          <w:sz w:val="30"/>
          <w:szCs w:val="30"/>
        </w:rPr>
      </w:pPr>
    </w:p>
    <w:p>
      <w:pPr>
        <w:pStyle w:val="style0"/>
        <w:rPr>
          <w:sz w:val="30"/>
          <w:szCs w:val="30"/>
        </w:rPr>
      </w:pPr>
    </w:p>
    <w:p>
      <w:pPr>
        <w:pStyle w:val="style0"/>
        <w:rPr>
          <w:sz w:val="30"/>
          <w:szCs w:val="30"/>
        </w:rPr>
      </w:pPr>
    </w:p>
    <w:p>
      <w:pPr>
        <w:pStyle w:val="style0"/>
        <w:rPr>
          <w:sz w:val="30"/>
          <w:szCs w:val="30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002080304"/>
    <w:charset w:val="80"/>
    <w:family w:val="modern"/>
    <w:pitch w:val="fixed"/>
    <w:sig w:usb0="E00002FF" w:usb1="6AC7FDFB" w:usb2="08000012" w:usb3="00000000" w:csb0="0002009F" w:csb1="00000000"/>
  </w:font>
  <w:font w:name="Wingdings 2">
    <w:altName w:val="Wingdings 2"/>
    <w:panose1 w:val="05020102010005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7C8751A"/>
    <w:lvl w:ilvl="0" w:tplc="1082B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0000001"/>
    <w:multiLevelType w:val="hybridMultilevel"/>
    <w:tmpl w:val="342C0B94"/>
    <w:lvl w:ilvl="0" w:tplc="5854E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00000002"/>
    <w:multiLevelType w:val="singleLevel"/>
    <w:tmpl w:val="33F9AD32"/>
    <w:lvl w:ilvl="0">
      <w:start w:val="1"/>
      <w:numFmt w:val="decimal"/>
      <w:suff w:val="nothing"/>
      <w:lvlText w:val="%1、"/>
      <w:lvlJc w:val="left"/>
      <w:pPr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  <w:style w:type="character" w:customStyle="1" w:styleId="style4099">
    <w:name w:val="highlight"/>
    <w:basedOn w:val="style65"/>
    <w:next w:val="style4099"/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Words>772</Words>
  <Pages>2</Pages>
  <Characters>832</Characters>
  <Application>WPS Office</Application>
  <DocSecurity>0</DocSecurity>
  <Paragraphs>57</Paragraphs>
  <ScaleCrop>false</ScaleCrop>
  <Company>微软中国</Company>
  <LinksUpToDate>false</LinksUpToDate>
  <CharactersWithSpaces>993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2020-04-17T07:37:00Z</dcterms:created>
  <dc:creator>Administrator</dc:creator>
  <lastModifiedBy>21091116C</lastModifiedBy>
  <dcterms:modified xsi:type="dcterms:W3CDTF">2025-09-10T01:34:19Z</dcterms:modified>
  <revision>259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7b916b6a8b2a4d44aafad780d6990aa7_22</vt:lpwstr>
  </property>
</Properties>
</file>