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96F1B">
      <w:pPr>
        <w:spacing w:line="360" w:lineRule="auto"/>
        <w:jc w:val="left"/>
        <w:rPr>
          <w:rFonts w:ascii="Times" w:hAnsi="Times" w:eastAsia="宋体"/>
          <w:sz w:val="24"/>
          <w:szCs w:val="24"/>
        </w:rPr>
      </w:pPr>
      <w:r>
        <w:rPr>
          <w:rFonts w:ascii="Times" w:hAnsi="Times" w:eastAsia="宋体"/>
          <w:sz w:val="24"/>
          <w:szCs w:val="24"/>
        </w:rPr>
        <w:t>附件5：</w:t>
      </w:r>
    </w:p>
    <w:p w14:paraId="23B7AF07">
      <w:pPr>
        <w:spacing w:line="360" w:lineRule="auto"/>
        <w:jc w:val="center"/>
        <w:rPr>
          <w:rFonts w:ascii="Times" w:hAnsi="Times"/>
          <w:b/>
          <w:sz w:val="28"/>
          <w:szCs w:val="28"/>
        </w:rPr>
      </w:pPr>
      <w:r>
        <w:rPr>
          <w:rFonts w:hint="eastAsia" w:ascii="Times" w:hAnsi="Times"/>
          <w:b/>
          <w:sz w:val="28"/>
          <w:szCs w:val="28"/>
        </w:rPr>
        <w:t>今创集团股份有限公司</w:t>
      </w:r>
    </w:p>
    <w:p w14:paraId="666A42ED">
      <w:pPr>
        <w:spacing w:line="360" w:lineRule="auto"/>
        <w:jc w:val="center"/>
        <w:rPr>
          <w:rFonts w:ascii="Times" w:hAnsi="Times"/>
          <w:b/>
          <w:sz w:val="28"/>
          <w:szCs w:val="28"/>
        </w:rPr>
      </w:pPr>
      <w:r>
        <w:rPr>
          <w:rFonts w:hint="eastAsia" w:ascii="Times" w:hAnsi="Times"/>
          <w:b/>
          <w:sz w:val="28"/>
          <w:szCs w:val="28"/>
        </w:rPr>
        <w:t>投资者关系活动记录表</w:t>
      </w:r>
    </w:p>
    <w:p w14:paraId="47BF0CD6">
      <w:pPr>
        <w:spacing w:line="400" w:lineRule="exact"/>
        <w:rPr>
          <w:rFonts w:ascii="Times" w:hAnsi="Times"/>
        </w:rPr>
      </w:pPr>
    </w:p>
    <w:p w14:paraId="20568031">
      <w:pPr>
        <w:spacing w:line="400" w:lineRule="exact"/>
        <w:jc w:val="left"/>
        <w:rPr>
          <w:rFonts w:ascii="Times" w:hAnsi="Times"/>
          <w:b/>
          <w:sz w:val="24"/>
          <w:szCs w:val="24"/>
        </w:rPr>
      </w:pPr>
      <w:r>
        <w:rPr>
          <w:rFonts w:hint="eastAsia" w:ascii="Times" w:hAnsi="Times"/>
          <w:sz w:val="24"/>
          <w:szCs w:val="24"/>
        </w:rPr>
        <w:t>证券简称：今创集团</w:t>
      </w:r>
      <w:r>
        <w:rPr>
          <w:rFonts w:ascii="Times" w:hAnsi="Times"/>
          <w:sz w:val="24"/>
          <w:szCs w:val="24"/>
        </w:rPr>
        <w:t xml:space="preserve">        </w:t>
      </w:r>
      <w:r>
        <w:rPr>
          <w:rFonts w:hint="eastAsia" w:ascii="Times" w:hAnsi="Times"/>
          <w:sz w:val="24"/>
          <w:szCs w:val="24"/>
        </w:rPr>
        <w:t xml:space="preserve">                           </w:t>
      </w:r>
      <w:r>
        <w:rPr>
          <w:rFonts w:ascii="Times" w:hAnsi="Times"/>
          <w:sz w:val="24"/>
          <w:szCs w:val="24"/>
        </w:rPr>
        <w:t xml:space="preserve"> </w:t>
      </w:r>
      <w:r>
        <w:rPr>
          <w:rFonts w:hint="eastAsia" w:ascii="Times" w:hAnsi="Times"/>
          <w:sz w:val="24"/>
          <w:szCs w:val="24"/>
        </w:rPr>
        <w:t>证券代码：</w:t>
      </w:r>
      <w:r>
        <w:rPr>
          <w:rFonts w:ascii="Times" w:hAnsi="Times"/>
          <w:sz w:val="24"/>
          <w:szCs w:val="24"/>
        </w:rPr>
        <w:t xml:space="preserve">603680        </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4" w:type="dxa"/>
          <w:left w:w="128" w:type="dxa"/>
          <w:bottom w:w="64" w:type="dxa"/>
          <w:right w:w="128" w:type="dxa"/>
        </w:tblCellMar>
      </w:tblPr>
      <w:tblGrid>
        <w:gridCol w:w="2187"/>
        <w:gridCol w:w="6335"/>
      </w:tblGrid>
      <w:tr w14:paraId="0051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1355" w:hRule="atLeast"/>
          <w:jc w:val="center"/>
        </w:trPr>
        <w:tc>
          <w:tcPr>
            <w:tcW w:w="2187" w:type="dxa"/>
            <w:vAlign w:val="center"/>
          </w:tcPr>
          <w:p w14:paraId="7E002127">
            <w:pPr>
              <w:snapToGrid w:val="0"/>
              <w:spacing w:line="400" w:lineRule="exact"/>
              <w:rPr>
                <w:rFonts w:hint="eastAsia" w:ascii="Times" w:hAnsi="Times"/>
                <w:sz w:val="24"/>
                <w:szCs w:val="24"/>
              </w:rPr>
            </w:pPr>
            <w:r>
              <w:rPr>
                <w:rFonts w:hint="eastAsia" w:ascii="Times" w:hAnsi="Times"/>
                <w:sz w:val="24"/>
                <w:szCs w:val="24"/>
              </w:rPr>
              <w:t>投资者关系</w:t>
            </w:r>
          </w:p>
          <w:p w14:paraId="75EA0F60">
            <w:pPr>
              <w:snapToGrid w:val="0"/>
              <w:spacing w:line="400" w:lineRule="exact"/>
              <w:rPr>
                <w:rFonts w:ascii="Times" w:hAnsi="Times"/>
                <w:sz w:val="24"/>
                <w:szCs w:val="24"/>
              </w:rPr>
            </w:pPr>
            <w:r>
              <w:rPr>
                <w:rFonts w:hint="eastAsia" w:ascii="Times" w:hAnsi="Times"/>
                <w:sz w:val="24"/>
                <w:szCs w:val="24"/>
              </w:rPr>
              <w:t>活动类别</w:t>
            </w:r>
          </w:p>
        </w:tc>
        <w:tc>
          <w:tcPr>
            <w:tcW w:w="6335" w:type="dxa"/>
            <w:vAlign w:val="center"/>
          </w:tcPr>
          <w:p w14:paraId="2785F706">
            <w:pPr>
              <w:snapToGrid w:val="0"/>
              <w:spacing w:line="400" w:lineRule="exact"/>
              <w:rPr>
                <w:rFonts w:ascii="Times" w:hAnsi="Times"/>
                <w:sz w:val="24"/>
                <w:szCs w:val="24"/>
              </w:rPr>
            </w:pPr>
            <w:r>
              <w:rPr>
                <w:rFonts w:hint="eastAsia" w:ascii="Calibri" w:hAnsi="Calibri" w:eastAsia="宋体" w:cs="Calibri"/>
                <w:sz w:val="24"/>
                <w:szCs w:val="24"/>
                <w:lang w:eastAsia="zh-CN"/>
              </w:rPr>
              <w:t>☑</w:t>
            </w:r>
            <w:r>
              <w:rPr>
                <w:rFonts w:hint="eastAsia" w:ascii="Times" w:hAnsi="Times"/>
                <w:sz w:val="24"/>
                <w:szCs w:val="24"/>
              </w:rPr>
              <w:t>特定对象调研</w:t>
            </w:r>
            <w:r>
              <w:rPr>
                <w:rFonts w:ascii="Times" w:hAnsi="Times"/>
                <w:sz w:val="24"/>
                <w:szCs w:val="24"/>
              </w:rPr>
              <w:t xml:space="preserve"> </w:t>
            </w:r>
            <w:r>
              <w:rPr>
                <w:rFonts w:hint="eastAsia" w:ascii="Calibri" w:hAnsi="Calibri" w:eastAsia="宋体" w:cs="Calibri"/>
                <w:sz w:val="24"/>
                <w:szCs w:val="24"/>
              </w:rPr>
              <w:t>□</w:t>
            </w:r>
            <w:r>
              <w:rPr>
                <w:rFonts w:hint="eastAsia" w:ascii="Times" w:hAnsi="Times"/>
                <w:sz w:val="24"/>
                <w:szCs w:val="24"/>
              </w:rPr>
              <w:t>分析师会议</w:t>
            </w:r>
            <w:r>
              <w:rPr>
                <w:rFonts w:ascii="Times" w:hAnsi="Times"/>
                <w:sz w:val="24"/>
                <w:szCs w:val="24"/>
              </w:rPr>
              <w:t xml:space="preserve"> </w:t>
            </w:r>
            <w:r>
              <w:rPr>
                <w:rFonts w:hint="eastAsia" w:ascii="Calibri" w:hAnsi="Calibri" w:eastAsia="宋体" w:cs="Calibri"/>
                <w:sz w:val="24"/>
                <w:szCs w:val="24"/>
              </w:rPr>
              <w:t>□</w:t>
            </w:r>
            <w:r>
              <w:rPr>
                <w:rFonts w:hint="eastAsia" w:ascii="Times" w:hAnsi="Times"/>
                <w:sz w:val="24"/>
                <w:szCs w:val="24"/>
              </w:rPr>
              <w:t>媒体采访</w:t>
            </w:r>
          </w:p>
          <w:p w14:paraId="3CB406C6">
            <w:pPr>
              <w:snapToGrid w:val="0"/>
              <w:spacing w:line="400" w:lineRule="exact"/>
              <w:rPr>
                <w:rFonts w:ascii="Times" w:hAnsi="Times"/>
                <w:sz w:val="24"/>
                <w:szCs w:val="24"/>
              </w:rPr>
            </w:pPr>
            <w:r>
              <w:rPr>
                <w:rFonts w:hint="eastAsia" w:ascii="Calibri" w:hAnsi="Calibri" w:eastAsia="宋体" w:cs="Calibri"/>
                <w:sz w:val="24"/>
                <w:szCs w:val="24"/>
              </w:rPr>
              <w:t>□</w:t>
            </w:r>
            <w:r>
              <w:rPr>
                <w:rFonts w:hint="eastAsia" w:ascii="Times" w:hAnsi="Times"/>
                <w:sz w:val="24"/>
                <w:szCs w:val="24"/>
              </w:rPr>
              <w:t>业绩说明会</w:t>
            </w:r>
            <w:r>
              <w:rPr>
                <w:rFonts w:ascii="Times" w:hAnsi="Times"/>
                <w:sz w:val="24"/>
                <w:szCs w:val="24"/>
              </w:rPr>
              <w:t xml:space="preserve">   </w:t>
            </w:r>
            <w:r>
              <w:rPr>
                <w:rFonts w:hint="eastAsia" w:ascii="Calibri" w:hAnsi="Calibri" w:eastAsia="宋体" w:cs="Calibri"/>
                <w:sz w:val="24"/>
                <w:szCs w:val="24"/>
              </w:rPr>
              <w:t>□</w:t>
            </w:r>
            <w:r>
              <w:rPr>
                <w:rFonts w:hint="eastAsia" w:ascii="Times" w:hAnsi="Times"/>
                <w:sz w:val="24"/>
                <w:szCs w:val="24"/>
              </w:rPr>
              <w:t>新闻发布会</w:t>
            </w:r>
            <w:r>
              <w:rPr>
                <w:rFonts w:ascii="Times" w:hAnsi="Times"/>
                <w:sz w:val="24"/>
                <w:szCs w:val="24"/>
              </w:rPr>
              <w:t xml:space="preserve"> </w:t>
            </w:r>
            <w:r>
              <w:rPr>
                <w:rFonts w:hint="eastAsia" w:ascii="Calibri" w:hAnsi="Calibri" w:eastAsia="宋体" w:cs="Calibri"/>
                <w:sz w:val="24"/>
                <w:szCs w:val="24"/>
              </w:rPr>
              <w:t>□</w:t>
            </w:r>
            <w:r>
              <w:rPr>
                <w:rFonts w:hint="eastAsia" w:ascii="Times" w:hAnsi="Times"/>
                <w:sz w:val="24"/>
                <w:szCs w:val="24"/>
              </w:rPr>
              <w:t>路演活动</w:t>
            </w:r>
            <w:r>
              <w:rPr>
                <w:rFonts w:ascii="Times" w:hAnsi="Times"/>
                <w:sz w:val="24"/>
                <w:szCs w:val="24"/>
              </w:rPr>
              <w:t xml:space="preserve"> </w:t>
            </w:r>
          </w:p>
          <w:p w14:paraId="1820BD90">
            <w:pPr>
              <w:snapToGrid w:val="0"/>
              <w:spacing w:line="400" w:lineRule="exact"/>
              <w:rPr>
                <w:rFonts w:ascii="Times" w:hAnsi="Times"/>
                <w:sz w:val="24"/>
                <w:szCs w:val="24"/>
              </w:rPr>
            </w:pPr>
            <w:r>
              <w:rPr>
                <w:rFonts w:hint="eastAsia" w:ascii="Calibri" w:hAnsi="Calibri" w:eastAsia="宋体" w:cs="Calibri"/>
                <w:sz w:val="24"/>
                <w:szCs w:val="24"/>
              </w:rPr>
              <w:t xml:space="preserve">☑ </w:t>
            </w:r>
            <w:r>
              <w:rPr>
                <w:rFonts w:hint="eastAsia" w:ascii="Times" w:hAnsi="Times"/>
                <w:sz w:val="24"/>
                <w:szCs w:val="24"/>
              </w:rPr>
              <w:t>现场参观</w:t>
            </w:r>
            <w:r>
              <w:rPr>
                <w:rFonts w:ascii="Times" w:hAnsi="Times"/>
                <w:sz w:val="24"/>
                <w:szCs w:val="24"/>
              </w:rPr>
              <w:t xml:space="preserve">     </w:t>
            </w:r>
            <w:r>
              <w:rPr>
                <w:rFonts w:hint="eastAsia" w:ascii="Calibri" w:hAnsi="Calibri" w:eastAsia="宋体" w:cs="Calibri"/>
                <w:sz w:val="24"/>
                <w:szCs w:val="24"/>
              </w:rPr>
              <w:t>□</w:t>
            </w:r>
            <w:r>
              <w:rPr>
                <w:rFonts w:hint="eastAsia" w:ascii="Times" w:hAnsi="Times"/>
                <w:sz w:val="24"/>
                <w:szCs w:val="24"/>
              </w:rPr>
              <w:t>其他（</w:t>
            </w:r>
            <w:r>
              <w:rPr>
                <w:rFonts w:ascii="Times" w:hAnsi="Times"/>
                <w:sz w:val="24"/>
                <w:szCs w:val="24"/>
              </w:rPr>
              <w:t xml:space="preserve">          </w:t>
            </w:r>
            <w:r>
              <w:rPr>
                <w:rFonts w:hint="eastAsia" w:ascii="Times" w:hAnsi="Times"/>
                <w:sz w:val="24"/>
                <w:szCs w:val="24"/>
              </w:rPr>
              <w:t>）</w:t>
            </w:r>
          </w:p>
        </w:tc>
      </w:tr>
      <w:tr w14:paraId="6B1D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3581" w:hRule="atLeast"/>
          <w:jc w:val="center"/>
        </w:trPr>
        <w:tc>
          <w:tcPr>
            <w:tcW w:w="2187" w:type="dxa"/>
            <w:vAlign w:val="center"/>
          </w:tcPr>
          <w:p w14:paraId="1BA090F6">
            <w:pPr>
              <w:snapToGrid w:val="0"/>
              <w:spacing w:line="400" w:lineRule="exact"/>
              <w:rPr>
                <w:rFonts w:ascii="Times" w:hAnsi="Times"/>
                <w:sz w:val="24"/>
                <w:szCs w:val="24"/>
              </w:rPr>
            </w:pPr>
            <w:r>
              <w:rPr>
                <w:rFonts w:hint="eastAsia" w:ascii="Times" w:hAnsi="Times"/>
                <w:sz w:val="24"/>
                <w:szCs w:val="24"/>
              </w:rPr>
              <w:t>参与单位名称及人员姓名</w:t>
            </w:r>
          </w:p>
        </w:tc>
        <w:tc>
          <w:tcPr>
            <w:tcW w:w="6335" w:type="dxa"/>
            <w:vAlign w:val="center"/>
          </w:tcPr>
          <w:p w14:paraId="056D1E6E">
            <w:pPr>
              <w:snapToGrid w:val="0"/>
              <w:spacing w:line="400" w:lineRule="exact"/>
              <w:rPr>
                <w:rFonts w:ascii="Times" w:hAnsi="Times"/>
                <w:sz w:val="24"/>
                <w:szCs w:val="24"/>
              </w:rPr>
            </w:pPr>
            <w:r>
              <w:rPr>
                <w:rFonts w:hint="eastAsia" w:ascii="Times" w:hAnsi="Times"/>
                <w:sz w:val="24"/>
                <w:szCs w:val="24"/>
              </w:rPr>
              <w:t>上柿行（上海）咨询管理有限公司</w:t>
            </w:r>
            <w:r>
              <w:rPr>
                <w:rFonts w:hint="eastAsia" w:ascii="Times" w:hAnsi="Times"/>
                <w:sz w:val="24"/>
                <w:szCs w:val="24"/>
                <w:lang w:eastAsia="zh-CN"/>
              </w:rPr>
              <w:t>、</w:t>
            </w:r>
            <w:r>
              <w:rPr>
                <w:rFonts w:hint="eastAsia" w:ascii="Times" w:hAnsi="Times"/>
                <w:sz w:val="24"/>
                <w:szCs w:val="24"/>
              </w:rPr>
              <w:t>卡比爾基金</w:t>
            </w:r>
            <w:r>
              <w:rPr>
                <w:rFonts w:hint="eastAsia" w:ascii="Times" w:hAnsi="Times"/>
                <w:sz w:val="24"/>
                <w:szCs w:val="24"/>
                <w:lang w:eastAsia="zh-CN"/>
              </w:rPr>
              <w:t>、</w:t>
            </w:r>
            <w:r>
              <w:rPr>
                <w:rFonts w:hint="eastAsia" w:ascii="Times" w:hAnsi="Times"/>
                <w:sz w:val="24"/>
                <w:szCs w:val="24"/>
              </w:rPr>
              <w:t xml:space="preserve">上海卓银私募基金管理合伙企业（有限合伙） </w:t>
            </w:r>
            <w:r>
              <w:rPr>
                <w:rFonts w:hint="eastAsia" w:ascii="Times" w:hAnsi="Times"/>
                <w:sz w:val="24"/>
                <w:szCs w:val="24"/>
                <w:lang w:eastAsia="zh-CN"/>
              </w:rPr>
              <w:t>、</w:t>
            </w:r>
            <w:r>
              <w:rPr>
                <w:rFonts w:hint="eastAsia" w:ascii="Times" w:hAnsi="Times"/>
                <w:sz w:val="24"/>
                <w:szCs w:val="24"/>
              </w:rPr>
              <w:t>北京允朗投资管理有限公司</w:t>
            </w:r>
            <w:r>
              <w:rPr>
                <w:rFonts w:hint="eastAsia" w:ascii="Times" w:hAnsi="Times"/>
                <w:sz w:val="24"/>
                <w:szCs w:val="24"/>
                <w:lang w:eastAsia="zh-CN"/>
              </w:rPr>
              <w:t>、</w:t>
            </w:r>
            <w:r>
              <w:rPr>
                <w:rFonts w:hint="eastAsia" w:ascii="Times" w:hAnsi="Times"/>
                <w:sz w:val="24"/>
                <w:szCs w:val="24"/>
              </w:rPr>
              <w:t xml:space="preserve">贵山私募基金管理（苏州）有限公司 </w:t>
            </w:r>
            <w:r>
              <w:rPr>
                <w:rFonts w:hint="eastAsia" w:ascii="Times" w:hAnsi="Times"/>
                <w:sz w:val="24"/>
                <w:szCs w:val="24"/>
                <w:lang w:eastAsia="zh-CN"/>
              </w:rPr>
              <w:t>、</w:t>
            </w:r>
            <w:r>
              <w:rPr>
                <w:rFonts w:hint="eastAsia" w:ascii="Times" w:hAnsi="Times"/>
                <w:sz w:val="24"/>
                <w:szCs w:val="24"/>
              </w:rPr>
              <w:t xml:space="preserve">上海尚颀投资管理合伙企业（有限合伙） </w:t>
            </w:r>
            <w:r>
              <w:rPr>
                <w:rFonts w:hint="eastAsia" w:ascii="Times" w:hAnsi="Times"/>
                <w:sz w:val="24"/>
                <w:szCs w:val="24"/>
                <w:lang w:eastAsia="zh-CN"/>
              </w:rPr>
              <w:t>、</w:t>
            </w:r>
            <w:r>
              <w:rPr>
                <w:rFonts w:hint="eastAsia" w:ascii="Times" w:hAnsi="Times"/>
                <w:sz w:val="24"/>
                <w:szCs w:val="24"/>
              </w:rPr>
              <w:t>江苏毅达股权投资基金管理有限公司</w:t>
            </w:r>
            <w:r>
              <w:rPr>
                <w:rFonts w:hint="eastAsia" w:ascii="Times" w:hAnsi="Times"/>
                <w:sz w:val="24"/>
                <w:szCs w:val="24"/>
                <w:lang w:eastAsia="zh-CN"/>
              </w:rPr>
              <w:t>、</w:t>
            </w:r>
            <w:r>
              <w:rPr>
                <w:rFonts w:hint="eastAsia" w:ascii="Times" w:hAnsi="Times"/>
                <w:sz w:val="24"/>
                <w:szCs w:val="24"/>
              </w:rPr>
              <w:t xml:space="preserve">合肥桉树资本管理有限公司 </w:t>
            </w:r>
            <w:r>
              <w:rPr>
                <w:rFonts w:hint="eastAsia" w:ascii="Times" w:hAnsi="Times"/>
                <w:sz w:val="24"/>
                <w:szCs w:val="24"/>
                <w:lang w:eastAsia="zh-CN"/>
              </w:rPr>
              <w:t>、</w:t>
            </w:r>
            <w:r>
              <w:rPr>
                <w:rFonts w:hint="eastAsia" w:ascii="Times" w:hAnsi="Times"/>
                <w:sz w:val="24"/>
                <w:szCs w:val="24"/>
              </w:rPr>
              <w:t>上海永唐盛世私募基金管理有限公司</w:t>
            </w:r>
            <w:r>
              <w:rPr>
                <w:rFonts w:hint="eastAsia" w:ascii="Times" w:hAnsi="Times"/>
                <w:sz w:val="24"/>
                <w:szCs w:val="24"/>
                <w:lang w:eastAsia="zh-CN"/>
              </w:rPr>
              <w:t>、</w:t>
            </w:r>
            <w:r>
              <w:rPr>
                <w:rFonts w:hint="eastAsia" w:ascii="Times" w:hAnsi="Times"/>
                <w:sz w:val="24"/>
                <w:szCs w:val="24"/>
              </w:rPr>
              <w:t>上海贵源投资有限公司</w:t>
            </w:r>
            <w:r>
              <w:rPr>
                <w:rFonts w:hint="eastAsia" w:ascii="Times" w:hAnsi="Times"/>
                <w:sz w:val="24"/>
                <w:szCs w:val="24"/>
                <w:lang w:eastAsia="zh-CN"/>
              </w:rPr>
              <w:t>、</w:t>
            </w:r>
            <w:r>
              <w:rPr>
                <w:rFonts w:hint="eastAsia" w:ascii="Times" w:hAnsi="Times"/>
                <w:sz w:val="24"/>
                <w:szCs w:val="24"/>
              </w:rPr>
              <w:t>南京证券股份有限公司</w:t>
            </w:r>
            <w:r>
              <w:rPr>
                <w:rFonts w:hint="eastAsia" w:ascii="Times" w:hAnsi="Times"/>
                <w:sz w:val="24"/>
                <w:szCs w:val="24"/>
                <w:lang w:eastAsia="zh-CN"/>
              </w:rPr>
              <w:t>、</w:t>
            </w:r>
            <w:r>
              <w:rPr>
                <w:rFonts w:hint="eastAsia" w:ascii="Times" w:hAnsi="Times"/>
                <w:sz w:val="24"/>
                <w:szCs w:val="24"/>
              </w:rPr>
              <w:t>上海财联社金融科技有限公司等机构投资者代表</w:t>
            </w:r>
            <w:r>
              <w:rPr>
                <w:rFonts w:hint="eastAsia" w:ascii="Times" w:hAnsi="Times"/>
                <w:sz w:val="24"/>
                <w:szCs w:val="24"/>
                <w:lang w:val="en-US" w:eastAsia="zh-CN"/>
              </w:rPr>
              <w:t>13</w:t>
            </w:r>
            <w:r>
              <w:rPr>
                <w:rFonts w:hint="eastAsia" w:ascii="Times" w:hAnsi="Times"/>
                <w:sz w:val="24"/>
                <w:szCs w:val="24"/>
              </w:rPr>
              <w:t>人</w:t>
            </w:r>
          </w:p>
        </w:tc>
      </w:tr>
      <w:tr w14:paraId="1F77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743" w:hRule="atLeast"/>
          <w:jc w:val="center"/>
        </w:trPr>
        <w:tc>
          <w:tcPr>
            <w:tcW w:w="2187" w:type="dxa"/>
            <w:vAlign w:val="center"/>
          </w:tcPr>
          <w:p w14:paraId="7233611E">
            <w:pPr>
              <w:snapToGrid w:val="0"/>
              <w:spacing w:line="400" w:lineRule="exact"/>
              <w:rPr>
                <w:rFonts w:ascii="Times" w:hAnsi="Times"/>
                <w:sz w:val="24"/>
                <w:szCs w:val="24"/>
              </w:rPr>
            </w:pPr>
            <w:r>
              <w:rPr>
                <w:rFonts w:hint="eastAsia" w:ascii="Times" w:hAnsi="Times"/>
                <w:sz w:val="24"/>
                <w:szCs w:val="24"/>
              </w:rPr>
              <w:t>时间</w:t>
            </w:r>
          </w:p>
        </w:tc>
        <w:tc>
          <w:tcPr>
            <w:tcW w:w="6335" w:type="dxa"/>
            <w:vAlign w:val="center"/>
          </w:tcPr>
          <w:p w14:paraId="31CCDED0">
            <w:pPr>
              <w:snapToGrid w:val="0"/>
              <w:spacing w:line="400" w:lineRule="exact"/>
              <w:rPr>
                <w:rFonts w:hint="default" w:ascii="Times" w:hAnsi="Times" w:eastAsiaTheme="minorEastAsia"/>
                <w:sz w:val="24"/>
                <w:szCs w:val="24"/>
                <w:lang w:val="en-US" w:eastAsia="zh-CN"/>
              </w:rPr>
            </w:pPr>
            <w:r>
              <w:rPr>
                <w:rFonts w:hint="eastAsia" w:ascii="Times" w:hAnsi="Times"/>
                <w:sz w:val="24"/>
                <w:szCs w:val="24"/>
              </w:rPr>
              <w:t>2025年</w:t>
            </w:r>
            <w:r>
              <w:rPr>
                <w:rFonts w:hint="eastAsia" w:ascii="Times" w:hAnsi="Times"/>
                <w:sz w:val="24"/>
                <w:szCs w:val="24"/>
                <w:lang w:val="en-US" w:eastAsia="zh-CN"/>
              </w:rPr>
              <w:t>9</w:t>
            </w:r>
            <w:r>
              <w:rPr>
                <w:rFonts w:hint="eastAsia" w:ascii="Times" w:hAnsi="Times"/>
                <w:sz w:val="24"/>
                <w:szCs w:val="24"/>
              </w:rPr>
              <w:t>月</w:t>
            </w:r>
            <w:r>
              <w:rPr>
                <w:rFonts w:hint="eastAsia" w:ascii="Times" w:hAnsi="Times"/>
                <w:sz w:val="24"/>
                <w:szCs w:val="24"/>
                <w:lang w:val="en-US" w:eastAsia="zh-CN"/>
              </w:rPr>
              <w:t>11</w:t>
            </w:r>
            <w:r>
              <w:rPr>
                <w:rFonts w:hint="eastAsia" w:ascii="Times" w:hAnsi="Times"/>
                <w:sz w:val="24"/>
                <w:szCs w:val="24"/>
              </w:rPr>
              <w:t xml:space="preserve">日 </w:t>
            </w:r>
            <w:r>
              <w:rPr>
                <w:rFonts w:hint="eastAsia" w:ascii="Times" w:hAnsi="Times"/>
                <w:sz w:val="24"/>
                <w:szCs w:val="24"/>
                <w:lang w:val="en-US" w:eastAsia="zh-CN"/>
              </w:rPr>
              <w:t>上</w:t>
            </w:r>
            <w:r>
              <w:rPr>
                <w:rFonts w:hint="eastAsia" w:ascii="Times" w:hAnsi="Times"/>
                <w:sz w:val="24"/>
                <w:szCs w:val="24"/>
              </w:rPr>
              <w:t>午1</w:t>
            </w:r>
            <w:r>
              <w:rPr>
                <w:rFonts w:hint="eastAsia" w:ascii="Times" w:hAnsi="Times"/>
                <w:sz w:val="24"/>
                <w:szCs w:val="24"/>
                <w:lang w:val="en-US" w:eastAsia="zh-CN"/>
              </w:rPr>
              <w:t>0</w:t>
            </w:r>
            <w:r>
              <w:rPr>
                <w:rFonts w:hint="eastAsia" w:ascii="Times" w:hAnsi="Times"/>
                <w:sz w:val="24"/>
                <w:szCs w:val="24"/>
              </w:rPr>
              <w:t>:</w:t>
            </w:r>
            <w:r>
              <w:rPr>
                <w:rFonts w:hint="eastAsia" w:ascii="Times" w:hAnsi="Times"/>
                <w:sz w:val="24"/>
                <w:szCs w:val="24"/>
                <w:lang w:val="en-US" w:eastAsia="zh-CN"/>
              </w:rPr>
              <w:t>0</w:t>
            </w:r>
            <w:r>
              <w:rPr>
                <w:rFonts w:hint="eastAsia" w:ascii="Times" w:hAnsi="Times"/>
                <w:sz w:val="24"/>
                <w:szCs w:val="24"/>
              </w:rPr>
              <w:t>0-1</w:t>
            </w:r>
            <w:r>
              <w:rPr>
                <w:rFonts w:hint="eastAsia" w:ascii="Times" w:hAnsi="Times"/>
                <w:sz w:val="24"/>
                <w:szCs w:val="24"/>
                <w:lang w:val="en-US" w:eastAsia="zh-CN"/>
              </w:rPr>
              <w:t>2</w:t>
            </w:r>
            <w:r>
              <w:rPr>
                <w:rFonts w:hint="eastAsia" w:ascii="Times" w:hAnsi="Times"/>
                <w:sz w:val="24"/>
                <w:szCs w:val="24"/>
              </w:rPr>
              <w:t>:</w:t>
            </w:r>
            <w:r>
              <w:rPr>
                <w:rFonts w:hint="eastAsia" w:ascii="Times" w:hAnsi="Times"/>
                <w:sz w:val="24"/>
                <w:szCs w:val="24"/>
                <w:lang w:val="en-US" w:eastAsia="zh-CN"/>
              </w:rPr>
              <w:t>00</w:t>
            </w:r>
          </w:p>
        </w:tc>
      </w:tr>
      <w:tr w14:paraId="0D50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768" w:hRule="atLeast"/>
          <w:jc w:val="center"/>
        </w:trPr>
        <w:tc>
          <w:tcPr>
            <w:tcW w:w="2187" w:type="dxa"/>
            <w:vAlign w:val="center"/>
          </w:tcPr>
          <w:p w14:paraId="583A1248">
            <w:pPr>
              <w:snapToGrid w:val="0"/>
              <w:spacing w:line="400" w:lineRule="exact"/>
              <w:rPr>
                <w:rFonts w:ascii="Times" w:hAnsi="Times"/>
                <w:sz w:val="24"/>
                <w:szCs w:val="24"/>
              </w:rPr>
            </w:pPr>
            <w:r>
              <w:rPr>
                <w:rFonts w:hint="eastAsia" w:ascii="Times" w:hAnsi="Times"/>
                <w:sz w:val="24"/>
                <w:szCs w:val="24"/>
              </w:rPr>
              <w:t>地点</w:t>
            </w:r>
          </w:p>
        </w:tc>
        <w:tc>
          <w:tcPr>
            <w:tcW w:w="6335" w:type="dxa"/>
            <w:vAlign w:val="center"/>
          </w:tcPr>
          <w:p w14:paraId="1894FA95">
            <w:pPr>
              <w:snapToGrid w:val="0"/>
              <w:spacing w:line="400" w:lineRule="exact"/>
              <w:rPr>
                <w:rFonts w:hint="default" w:ascii="Times" w:hAnsi="Times"/>
                <w:sz w:val="24"/>
                <w:szCs w:val="24"/>
                <w:lang w:val="en-US" w:eastAsia="zh-CN"/>
              </w:rPr>
            </w:pPr>
            <w:r>
              <w:rPr>
                <w:rFonts w:hint="eastAsia" w:ascii="Times" w:hAnsi="Times"/>
                <w:sz w:val="24"/>
                <w:szCs w:val="24"/>
              </w:rPr>
              <w:t>公司</w:t>
            </w:r>
            <w:r>
              <w:rPr>
                <w:rFonts w:ascii="Times" w:hAnsi="Times"/>
                <w:sz w:val="24"/>
                <w:szCs w:val="24"/>
              </w:rPr>
              <w:t>工业展厅</w:t>
            </w:r>
            <w:r>
              <w:rPr>
                <w:rFonts w:hint="eastAsia" w:ascii="Times" w:hAnsi="Times"/>
                <w:sz w:val="24"/>
                <w:szCs w:val="24"/>
                <w:lang w:eastAsia="zh-CN"/>
              </w:rPr>
              <w:t>、</w:t>
            </w:r>
            <w:r>
              <w:rPr>
                <w:rFonts w:hint="eastAsia" w:ascii="Times" w:hAnsi="Times"/>
                <w:sz w:val="24"/>
                <w:szCs w:val="24"/>
                <w:lang w:val="en-US" w:eastAsia="zh-CN"/>
              </w:rPr>
              <w:t>会议室、常州今创电工有限公司车间</w:t>
            </w:r>
          </w:p>
        </w:tc>
      </w:tr>
      <w:tr w14:paraId="530F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702" w:hRule="atLeast"/>
          <w:jc w:val="center"/>
        </w:trPr>
        <w:tc>
          <w:tcPr>
            <w:tcW w:w="2187" w:type="dxa"/>
            <w:vAlign w:val="center"/>
          </w:tcPr>
          <w:p w14:paraId="3F8329BC">
            <w:pPr>
              <w:snapToGrid w:val="0"/>
              <w:spacing w:line="400" w:lineRule="exact"/>
              <w:rPr>
                <w:rFonts w:ascii="Times" w:hAnsi="Times"/>
                <w:sz w:val="24"/>
                <w:szCs w:val="24"/>
              </w:rPr>
            </w:pPr>
            <w:r>
              <w:rPr>
                <w:rFonts w:hint="eastAsia" w:ascii="Times" w:hAnsi="Times"/>
                <w:sz w:val="24"/>
                <w:szCs w:val="24"/>
              </w:rPr>
              <w:t>公司接待人员姓名</w:t>
            </w:r>
          </w:p>
        </w:tc>
        <w:tc>
          <w:tcPr>
            <w:tcW w:w="6335" w:type="dxa"/>
            <w:vAlign w:val="center"/>
          </w:tcPr>
          <w:p w14:paraId="65752597">
            <w:pPr>
              <w:snapToGrid w:val="0"/>
              <w:spacing w:line="400" w:lineRule="exact"/>
              <w:rPr>
                <w:rFonts w:ascii="Times" w:hAnsi="Times"/>
                <w:sz w:val="24"/>
                <w:szCs w:val="24"/>
              </w:rPr>
            </w:pPr>
            <w:r>
              <w:rPr>
                <w:rFonts w:hint="eastAsia" w:ascii="Times" w:hAnsi="Times"/>
                <w:sz w:val="24"/>
                <w:szCs w:val="24"/>
              </w:rPr>
              <w:t>公司副总经理、董事会秘书高锋；证券事务代表杨明珠</w:t>
            </w:r>
          </w:p>
        </w:tc>
      </w:tr>
      <w:tr w14:paraId="37A5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2187" w:type="dxa"/>
            <w:vAlign w:val="center"/>
          </w:tcPr>
          <w:p w14:paraId="2E8EFC8B">
            <w:pPr>
              <w:snapToGrid w:val="0"/>
              <w:spacing w:line="400" w:lineRule="exact"/>
              <w:rPr>
                <w:rFonts w:ascii="Times" w:hAnsi="Times"/>
                <w:sz w:val="24"/>
                <w:szCs w:val="24"/>
              </w:rPr>
            </w:pPr>
            <w:r>
              <w:rPr>
                <w:rFonts w:hint="eastAsia" w:ascii="Times" w:hAnsi="Times"/>
                <w:sz w:val="24"/>
                <w:szCs w:val="24"/>
              </w:rPr>
              <w:t>投资者关系活动主要内容介绍</w:t>
            </w:r>
          </w:p>
        </w:tc>
        <w:tc>
          <w:tcPr>
            <w:tcW w:w="6335" w:type="dxa"/>
            <w:vAlign w:val="center"/>
          </w:tcPr>
          <w:p w14:paraId="7BD227A4">
            <w:pPr>
              <w:widowControl/>
              <w:shd w:val="clear" w:color="auto" w:fill="FFFFFF"/>
              <w:snapToGrid w:val="0"/>
              <w:spacing w:after="180" w:line="360" w:lineRule="auto"/>
              <w:ind w:firstLine="480" w:firstLineChars="200"/>
              <w:jc w:val="left"/>
              <w:rPr>
                <w:rFonts w:hint="default" w:ascii="Times New Roman" w:hAnsi="Times New Roman" w:cs="Times New Roman"/>
                <w:sz w:val="24"/>
                <w:szCs w:val="24"/>
                <w:lang w:val="en-US" w:eastAsia="zh-CN"/>
              </w:rPr>
            </w:pPr>
            <w:r>
              <w:rPr>
                <w:rFonts w:hint="default" w:ascii="Times" w:hAnsi="Times"/>
                <w:sz w:val="24"/>
                <w:szCs w:val="24"/>
              </w:rPr>
              <w:t>在本次接待中，公司董事会办公室人员引导来访投资者及分析师参观了 “聚焦今创”工业展厅</w:t>
            </w:r>
            <w:r>
              <w:rPr>
                <w:rFonts w:hint="default" w:ascii="Times" w:hAnsi="Times"/>
                <w:sz w:val="24"/>
                <w:szCs w:val="24"/>
                <w:lang w:val="en-US" w:eastAsia="zh-CN"/>
              </w:rPr>
              <w:t>和子公司常州今创电工有限公司制造车间</w:t>
            </w:r>
            <w:r>
              <w:rPr>
                <w:rFonts w:hint="default" w:ascii="Times" w:hAnsi="Times"/>
                <w:sz w:val="24"/>
                <w:szCs w:val="24"/>
              </w:rPr>
              <w:t>，通过实景化呈现与深度解读</w:t>
            </w:r>
            <w:r>
              <w:rPr>
                <w:rFonts w:hint="eastAsia" w:ascii="Times" w:hAnsi="Times"/>
                <w:sz w:val="24"/>
                <w:szCs w:val="24"/>
                <w:lang w:val="en-US" w:eastAsia="zh-CN"/>
              </w:rPr>
              <w:t>相结合的方式</w:t>
            </w:r>
            <w:r>
              <w:rPr>
                <w:rFonts w:hint="default" w:ascii="Times" w:hAnsi="Times"/>
                <w:sz w:val="24"/>
                <w:szCs w:val="24"/>
              </w:rPr>
              <w:t>，全面介绍了</w:t>
            </w:r>
            <w:r>
              <w:rPr>
                <w:rFonts w:hint="default" w:ascii="Times" w:hAnsi="Times"/>
                <w:sz w:val="24"/>
                <w:szCs w:val="24"/>
                <w:lang w:val="en-US" w:eastAsia="zh-CN"/>
              </w:rPr>
              <w:t>公司</w:t>
            </w:r>
            <w:r>
              <w:rPr>
                <w:rFonts w:hint="default" w:ascii="Times" w:hAnsi="Times"/>
                <w:sz w:val="24"/>
                <w:szCs w:val="24"/>
              </w:rPr>
              <w:t>核心业务产品、技术与服务体系、市场竞争优势</w:t>
            </w:r>
            <w:r>
              <w:rPr>
                <w:rFonts w:hint="default" w:ascii="Times" w:hAnsi="Times"/>
                <w:sz w:val="24"/>
                <w:szCs w:val="24"/>
                <w:lang w:eastAsia="zh-CN"/>
              </w:rPr>
              <w:t>、</w:t>
            </w:r>
            <w:r>
              <w:rPr>
                <w:rFonts w:hint="default" w:ascii="Times" w:hAnsi="Times"/>
                <w:sz w:val="24"/>
                <w:szCs w:val="24"/>
              </w:rPr>
              <w:t>行业发展现状</w:t>
            </w:r>
            <w:r>
              <w:rPr>
                <w:rFonts w:hint="default" w:ascii="Times" w:hAnsi="Times"/>
                <w:sz w:val="24"/>
                <w:szCs w:val="24"/>
                <w:lang w:eastAsia="zh-CN"/>
              </w:rPr>
              <w:t>，</w:t>
            </w:r>
            <w:r>
              <w:rPr>
                <w:rFonts w:hint="default" w:ascii="Times" w:hAnsi="Times"/>
                <w:sz w:val="24"/>
                <w:szCs w:val="24"/>
                <w:lang w:val="en-US" w:eastAsia="zh-CN"/>
              </w:rPr>
              <w:t>以及核心代表产品生产制造流程，</w:t>
            </w:r>
            <w:r>
              <w:rPr>
                <w:rFonts w:hint="default" w:ascii="Times" w:hAnsi="Times"/>
                <w:sz w:val="24"/>
                <w:szCs w:val="24"/>
              </w:rPr>
              <w:t>使投资者更系统、直观地了解公司整体运营情况</w:t>
            </w:r>
            <w:r>
              <w:rPr>
                <w:rFonts w:hint="default" w:ascii="Times" w:hAnsi="Times"/>
                <w:sz w:val="24"/>
                <w:szCs w:val="24"/>
                <w:lang w:eastAsia="zh-CN"/>
              </w:rPr>
              <w:t>，</w:t>
            </w:r>
            <w:r>
              <w:rPr>
                <w:rFonts w:hint="default" w:ascii="Times" w:hAnsi="Times"/>
                <w:sz w:val="24"/>
                <w:szCs w:val="24"/>
                <w:lang w:val="en-US" w:eastAsia="zh-CN"/>
              </w:rPr>
              <w:t>参观结束后，公司接待来访投资者及分析师就如下</w:t>
            </w:r>
            <w:r>
              <w:rPr>
                <w:rFonts w:hint="default" w:ascii="Times New Roman" w:hAnsi="Times New Roman" w:cs="Times New Roman"/>
                <w:sz w:val="24"/>
                <w:szCs w:val="24"/>
                <w:lang w:val="en-US" w:eastAsia="zh-CN"/>
              </w:rPr>
              <w:t>问题进行了补充交流：</w:t>
            </w:r>
          </w:p>
          <w:p w14:paraId="26DDEE02">
            <w:pPr>
              <w:widowControl/>
              <w:numPr>
                <w:ilvl w:val="0"/>
                <w:numId w:val="1"/>
              </w:numPr>
              <w:shd w:val="clear" w:color="auto" w:fill="FFFFFF"/>
              <w:snapToGrid w:val="0"/>
              <w:spacing w:after="180" w:line="360" w:lineRule="auto"/>
              <w:ind w:firstLine="482" w:firstLineChars="2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请问公司如何看待未来地铁市场和高铁市场？</w:t>
            </w:r>
          </w:p>
          <w:p w14:paraId="7DDA5CAC">
            <w:pPr>
              <w:widowControl/>
              <w:shd w:val="clear" w:color="auto" w:fill="FFFFFF"/>
              <w:snapToGrid w:val="0"/>
              <w:spacing w:after="180" w:line="360" w:lineRule="auto"/>
              <w:ind w:firstLine="480" w:firstLineChars="200"/>
              <w:jc w:val="left"/>
              <w:rPr>
                <w:rFonts w:hint="default" w:ascii="Times" w:hAnsi="Times"/>
                <w:sz w:val="24"/>
                <w:szCs w:val="24"/>
                <w:lang w:val="en-US" w:eastAsia="zh-CN"/>
              </w:rPr>
            </w:pPr>
            <w:r>
              <w:rPr>
                <w:rFonts w:hint="eastAsia" w:ascii="Times New Roman" w:hAnsi="Times New Roman" w:cs="Times New Roman"/>
                <w:sz w:val="24"/>
                <w:szCs w:val="24"/>
                <w:lang w:val="en-US" w:eastAsia="zh-CN"/>
              </w:rPr>
              <w:t>目前，</w:t>
            </w:r>
            <w:r>
              <w:rPr>
                <w:rFonts w:hint="default" w:ascii="Times" w:hAnsi="Times"/>
                <w:sz w:val="24"/>
                <w:szCs w:val="24"/>
              </w:rPr>
              <w:t>公司对国内高铁市场的未来发展持积极乐观态度</w:t>
            </w:r>
            <w:r>
              <w:rPr>
                <w:rFonts w:hint="default" w:ascii="Times" w:hAnsi="Times"/>
                <w:sz w:val="24"/>
                <w:szCs w:val="24"/>
                <w:lang w:val="en-US" w:eastAsia="zh-CN"/>
              </w:rPr>
              <w:t>。</w:t>
            </w:r>
            <w:r>
              <w:rPr>
                <w:rFonts w:hint="default" w:ascii="Times" w:hAnsi="Times"/>
                <w:sz w:val="24"/>
                <w:szCs w:val="24"/>
              </w:rPr>
              <w:t>一方面，</w:t>
            </w:r>
            <w:r>
              <w:rPr>
                <w:rFonts w:hint="eastAsia" w:ascii="Times" w:hAnsi="Times"/>
                <w:sz w:val="24"/>
                <w:szCs w:val="24"/>
              </w:rPr>
              <w:t>客运需求增长叠加路网深度拓展</w:t>
            </w:r>
            <w:r>
              <w:rPr>
                <w:rFonts w:hint="default" w:ascii="Times" w:hAnsi="Times"/>
                <w:sz w:val="24"/>
                <w:szCs w:val="24"/>
              </w:rPr>
              <w:t>，将驱动车辆配套</w:t>
            </w:r>
            <w:r>
              <w:rPr>
                <w:rFonts w:hint="eastAsia" w:ascii="Times" w:hAnsi="Times"/>
                <w:sz w:val="24"/>
                <w:szCs w:val="24"/>
                <w:lang w:val="en-US" w:eastAsia="zh-CN"/>
              </w:rPr>
              <w:t>新造</w:t>
            </w:r>
            <w:r>
              <w:rPr>
                <w:rFonts w:hint="default" w:ascii="Times" w:hAnsi="Times"/>
                <w:sz w:val="24"/>
                <w:szCs w:val="24"/>
              </w:rPr>
              <w:t>市场</w:t>
            </w:r>
            <w:r>
              <w:rPr>
                <w:rFonts w:hint="eastAsia" w:ascii="Times" w:hAnsi="Times"/>
                <w:sz w:val="24"/>
                <w:szCs w:val="24"/>
                <w:lang w:val="en-US" w:eastAsia="zh-CN"/>
              </w:rPr>
              <w:t>快速</w:t>
            </w:r>
            <w:r>
              <w:rPr>
                <w:rFonts w:hint="default" w:ascii="Times" w:hAnsi="Times"/>
                <w:sz w:val="24"/>
                <w:szCs w:val="24"/>
              </w:rPr>
              <w:t>发展；另一方面，</w:t>
            </w:r>
            <w:r>
              <w:rPr>
                <w:rFonts w:hint="eastAsia" w:ascii="Times" w:hAnsi="Times"/>
                <w:sz w:val="24"/>
                <w:szCs w:val="24"/>
                <w:lang w:val="en-US" w:eastAsia="zh-CN"/>
              </w:rPr>
              <w:t>早期</w:t>
            </w:r>
            <w:r>
              <w:rPr>
                <w:rFonts w:hint="default" w:ascii="Times" w:hAnsi="Times"/>
                <w:sz w:val="24"/>
                <w:szCs w:val="24"/>
              </w:rPr>
              <w:t>开通运营的线路将陆续进入大修期，</w:t>
            </w:r>
            <w:r>
              <w:rPr>
                <w:rFonts w:hint="eastAsia" w:ascii="Times" w:hAnsi="Times"/>
                <w:sz w:val="24"/>
                <w:szCs w:val="24"/>
                <w:lang w:val="en-US" w:eastAsia="zh-CN"/>
              </w:rPr>
              <w:t>车辆改造、维保需求</w:t>
            </w:r>
            <w:r>
              <w:rPr>
                <w:rFonts w:hint="default" w:ascii="Times" w:hAnsi="Times"/>
                <w:sz w:val="24"/>
                <w:szCs w:val="24"/>
              </w:rPr>
              <w:t>将持续释放</w:t>
            </w:r>
            <w:r>
              <w:rPr>
                <w:rFonts w:hint="eastAsia" w:ascii="Times" w:hAnsi="Times"/>
                <w:sz w:val="24"/>
                <w:szCs w:val="24"/>
                <w:lang w:eastAsia="zh-CN"/>
              </w:rPr>
              <w:t>，</w:t>
            </w:r>
            <w:r>
              <w:rPr>
                <w:rFonts w:hint="eastAsia" w:ascii="Times" w:hAnsi="Times"/>
                <w:sz w:val="24"/>
                <w:szCs w:val="24"/>
                <w:lang w:val="en-US" w:eastAsia="zh-CN"/>
              </w:rPr>
              <w:t>新造需求与改造、维保市场两大引擎的协同发力，预计将共同打开轨道交通产业广阔的增量空间，推动轨道交通车辆等装备从新造、维保到更新的全生命周期服务市场形成增长闭环。</w:t>
            </w:r>
            <w:r>
              <w:rPr>
                <w:rFonts w:hint="default" w:ascii="Times" w:hAnsi="Times"/>
                <w:sz w:val="24"/>
                <w:szCs w:val="24"/>
                <w:lang w:val="en-US" w:eastAsia="zh-CN"/>
              </w:rPr>
              <w:t>公司</w:t>
            </w:r>
            <w:r>
              <w:rPr>
                <w:rFonts w:hint="default" w:ascii="Times New Roman" w:hAnsi="Times New Roman" w:cs="Times New Roman"/>
                <w:sz w:val="24"/>
                <w:szCs w:val="24"/>
                <w:lang w:val="en-US" w:eastAsia="zh-CN"/>
              </w:rPr>
              <w:t>在轨道交通领域深耕多年，</w:t>
            </w:r>
            <w:r>
              <w:rPr>
                <w:rFonts w:hint="default" w:ascii="Times" w:hAnsi="Times"/>
                <w:sz w:val="24"/>
                <w:szCs w:val="24"/>
              </w:rPr>
              <w:t>具备深厚的技术实力和市场经验，</w:t>
            </w:r>
            <w:r>
              <w:rPr>
                <w:rFonts w:hint="eastAsia" w:ascii="Times" w:hAnsi="Times"/>
                <w:sz w:val="24"/>
                <w:szCs w:val="24"/>
                <w:lang w:val="en-US" w:eastAsia="zh-CN"/>
              </w:rPr>
              <w:t>将持续深化和巩固公司市场份额</w:t>
            </w:r>
            <w:r>
              <w:rPr>
                <w:rFonts w:hint="default" w:ascii="Times" w:hAnsi="Times"/>
                <w:sz w:val="24"/>
                <w:szCs w:val="24"/>
              </w:rPr>
              <w:t>，</w:t>
            </w:r>
            <w:r>
              <w:rPr>
                <w:rFonts w:hint="eastAsia" w:ascii="Times" w:hAnsi="Times"/>
                <w:sz w:val="24"/>
                <w:szCs w:val="24"/>
                <w:lang w:val="en-US" w:eastAsia="zh-CN"/>
              </w:rPr>
              <w:t>把握行业发展机遇窗口期</w:t>
            </w:r>
            <w:r>
              <w:rPr>
                <w:rFonts w:hint="default" w:ascii="Times" w:hAnsi="Times"/>
                <w:sz w:val="24"/>
                <w:szCs w:val="24"/>
              </w:rPr>
              <w:t>。</w:t>
            </w:r>
          </w:p>
          <w:p w14:paraId="3C0CEB93">
            <w:pPr>
              <w:widowControl/>
              <w:shd w:val="clear" w:color="auto" w:fill="FFFFFF"/>
              <w:snapToGrid w:val="0"/>
              <w:spacing w:after="180" w:line="360" w:lineRule="auto"/>
              <w:ind w:firstLine="480" w:firstLineChars="200"/>
              <w:jc w:val="left"/>
              <w:rPr>
                <w:rFonts w:hint="default" w:ascii="Times" w:hAnsi="Times"/>
                <w:sz w:val="24"/>
                <w:szCs w:val="24"/>
                <w:lang w:val="en-US" w:eastAsia="zh-CN"/>
              </w:rPr>
            </w:pPr>
            <w:r>
              <w:rPr>
                <w:rFonts w:hint="default" w:ascii="Times" w:hAnsi="Times"/>
                <w:sz w:val="24"/>
                <w:szCs w:val="24"/>
              </w:rPr>
              <w:t>对于地铁市场，公司则持审慎乐观的态度。当前，我国城市轨道交通发展已逐步从追求“规模扩张”向注重“质量提升”转变。在此背景下，部分城市及新建项目受到规划收紧等因素的影响，车辆招标节奏有所放缓。尽管如此，</w:t>
            </w:r>
            <w:r>
              <w:rPr>
                <w:rFonts w:hint="eastAsia" w:ascii="Times" w:hAnsi="Times"/>
                <w:sz w:val="24"/>
                <w:szCs w:val="24"/>
                <w:lang w:val="en-US" w:eastAsia="zh-CN"/>
              </w:rPr>
              <w:t>我国</w:t>
            </w:r>
            <w:r>
              <w:rPr>
                <w:rFonts w:hint="default" w:ascii="Times" w:hAnsi="Times"/>
                <w:sz w:val="24"/>
                <w:szCs w:val="24"/>
              </w:rPr>
              <w:t>每年新增地铁线路的规模依然保持了相对平稳的态势，预计将支撑起相应规模的车辆需求。公司将策略性地聚焦于优质项目，同时进一步强化风险管控能力，确保整体经营的稳健性与可持续性。</w:t>
            </w:r>
          </w:p>
          <w:p w14:paraId="15E6B406">
            <w:pPr>
              <w:widowControl/>
              <w:numPr>
                <w:ilvl w:val="0"/>
                <w:numId w:val="1"/>
              </w:numPr>
              <w:shd w:val="clear" w:color="auto" w:fill="FFFFFF"/>
              <w:snapToGrid w:val="0"/>
              <w:spacing w:after="180" w:line="360" w:lineRule="auto"/>
              <w:ind w:firstLine="482" w:firstLineChars="200"/>
              <w:jc w:val="left"/>
              <w:rPr>
                <w:rFonts w:hint="default" w:ascii="Times New Roman" w:hAnsi="Times New Roman" w:cs="Times New Roman"/>
                <w:sz w:val="24"/>
                <w:szCs w:val="24"/>
              </w:rPr>
            </w:pPr>
            <w:r>
              <w:rPr>
                <w:rFonts w:hint="default" w:ascii="Times New Roman" w:hAnsi="Times New Roman" w:cs="Times New Roman"/>
                <w:b/>
                <w:bCs/>
                <w:sz w:val="24"/>
                <w:szCs w:val="24"/>
                <w:lang w:val="en-US" w:eastAsia="zh-CN"/>
              </w:rPr>
              <w:t>公司哪些产品涉及轨道交通车辆的高级修？</w:t>
            </w:r>
          </w:p>
          <w:p w14:paraId="29454E15">
            <w:pPr>
              <w:widowControl/>
              <w:numPr>
                <w:ilvl w:val="0"/>
                <w:numId w:val="0"/>
              </w:numPr>
              <w:shd w:val="clear" w:color="auto" w:fill="FFFFFF"/>
              <w:snapToGrid w:val="0"/>
              <w:spacing w:after="180" w:line="360" w:lineRule="auto"/>
              <w:ind w:firstLine="480" w:firstLineChars="200"/>
              <w:jc w:val="left"/>
              <w:rPr>
                <w:rFonts w:hint="eastAsia" w:ascii="Times" w:hAnsi="Times"/>
                <w:sz w:val="24"/>
                <w:szCs w:val="24"/>
              </w:rPr>
            </w:pPr>
            <w:r>
              <w:rPr>
                <w:rFonts w:hint="eastAsia" w:ascii="Times" w:hAnsi="Times"/>
                <w:sz w:val="24"/>
                <w:szCs w:val="24"/>
                <w:lang w:val="en-US" w:eastAsia="zh-CN"/>
              </w:rPr>
              <w:t>目前，公司的</w:t>
            </w:r>
            <w:r>
              <w:rPr>
                <w:rFonts w:hint="eastAsia" w:ascii="Times" w:hAnsi="Times"/>
                <w:sz w:val="24"/>
                <w:szCs w:val="24"/>
              </w:rPr>
              <w:t>主要产品包括轨道交通车辆配套的行车安全系统、智能控制系统、车身联接系统、旅客界面系统、运维保障系统产品，涵盖了电气及网络控制、驾驶操控台、电池箱总成、贯通道风挡、内饰、车门、座椅、灯具、集成厨房、整体卫生间，以及内燃机车和特种工程车辆、站台屏蔽门、高速铁路自然灾害与异物侵限监测系统等千余个细分品类。此外，公司与国际知名轨道交通车辆装备生产企业合资成立了多家中外合营企业，生产信息显示系统、车钩系统、制动系统、减震系统等配套产品。</w:t>
            </w:r>
          </w:p>
          <w:p w14:paraId="347B22F3">
            <w:pPr>
              <w:widowControl/>
              <w:numPr>
                <w:ilvl w:val="0"/>
                <w:numId w:val="0"/>
              </w:numPr>
              <w:shd w:val="clear" w:color="auto" w:fill="FFFFFF"/>
              <w:snapToGrid w:val="0"/>
              <w:spacing w:after="180" w:line="360" w:lineRule="auto"/>
              <w:ind w:firstLine="480" w:firstLineChars="20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上述产品中，电气控制、驾驶操控台、电池箱总成、贯通道风挡、车门、灯具、厨房、卫生间，以及合营公司生产制造的信息显示系统、车钩系统、制动系统、减震系统等设备类产品均涉及高级修，这些设备类产品的维保更换主要依据其使用年限和累计行驶里程来确定。而内饰类产品在高级修中主要是进行状态修，如果使用状态良好，便无需更换维修。</w:t>
            </w:r>
          </w:p>
          <w:p w14:paraId="168CBF1F">
            <w:pPr>
              <w:widowControl/>
              <w:numPr>
                <w:ilvl w:val="0"/>
                <w:numId w:val="1"/>
              </w:numPr>
              <w:shd w:val="clear" w:color="auto" w:fill="FFFFFF"/>
              <w:snapToGrid w:val="0"/>
              <w:spacing w:after="180" w:line="360" w:lineRule="auto"/>
              <w:ind w:firstLine="482" w:firstLineChars="200"/>
              <w:jc w:val="left"/>
              <w:rPr>
                <w:rFonts w:hint="default" w:ascii="Times" w:hAnsi="Times"/>
                <w:sz w:val="24"/>
                <w:szCs w:val="24"/>
                <w:lang w:val="en-US" w:eastAsia="zh-CN"/>
              </w:rPr>
            </w:pPr>
            <w:r>
              <w:rPr>
                <w:rFonts w:hint="default" w:ascii="Times New Roman" w:hAnsi="Times New Roman" w:cs="Times New Roman"/>
                <w:b/>
                <w:bCs/>
                <w:sz w:val="24"/>
                <w:szCs w:val="24"/>
                <w:lang w:val="en-US" w:eastAsia="zh-CN"/>
              </w:rPr>
              <w:t>请介绍一下关于蘑菇车联的投资情况？</w:t>
            </w:r>
          </w:p>
          <w:p w14:paraId="1F507BA9">
            <w:pPr>
              <w:widowControl/>
              <w:numPr>
                <w:ilvl w:val="0"/>
                <w:numId w:val="0"/>
              </w:numPr>
              <w:shd w:val="clear" w:color="auto" w:fill="FFFFFF"/>
              <w:snapToGrid w:val="0"/>
              <w:spacing w:after="180" w:line="360" w:lineRule="auto"/>
              <w:ind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2022年12月，公司全资子公司常州今创电工有限公司出资1.4亿元，通过宁波梅山保税港区挚顺股权投资合伙企业（有限合伙）（以下简称“挚顺投资”）参股了智道网联科技（深圳）有限公司（以下简称“蘑菇车联”），其中，常州今创电工有限公司作为挚顺投资的有限合伙人认缴出资比例占挚顺投资总规模的 </w:t>
            </w:r>
            <w:r>
              <w:rPr>
                <w:rFonts w:hint="default" w:ascii="Times New Roman" w:hAnsi="Times New Roman" w:cs="Times New Roman"/>
                <w:sz w:val="24"/>
                <w:szCs w:val="24"/>
                <w:lang w:val="en-US" w:eastAsia="zh-CN"/>
              </w:rPr>
              <w:t>93.33%</w:t>
            </w:r>
            <w:r>
              <w:rPr>
                <w:rFonts w:hint="eastAsia" w:ascii="Times New Roman" w:hAnsi="Times New Roman" w:cs="Times New Roman"/>
                <w:sz w:val="24"/>
                <w:szCs w:val="24"/>
                <w:lang w:val="en-US" w:eastAsia="zh-CN"/>
              </w:rPr>
              <w:t>，目前，挚顺投资持有蘑菇车联4.36%的股份。</w:t>
            </w:r>
          </w:p>
          <w:p w14:paraId="580598EA">
            <w:pPr>
              <w:widowControl/>
              <w:numPr>
                <w:ilvl w:val="0"/>
                <w:numId w:val="0"/>
              </w:numPr>
              <w:shd w:val="clear" w:color="auto" w:fill="FFFFFF"/>
              <w:snapToGrid w:val="0"/>
              <w:spacing w:after="180" w:line="360" w:lineRule="auto"/>
              <w:ind w:firstLine="480" w:firstLineChars="200"/>
              <w:jc w:val="left"/>
              <w:rPr>
                <w:rFonts w:hint="default" w:ascii="Times" w:hAnsi="Times"/>
                <w:sz w:val="24"/>
                <w:szCs w:val="24"/>
                <w:lang w:val="en-US" w:eastAsia="zh-CN"/>
              </w:rPr>
            </w:pPr>
            <w:r>
              <w:rPr>
                <w:rFonts w:hint="eastAsia" w:ascii="Times New Roman" w:hAnsi="Times New Roman" w:cs="Times New Roman"/>
                <w:sz w:val="24"/>
                <w:szCs w:val="24"/>
                <w:lang w:val="en-US" w:eastAsia="zh-CN"/>
              </w:rPr>
              <w:t>据了解，蘑菇车联系国内领先的车路云一体化自动驾驶全栈技术与运营服务提供商，目前承接了多个政府项目，助力智慧城市的建设。</w:t>
            </w:r>
          </w:p>
        </w:tc>
      </w:tr>
      <w:tr w14:paraId="6AB1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824" w:hRule="atLeast"/>
          <w:jc w:val="center"/>
        </w:trPr>
        <w:tc>
          <w:tcPr>
            <w:tcW w:w="2187" w:type="dxa"/>
            <w:vAlign w:val="center"/>
          </w:tcPr>
          <w:p w14:paraId="0DF53CAF">
            <w:pPr>
              <w:snapToGrid w:val="0"/>
              <w:spacing w:line="400" w:lineRule="exact"/>
              <w:rPr>
                <w:rFonts w:ascii="Times" w:hAnsi="Times"/>
                <w:sz w:val="24"/>
                <w:szCs w:val="24"/>
              </w:rPr>
            </w:pPr>
            <w:r>
              <w:rPr>
                <w:rFonts w:hint="eastAsia" w:ascii="Times" w:hAnsi="Times"/>
                <w:sz w:val="24"/>
                <w:szCs w:val="24"/>
              </w:rPr>
              <w:t>附件清单（如有）</w:t>
            </w:r>
          </w:p>
        </w:tc>
        <w:tc>
          <w:tcPr>
            <w:tcW w:w="6335" w:type="dxa"/>
            <w:vAlign w:val="center"/>
          </w:tcPr>
          <w:p w14:paraId="0A760966">
            <w:pPr>
              <w:pStyle w:val="16"/>
              <w:snapToGrid w:val="0"/>
              <w:spacing w:line="400" w:lineRule="exact"/>
              <w:ind w:firstLine="0" w:firstLineChars="0"/>
              <w:rPr>
                <w:rFonts w:hint="default" w:ascii="Times" w:hAnsi="Times" w:eastAsiaTheme="minorEastAsia"/>
                <w:sz w:val="24"/>
                <w:szCs w:val="24"/>
                <w:lang w:val="en-US" w:eastAsia="zh-CN"/>
              </w:rPr>
            </w:pPr>
          </w:p>
        </w:tc>
      </w:tr>
    </w:tbl>
    <w:p w14:paraId="1B7479BD">
      <w:pPr>
        <w:spacing w:line="400" w:lineRule="exact"/>
        <w:jc w:val="right"/>
        <w:rPr>
          <w:rFonts w:ascii="Times" w:hAnsi="Times" w:eastAsia="宋体"/>
          <w:sz w:val="24"/>
          <w:szCs w:val="24"/>
        </w:rPr>
      </w:pPr>
    </w:p>
    <w:p w14:paraId="6B2AEE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ingFang SC">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14288"/>
    <w:multiLevelType w:val="singleLevel"/>
    <w:tmpl w:val="1AF142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00464405"/>
    <w:rsid w:val="00053188"/>
    <w:rsid w:val="000C39EE"/>
    <w:rsid w:val="000D2E99"/>
    <w:rsid w:val="00114F40"/>
    <w:rsid w:val="00196741"/>
    <w:rsid w:val="001E2708"/>
    <w:rsid w:val="00404DE2"/>
    <w:rsid w:val="00460D83"/>
    <w:rsid w:val="00464405"/>
    <w:rsid w:val="007D39B3"/>
    <w:rsid w:val="007E7708"/>
    <w:rsid w:val="009008FB"/>
    <w:rsid w:val="00910508"/>
    <w:rsid w:val="009455ED"/>
    <w:rsid w:val="009D7AB6"/>
    <w:rsid w:val="00A62C09"/>
    <w:rsid w:val="00A73616"/>
    <w:rsid w:val="00AF7AA7"/>
    <w:rsid w:val="00BB40B8"/>
    <w:rsid w:val="00BE2B3F"/>
    <w:rsid w:val="00C63AD8"/>
    <w:rsid w:val="00C715AD"/>
    <w:rsid w:val="00D36AF0"/>
    <w:rsid w:val="00D67ACE"/>
    <w:rsid w:val="00E52B45"/>
    <w:rsid w:val="00E94C31"/>
    <w:rsid w:val="082E65C5"/>
    <w:rsid w:val="0A395367"/>
    <w:rsid w:val="0B3C154F"/>
    <w:rsid w:val="0F0E63CA"/>
    <w:rsid w:val="0F1F049A"/>
    <w:rsid w:val="137F4BD8"/>
    <w:rsid w:val="155816EA"/>
    <w:rsid w:val="1B155DAE"/>
    <w:rsid w:val="1C8B1061"/>
    <w:rsid w:val="24D334FA"/>
    <w:rsid w:val="265C2AE3"/>
    <w:rsid w:val="29F60DE0"/>
    <w:rsid w:val="2F379C5F"/>
    <w:rsid w:val="3BF84253"/>
    <w:rsid w:val="3F125028"/>
    <w:rsid w:val="405A7CCC"/>
    <w:rsid w:val="43626905"/>
    <w:rsid w:val="4A9F4C14"/>
    <w:rsid w:val="4AF56782"/>
    <w:rsid w:val="500D0826"/>
    <w:rsid w:val="51002139"/>
    <w:rsid w:val="542D5D29"/>
    <w:rsid w:val="55E27173"/>
    <w:rsid w:val="5A9771AD"/>
    <w:rsid w:val="5CBB35B4"/>
    <w:rsid w:val="63D96E02"/>
    <w:rsid w:val="63F61C71"/>
    <w:rsid w:val="643D7C1C"/>
    <w:rsid w:val="6D39273C"/>
    <w:rsid w:val="728C5E16"/>
    <w:rsid w:val="76217034"/>
    <w:rsid w:val="78AA6CAB"/>
    <w:rsid w:val="7ACDAD60"/>
    <w:rsid w:val="7B62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autoRedefine/>
    <w:semiHidden/>
    <w:unhideWhenUsed/>
    <w:qFormat/>
    <w:uiPriority w:val="99"/>
    <w:rPr>
      <w:sz w:val="18"/>
      <w:szCs w:val="18"/>
    </w:rPr>
  </w:style>
  <w:style w:type="paragraph" w:styleId="3">
    <w:name w:val="footer"/>
    <w:basedOn w:val="1"/>
    <w:link w:val="19"/>
    <w:unhideWhenUsed/>
    <w:qFormat/>
    <w:uiPriority w:val="99"/>
    <w:pPr>
      <w:tabs>
        <w:tab w:val="center" w:pos="4153"/>
        <w:tab w:val="right" w:pos="8306"/>
      </w:tabs>
      <w:snapToGrid w:val="0"/>
      <w:jc w:val="left"/>
    </w:pPr>
    <w:rPr>
      <w:sz w:val="18"/>
      <w:szCs w:val="18"/>
    </w:rPr>
  </w:style>
  <w:style w:type="paragraph" w:styleId="4">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semiHidden/>
    <w:unhideWhenUsed/>
    <w:qFormat/>
    <w:uiPriority w:val="99"/>
    <w:rPr>
      <w:color w:val="4461DA"/>
      <w:u w:val="none"/>
    </w:rPr>
  </w:style>
  <w:style w:type="character" w:styleId="10">
    <w:name w:val="HTML Acronym"/>
    <w:basedOn w:val="7"/>
    <w:semiHidden/>
    <w:unhideWhenUsed/>
    <w:qFormat/>
    <w:uiPriority w:val="99"/>
    <w:rPr>
      <w:caps/>
      <w:spacing w:val="12"/>
    </w:rPr>
  </w:style>
  <w:style w:type="character" w:styleId="11">
    <w:name w:val="HTML Variable"/>
    <w:basedOn w:val="7"/>
    <w:semiHidden/>
    <w:unhideWhenUsed/>
    <w:qFormat/>
    <w:uiPriority w:val="99"/>
    <w:rPr>
      <w:rFonts w:ascii="monospace" w:hAnsi="monospace" w:eastAsia="monospace" w:cs="monospace"/>
      <w:i/>
      <w:sz w:val="24"/>
      <w:szCs w:val="24"/>
    </w:rPr>
  </w:style>
  <w:style w:type="character" w:styleId="12">
    <w:name w:val="Hyperlink"/>
    <w:basedOn w:val="7"/>
    <w:semiHidden/>
    <w:unhideWhenUsed/>
    <w:qFormat/>
    <w:uiPriority w:val="99"/>
    <w:rPr>
      <w:color w:val="4461DA"/>
      <w:u w:val="none"/>
    </w:rPr>
  </w:style>
  <w:style w:type="character" w:styleId="13">
    <w:name w:val="HTML Code"/>
    <w:basedOn w:val="7"/>
    <w:semiHidden/>
    <w:unhideWhenUsed/>
    <w:qFormat/>
    <w:uiPriority w:val="99"/>
    <w:rPr>
      <w:rFonts w:hint="default" w:ascii="monospace" w:hAnsi="monospace" w:eastAsia="monospace" w:cs="monospace"/>
      <w:color w:val="555555"/>
      <w:sz w:val="24"/>
      <w:szCs w:val="24"/>
    </w:rPr>
  </w:style>
  <w:style w:type="character" w:styleId="14">
    <w:name w:val="HTML Keyboard"/>
    <w:basedOn w:val="7"/>
    <w:semiHidden/>
    <w:unhideWhenUsed/>
    <w:qFormat/>
    <w:uiPriority w:val="99"/>
    <w:rPr>
      <w:rFonts w:hint="default" w:ascii="monospace" w:hAnsi="monospace" w:eastAsia="monospace" w:cs="monospace"/>
      <w:sz w:val="24"/>
      <w:szCs w:val="24"/>
    </w:rPr>
  </w:style>
  <w:style w:type="character" w:styleId="15">
    <w:name w:val="HTML Sample"/>
    <w:basedOn w:val="7"/>
    <w:semiHidden/>
    <w:unhideWhenUsed/>
    <w:qFormat/>
    <w:uiPriority w:val="99"/>
    <w:rPr>
      <w:rFonts w:hint="default" w:ascii="monospace" w:hAnsi="monospace" w:eastAsia="monospace" w:cs="monospace"/>
      <w:sz w:val="24"/>
      <w:szCs w:val="24"/>
    </w:rPr>
  </w:style>
  <w:style w:type="paragraph" w:styleId="16">
    <w:name w:val="List Paragraph"/>
    <w:basedOn w:val="1"/>
    <w:autoRedefine/>
    <w:qFormat/>
    <w:uiPriority w:val="34"/>
    <w:pPr>
      <w:ind w:firstLine="420" w:firstLineChars="200"/>
    </w:pPr>
  </w:style>
  <w:style w:type="character" w:customStyle="1" w:styleId="17">
    <w:name w:val="批注框文本 Char"/>
    <w:basedOn w:val="7"/>
    <w:link w:val="2"/>
    <w:semiHidden/>
    <w:qFormat/>
    <w:uiPriority w:val="99"/>
    <w:rPr>
      <w:sz w:val="18"/>
      <w:szCs w:val="18"/>
    </w:rPr>
  </w:style>
  <w:style w:type="character" w:customStyle="1" w:styleId="18">
    <w:name w:val="页眉 Char"/>
    <w:basedOn w:val="7"/>
    <w:link w:val="4"/>
    <w:qFormat/>
    <w:uiPriority w:val="99"/>
    <w:rPr>
      <w:sz w:val="18"/>
      <w:szCs w:val="18"/>
    </w:rPr>
  </w:style>
  <w:style w:type="character" w:customStyle="1" w:styleId="19">
    <w:name w:val="页脚 Char"/>
    <w:basedOn w:val="7"/>
    <w:link w:val="3"/>
    <w:qFormat/>
    <w:uiPriority w:val="99"/>
    <w:rPr>
      <w:sz w:val="18"/>
      <w:szCs w:val="18"/>
    </w:rPr>
  </w:style>
  <w:style w:type="character" w:customStyle="1" w:styleId="20">
    <w:name w:val="emotion"/>
    <w:basedOn w:val="7"/>
    <w:qFormat/>
    <w:uiPriority w:val="0"/>
    <w:rPr>
      <w:vanish/>
      <w:sz w:val="18"/>
      <w:szCs w:val="18"/>
    </w:rPr>
  </w:style>
  <w:style w:type="character" w:customStyle="1" w:styleId="21">
    <w:name w:val="jbox-icon-error"/>
    <w:basedOn w:val="7"/>
    <w:qFormat/>
    <w:uiPriority w:val="0"/>
  </w:style>
  <w:style w:type="character" w:customStyle="1" w:styleId="22">
    <w:name w:val="jbox-icon-none"/>
    <w:basedOn w:val="7"/>
    <w:qFormat/>
    <w:uiPriority w:val="0"/>
    <w:rPr>
      <w:vanish/>
    </w:rPr>
  </w:style>
  <w:style w:type="character" w:customStyle="1" w:styleId="23">
    <w:name w:val="jbox-icon"/>
    <w:basedOn w:val="7"/>
    <w:qFormat/>
    <w:uiPriority w:val="0"/>
  </w:style>
  <w:style w:type="character" w:customStyle="1" w:styleId="24">
    <w:name w:val="jbox-icon-success"/>
    <w:basedOn w:val="7"/>
    <w:qFormat/>
    <w:uiPriority w:val="0"/>
  </w:style>
  <w:style w:type="character" w:customStyle="1" w:styleId="25">
    <w:name w:val="s_bg4_c2"/>
    <w:basedOn w:val="7"/>
    <w:qFormat/>
    <w:uiPriority w:val="0"/>
  </w:style>
  <w:style w:type="character" w:customStyle="1" w:styleId="26">
    <w:name w:val="s_bg4_c21"/>
    <w:basedOn w:val="7"/>
    <w:qFormat/>
    <w:uiPriority w:val="0"/>
  </w:style>
  <w:style w:type="character" w:customStyle="1" w:styleId="27">
    <w:name w:val="s_bg4_c11"/>
    <w:basedOn w:val="7"/>
    <w:qFormat/>
    <w:uiPriority w:val="0"/>
  </w:style>
  <w:style w:type="character" w:customStyle="1" w:styleId="28">
    <w:name w:val="s_bg4_c12"/>
    <w:basedOn w:val="7"/>
    <w:qFormat/>
    <w:uiPriority w:val="0"/>
  </w:style>
  <w:style w:type="character" w:customStyle="1" w:styleId="29">
    <w:name w:val="jbox-icon-warning"/>
    <w:basedOn w:val="7"/>
    <w:qFormat/>
    <w:uiPriority w:val="0"/>
  </w:style>
  <w:style w:type="character" w:customStyle="1" w:styleId="30">
    <w:name w:val="jbox-icon-question"/>
    <w:basedOn w:val="7"/>
    <w:qFormat/>
    <w:uiPriority w:val="0"/>
  </w:style>
  <w:style w:type="character" w:customStyle="1" w:styleId="31">
    <w:name w:val="jbox-icon-info"/>
    <w:basedOn w:val="7"/>
    <w:qFormat/>
    <w:uiPriority w:val="0"/>
  </w:style>
  <w:style w:type="character" w:customStyle="1" w:styleId="32">
    <w:name w:val="jbox-icon-loading"/>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1649</Words>
  <Characters>1684</Characters>
  <Lines>4</Lines>
  <Paragraphs>1</Paragraphs>
  <TotalTime>11</TotalTime>
  <ScaleCrop>false</ScaleCrop>
  <LinksUpToDate>false</LinksUpToDate>
  <CharactersWithSpaces>1758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2025-07-31T08:09:00Z</dcterms:created>
  <dc:creator>个人用户</dc:creator>
  <cp:lastModifiedBy>高锋</cp:lastModifiedBy>
  <cp:lastPrinted>2025-09-10T09:28:00Z</cp:lastPrinted>
  <dcterms:modified xsi:type="dcterms:W3CDTF">2025-09-12T06:25:25Z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DBF46416252E48848E001EB4DC5A8E48_13</vt:lpwstr>
  </property>
  <property fmtid="{D5CDD505-2E9C-101B-9397-08002B2CF9AE}" pid="4" name="KSOTemplateDocerSaveRecord">
    <vt:lpwstr>eyJoZGlkIjoiNDUwMTFkMDI3ZjBmZjczM2Q3M2EwOGI5M2VjYzUzMDkiLCJ1c2VySWQiOiIzODUzMDY0NTYifQ==</vt:lpwstr>
  </property>
</Properties>
</file>