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1D" w:rsidRPr="00703FEE" w:rsidRDefault="004A751D" w:rsidP="004A751D">
      <w:pPr>
        <w:spacing w:beforeLines="50" w:before="156" w:afterLines="50" w:after="156" w:line="400" w:lineRule="exact"/>
        <w:ind w:firstLineChars="0" w:firstLine="0"/>
        <w:rPr>
          <w:rFonts w:cs="宋体"/>
          <w:bCs/>
          <w:iCs/>
        </w:rPr>
      </w:pPr>
      <w:r w:rsidRPr="00703FEE">
        <w:rPr>
          <w:rFonts w:cs="宋体" w:hint="eastAsia"/>
          <w:bCs/>
          <w:iCs/>
        </w:rPr>
        <w:t>证券代码：</w:t>
      </w:r>
      <w:r w:rsidRPr="00703FEE">
        <w:rPr>
          <w:bCs/>
          <w:iCs/>
        </w:rPr>
        <w:t>688276</w:t>
      </w:r>
      <w:r w:rsidRPr="00703FEE">
        <w:rPr>
          <w:rFonts w:cs="宋体" w:hint="eastAsia"/>
          <w:bCs/>
          <w:iCs/>
        </w:rPr>
        <w:t xml:space="preserve">                                   </w:t>
      </w:r>
      <w:r w:rsidRPr="00703FEE">
        <w:rPr>
          <w:rFonts w:cs="宋体" w:hint="eastAsia"/>
          <w:bCs/>
          <w:iCs/>
        </w:rPr>
        <w:t>证券简称：百克生物</w:t>
      </w:r>
    </w:p>
    <w:p w:rsidR="004A751D" w:rsidRPr="00703FEE" w:rsidRDefault="004A751D" w:rsidP="004A751D">
      <w:pPr>
        <w:ind w:firstLineChars="0" w:firstLine="0"/>
        <w:jc w:val="center"/>
        <w:rPr>
          <w:b/>
          <w:bCs/>
          <w:iCs/>
        </w:rPr>
      </w:pPr>
    </w:p>
    <w:p w:rsidR="004A751D" w:rsidRPr="00703FEE" w:rsidRDefault="004A751D" w:rsidP="004A751D">
      <w:pPr>
        <w:ind w:firstLineChars="0" w:firstLine="0"/>
        <w:jc w:val="center"/>
        <w:rPr>
          <w:b/>
          <w:bCs/>
          <w:iCs/>
        </w:rPr>
      </w:pPr>
      <w:r w:rsidRPr="00703FEE">
        <w:rPr>
          <w:rFonts w:hint="eastAsia"/>
          <w:b/>
          <w:bCs/>
          <w:iCs/>
        </w:rPr>
        <w:t>长春百克生物科技股份公司投资者关系活动记录表</w:t>
      </w:r>
    </w:p>
    <w:p w:rsidR="004A751D" w:rsidRPr="00703FEE" w:rsidRDefault="004A751D" w:rsidP="004A751D">
      <w:pPr>
        <w:ind w:firstLine="482"/>
        <w:jc w:val="center"/>
        <w:rPr>
          <w:b/>
          <w:bCs/>
          <w:iCs/>
        </w:rPr>
      </w:pPr>
    </w:p>
    <w:p w:rsidR="004A751D" w:rsidRPr="00703FEE" w:rsidRDefault="004A751D" w:rsidP="004A751D">
      <w:pPr>
        <w:wordWrap w:val="0"/>
        <w:spacing w:line="400" w:lineRule="exact"/>
        <w:ind w:firstLineChars="0" w:firstLine="0"/>
        <w:jc w:val="right"/>
        <w:rPr>
          <w:bCs/>
          <w:iCs/>
        </w:rPr>
      </w:pPr>
      <w:r w:rsidRPr="00703FEE">
        <w:rPr>
          <w:rFonts w:hint="eastAsia"/>
          <w:bCs/>
          <w:iCs/>
        </w:rPr>
        <w:t>编号：</w:t>
      </w:r>
      <w:r w:rsidRPr="00703FEE">
        <w:rPr>
          <w:bCs/>
          <w:iCs/>
        </w:rPr>
        <w:t>202</w:t>
      </w:r>
      <w:r>
        <w:rPr>
          <w:rFonts w:hint="eastAsia"/>
          <w:bCs/>
          <w:iCs/>
        </w:rPr>
        <w:t>5</w:t>
      </w:r>
      <w:r w:rsidRPr="00703FEE">
        <w:rPr>
          <w:bCs/>
          <w:iCs/>
        </w:rPr>
        <w:t>-</w:t>
      </w:r>
      <w:r w:rsidR="00104D5E">
        <w:rPr>
          <w:bCs/>
          <w:iCs/>
        </w:rPr>
        <w:t>005</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6482"/>
      </w:tblGrid>
      <w:tr w:rsidR="004A751D" w:rsidRPr="00703FEE"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703FEE">
              <w:rPr>
                <w:rFonts w:hint="eastAsia"/>
                <w:bCs/>
                <w:iCs/>
              </w:rPr>
              <w:t>投资者关系活动类别</w:t>
            </w:r>
          </w:p>
        </w:tc>
        <w:tc>
          <w:tcPr>
            <w:tcW w:w="3957" w:type="pct"/>
            <w:tcBorders>
              <w:top w:val="single" w:sz="4" w:space="0" w:color="auto"/>
              <w:left w:val="single" w:sz="4" w:space="0" w:color="auto"/>
              <w:bottom w:val="single" w:sz="4" w:space="0" w:color="auto"/>
              <w:right w:val="single" w:sz="4" w:space="0" w:color="auto"/>
            </w:tcBorders>
            <w:hideMark/>
          </w:tcPr>
          <w:p w:rsidR="004A751D" w:rsidRPr="00703FEE" w:rsidRDefault="004A751D" w:rsidP="00616E71">
            <w:pPr>
              <w:tabs>
                <w:tab w:val="left" w:pos="2161"/>
              </w:tabs>
              <w:spacing w:line="480" w:lineRule="atLeast"/>
              <w:ind w:rightChars="695" w:right="1668" w:firstLineChars="0" w:firstLine="0"/>
              <w:jc w:val="left"/>
              <w:rPr>
                <w:bCs/>
                <w:iCs/>
              </w:rPr>
            </w:pPr>
            <w:r w:rsidRPr="00703FEE">
              <w:rPr>
                <w:bCs/>
                <w:iCs/>
              </w:rPr>
              <w:sym w:font="Wingdings 2" w:char="F0A3"/>
            </w:r>
            <w:r w:rsidRPr="00703FEE">
              <w:rPr>
                <w:rFonts w:hint="eastAsia"/>
              </w:rPr>
              <w:t>特定对象调研</w:t>
            </w:r>
            <w:r w:rsidRPr="00703FEE">
              <w:t xml:space="preserve">     </w:t>
            </w:r>
            <w:r w:rsidRPr="00703FEE">
              <w:rPr>
                <w:bCs/>
                <w:iCs/>
              </w:rPr>
              <w:sym w:font="Wingdings 2" w:char="F0A3"/>
            </w:r>
            <w:r w:rsidRPr="00703FEE">
              <w:rPr>
                <w:rFonts w:hint="eastAsia"/>
              </w:rPr>
              <w:t>分析师会议</w:t>
            </w:r>
          </w:p>
          <w:p w:rsidR="004A751D" w:rsidRPr="00703FEE" w:rsidRDefault="004A751D" w:rsidP="00616E71">
            <w:pPr>
              <w:spacing w:line="480" w:lineRule="atLeast"/>
              <w:ind w:firstLineChars="0" w:firstLine="0"/>
              <w:jc w:val="left"/>
              <w:rPr>
                <w:bCs/>
                <w:iCs/>
              </w:rPr>
            </w:pPr>
            <w:r w:rsidRPr="00703FEE">
              <w:rPr>
                <w:bCs/>
                <w:iCs/>
              </w:rPr>
              <w:sym w:font="Wingdings 2" w:char="F0A3"/>
            </w:r>
            <w:r w:rsidRPr="00703FEE">
              <w:rPr>
                <w:rFonts w:hint="eastAsia"/>
              </w:rPr>
              <w:t>媒体采访</w:t>
            </w:r>
            <w:r w:rsidRPr="00703FEE">
              <w:t xml:space="preserve">         </w:t>
            </w:r>
            <w:r w:rsidRPr="00703FEE">
              <w:rPr>
                <w:bCs/>
                <w:iCs/>
              </w:rPr>
              <w:sym w:font="Wingdings 2" w:char="F0A3"/>
            </w:r>
            <w:r w:rsidRPr="00703FEE">
              <w:rPr>
                <w:rFonts w:hint="eastAsia"/>
              </w:rPr>
              <w:t>业绩说明会</w:t>
            </w:r>
          </w:p>
          <w:p w:rsidR="004A751D" w:rsidRPr="00703FEE" w:rsidRDefault="004A751D" w:rsidP="00616E71">
            <w:pPr>
              <w:spacing w:line="480" w:lineRule="atLeast"/>
              <w:ind w:firstLineChars="0" w:firstLine="0"/>
              <w:jc w:val="left"/>
              <w:rPr>
                <w:bCs/>
                <w:iCs/>
              </w:rPr>
            </w:pPr>
            <w:r w:rsidRPr="00703FEE">
              <w:rPr>
                <w:bCs/>
                <w:iCs/>
              </w:rPr>
              <w:sym w:font="Wingdings 2" w:char="F0A3"/>
            </w:r>
            <w:r w:rsidRPr="00703FEE">
              <w:rPr>
                <w:rFonts w:hint="eastAsia"/>
              </w:rPr>
              <w:t>新闻发布会</w:t>
            </w:r>
            <w:r w:rsidRPr="00703FEE">
              <w:t xml:space="preserve">       </w:t>
            </w:r>
            <w:r w:rsidRPr="00703FEE">
              <w:rPr>
                <w:bCs/>
                <w:iCs/>
              </w:rPr>
              <w:sym w:font="Wingdings 2" w:char="F0A3"/>
            </w:r>
            <w:r w:rsidRPr="00703FEE">
              <w:rPr>
                <w:rFonts w:hint="eastAsia"/>
              </w:rPr>
              <w:t>路演活动</w:t>
            </w:r>
          </w:p>
          <w:p w:rsidR="004A751D" w:rsidRPr="00703FEE" w:rsidRDefault="004A751D" w:rsidP="00616E71">
            <w:pPr>
              <w:tabs>
                <w:tab w:val="left" w:pos="3045"/>
                <w:tab w:val="center" w:pos="3199"/>
              </w:tabs>
              <w:spacing w:line="480" w:lineRule="atLeast"/>
              <w:ind w:firstLineChars="0" w:firstLine="0"/>
              <w:jc w:val="left"/>
              <w:rPr>
                <w:bCs/>
                <w:iCs/>
              </w:rPr>
            </w:pPr>
            <w:r>
              <w:rPr>
                <w:bCs/>
                <w:iCs/>
              </w:rPr>
              <w:sym w:font="Wingdings 2" w:char="F050"/>
            </w:r>
            <w:r w:rsidRPr="00703FEE">
              <w:rPr>
                <w:rFonts w:hint="eastAsia"/>
              </w:rPr>
              <w:t>现场参观</w:t>
            </w:r>
          </w:p>
          <w:p w:rsidR="004A751D" w:rsidRPr="00703FEE" w:rsidRDefault="004A751D" w:rsidP="00616E71">
            <w:pPr>
              <w:tabs>
                <w:tab w:val="center" w:pos="3199"/>
              </w:tabs>
              <w:spacing w:line="480" w:lineRule="atLeast"/>
              <w:ind w:firstLineChars="0" w:firstLine="0"/>
              <w:jc w:val="left"/>
              <w:rPr>
                <w:bCs/>
                <w:iCs/>
              </w:rPr>
            </w:pPr>
            <w:r>
              <w:rPr>
                <w:bCs/>
                <w:iCs/>
              </w:rPr>
              <w:sym w:font="Wingdings 2" w:char="F050"/>
            </w:r>
            <w:r w:rsidRPr="00703FEE">
              <w:rPr>
                <w:rFonts w:hint="eastAsia"/>
              </w:rPr>
              <w:t>其他</w:t>
            </w:r>
            <w:r>
              <w:rPr>
                <w:rFonts w:hint="eastAsia"/>
              </w:rPr>
              <w:t>（</w:t>
            </w:r>
            <w:r w:rsidRPr="004A751D">
              <w:rPr>
                <w:rFonts w:hint="eastAsia"/>
                <w:u w:val="single"/>
              </w:rPr>
              <w:t>上海证券交易所、东北证券“我是股东——投资者走进百克生物”</w:t>
            </w:r>
            <w:r>
              <w:rPr>
                <w:rFonts w:hint="eastAsia"/>
              </w:rPr>
              <w:t>）</w:t>
            </w:r>
          </w:p>
        </w:tc>
      </w:tr>
      <w:tr w:rsidR="004A751D" w:rsidRPr="00361E78"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6778B7">
              <w:rPr>
                <w:rFonts w:hint="eastAsia"/>
                <w:bCs/>
                <w:iCs/>
              </w:rPr>
              <w:t>参与单位名称及人员姓名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rsidR="004A751D" w:rsidRPr="00156A7C" w:rsidRDefault="004A751D" w:rsidP="00616E71">
            <w:pPr>
              <w:ind w:firstLineChars="0" w:firstLine="0"/>
              <w:rPr>
                <w:bCs/>
                <w:iCs/>
              </w:rPr>
            </w:pPr>
            <w:r>
              <w:rPr>
                <w:rFonts w:hint="eastAsia"/>
                <w:bCs/>
                <w:iCs/>
              </w:rPr>
              <w:t>东北证券</w:t>
            </w:r>
            <w:r w:rsidR="005032CF">
              <w:rPr>
                <w:rFonts w:hint="eastAsia"/>
                <w:bCs/>
                <w:iCs/>
              </w:rPr>
              <w:t>及其他投资者。</w:t>
            </w:r>
          </w:p>
        </w:tc>
      </w:tr>
      <w:tr w:rsidR="004A751D" w:rsidRPr="00703FEE"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703FEE">
              <w:rPr>
                <w:rFonts w:hint="eastAsia"/>
                <w:bCs/>
                <w:iCs/>
              </w:rPr>
              <w:t>时间</w:t>
            </w:r>
          </w:p>
        </w:tc>
        <w:tc>
          <w:tcPr>
            <w:tcW w:w="3957"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4A751D">
            <w:pPr>
              <w:ind w:firstLineChars="0" w:firstLine="0"/>
              <w:rPr>
                <w:bCs/>
                <w:iCs/>
              </w:rPr>
            </w:pPr>
            <w:r w:rsidRPr="00703FEE">
              <w:rPr>
                <w:bCs/>
                <w:iCs/>
              </w:rPr>
              <w:t>202</w:t>
            </w:r>
            <w:r>
              <w:rPr>
                <w:rFonts w:hint="eastAsia"/>
                <w:bCs/>
                <w:iCs/>
              </w:rPr>
              <w:t>5</w:t>
            </w:r>
            <w:r w:rsidRPr="00703FEE">
              <w:rPr>
                <w:rFonts w:hint="eastAsia"/>
                <w:bCs/>
                <w:iCs/>
              </w:rPr>
              <w:t>年</w:t>
            </w:r>
            <w:r>
              <w:rPr>
                <w:bCs/>
                <w:iCs/>
              </w:rPr>
              <w:t>9</w:t>
            </w:r>
            <w:r w:rsidRPr="00703FEE">
              <w:rPr>
                <w:rFonts w:hint="eastAsia"/>
                <w:bCs/>
                <w:iCs/>
              </w:rPr>
              <w:t>月</w:t>
            </w:r>
            <w:r>
              <w:rPr>
                <w:bCs/>
                <w:iCs/>
              </w:rPr>
              <w:t>11</w:t>
            </w:r>
            <w:r w:rsidRPr="00703FEE">
              <w:rPr>
                <w:rFonts w:hint="eastAsia"/>
                <w:bCs/>
                <w:iCs/>
              </w:rPr>
              <w:t>日</w:t>
            </w:r>
          </w:p>
        </w:tc>
      </w:tr>
      <w:tr w:rsidR="004A751D" w:rsidRPr="00703FEE"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703FEE">
              <w:rPr>
                <w:rFonts w:hint="eastAsia"/>
                <w:bCs/>
                <w:iCs/>
              </w:rPr>
              <w:t>地点</w:t>
            </w:r>
          </w:p>
        </w:tc>
        <w:tc>
          <w:tcPr>
            <w:tcW w:w="3957" w:type="pct"/>
            <w:tcBorders>
              <w:top w:val="single" w:sz="4" w:space="0" w:color="auto"/>
              <w:left w:val="single" w:sz="4" w:space="0" w:color="auto"/>
              <w:bottom w:val="single" w:sz="4" w:space="0" w:color="auto"/>
              <w:right w:val="single" w:sz="4" w:space="0" w:color="auto"/>
            </w:tcBorders>
            <w:hideMark/>
          </w:tcPr>
          <w:p w:rsidR="004A751D" w:rsidRPr="00703FEE" w:rsidRDefault="004A751D" w:rsidP="00616E71">
            <w:pPr>
              <w:ind w:firstLineChars="0" w:firstLine="0"/>
              <w:rPr>
                <w:bCs/>
                <w:iCs/>
              </w:rPr>
            </w:pPr>
            <w:r>
              <w:rPr>
                <w:rFonts w:hint="eastAsia"/>
                <w:bCs/>
                <w:iCs/>
              </w:rPr>
              <w:t>公司会议室</w:t>
            </w:r>
          </w:p>
        </w:tc>
      </w:tr>
      <w:tr w:rsidR="004A751D" w:rsidRPr="00AA66D9"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703FEE">
              <w:rPr>
                <w:rFonts w:hint="eastAsia"/>
                <w:bCs/>
                <w:iCs/>
              </w:rPr>
              <w:t>上市公司接待人员姓名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4A751D">
              <w:rPr>
                <w:rFonts w:hint="eastAsia"/>
                <w:bCs/>
                <w:iCs/>
              </w:rPr>
              <w:t>监事会主席冯大强；董事会秘书张</w:t>
            </w:r>
            <w:proofErr w:type="gramStart"/>
            <w:r w:rsidRPr="004A751D">
              <w:rPr>
                <w:rFonts w:hint="eastAsia"/>
                <w:bCs/>
                <w:iCs/>
              </w:rPr>
              <w:t>喆</w:t>
            </w:r>
            <w:proofErr w:type="gramEnd"/>
            <w:r w:rsidRPr="004A751D">
              <w:rPr>
                <w:rFonts w:hint="eastAsia"/>
                <w:bCs/>
                <w:iCs/>
              </w:rPr>
              <w:t>；证券事务代表佟雪莲</w:t>
            </w:r>
          </w:p>
        </w:tc>
      </w:tr>
      <w:tr w:rsidR="004A751D" w:rsidRPr="00703FEE"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703FEE">
              <w:rPr>
                <w:rFonts w:hint="eastAsia"/>
                <w:bCs/>
                <w:iCs/>
              </w:rPr>
              <w:t>投资者关系活动主要内容介绍</w:t>
            </w:r>
          </w:p>
        </w:tc>
        <w:tc>
          <w:tcPr>
            <w:tcW w:w="3957" w:type="pct"/>
            <w:tcBorders>
              <w:top w:val="single" w:sz="4" w:space="0" w:color="auto"/>
              <w:left w:val="single" w:sz="4" w:space="0" w:color="auto"/>
              <w:bottom w:val="single" w:sz="4" w:space="0" w:color="auto"/>
              <w:right w:val="single" w:sz="4" w:space="0" w:color="auto"/>
            </w:tcBorders>
            <w:hideMark/>
          </w:tcPr>
          <w:p w:rsidR="004A751D" w:rsidRDefault="004A751D" w:rsidP="004A751D">
            <w:pPr>
              <w:ind w:firstLineChars="0" w:firstLine="0"/>
              <w:contextualSpacing/>
              <w:rPr>
                <w:rFonts w:cs="宋体"/>
                <w:bCs/>
                <w:iCs/>
              </w:rPr>
            </w:pPr>
            <w:r w:rsidRPr="00703FEE">
              <w:rPr>
                <w:rFonts w:cs="宋体" w:hint="eastAsia"/>
                <w:bCs/>
                <w:iCs/>
              </w:rPr>
              <w:t>以往机构调研中重复问答，本次活动披露文件中未做介绍。</w:t>
            </w:r>
          </w:p>
          <w:p w:rsidR="006F0A34" w:rsidRPr="006F0A34" w:rsidRDefault="006F0A34" w:rsidP="006F0A34">
            <w:pPr>
              <w:ind w:firstLineChars="0" w:firstLine="0"/>
              <w:contextualSpacing/>
              <w:rPr>
                <w:rFonts w:cs="宋体"/>
                <w:b/>
                <w:bCs/>
                <w:iCs/>
              </w:rPr>
            </w:pPr>
            <w:r w:rsidRPr="006F0A34">
              <w:rPr>
                <w:rFonts w:cs="宋体" w:hint="eastAsia"/>
                <w:b/>
                <w:bCs/>
                <w:iCs/>
              </w:rPr>
              <w:t>1</w:t>
            </w:r>
            <w:r w:rsidR="003E7D3A">
              <w:rPr>
                <w:rFonts w:cs="宋体"/>
                <w:b/>
                <w:bCs/>
                <w:iCs/>
              </w:rPr>
              <w:t>.</w:t>
            </w:r>
            <w:r w:rsidRPr="006F0A34">
              <w:rPr>
                <w:rFonts w:cs="宋体" w:hint="eastAsia"/>
                <w:b/>
                <w:bCs/>
                <w:iCs/>
              </w:rPr>
              <w:t>公司去年盈利，今年中报业绩不太理想，具体原因是什么？公司打算如何提高营收和利润？</w:t>
            </w:r>
          </w:p>
          <w:p w:rsidR="006F0A34" w:rsidRPr="006F0A34" w:rsidRDefault="006F0A34" w:rsidP="006F0A34">
            <w:pPr>
              <w:ind w:firstLineChars="0" w:firstLine="0"/>
              <w:contextualSpacing/>
              <w:rPr>
                <w:rFonts w:cs="宋体"/>
                <w:bCs/>
                <w:iCs/>
              </w:rPr>
            </w:pPr>
            <w:r w:rsidRPr="00660470">
              <w:rPr>
                <w:rFonts w:cs="宋体" w:hint="eastAsia"/>
                <w:b/>
                <w:bCs/>
                <w:iCs/>
              </w:rPr>
              <w:t>答：</w:t>
            </w:r>
            <w:r w:rsidRPr="006F0A34">
              <w:rPr>
                <w:rFonts w:cs="宋体" w:hint="eastAsia"/>
                <w:bCs/>
                <w:iCs/>
              </w:rPr>
              <w:t>2025</w:t>
            </w:r>
            <w:r w:rsidRPr="006F0A34">
              <w:rPr>
                <w:rFonts w:cs="宋体" w:hint="eastAsia"/>
                <w:bCs/>
                <w:iCs/>
              </w:rPr>
              <w:t>年上半年，我国疫苗行业面临多方面的挑战，肺炎疫苗、带状疱疹疫苗、流感疫苗等</w:t>
            </w:r>
            <w:proofErr w:type="gramStart"/>
            <w:r w:rsidRPr="006F0A34">
              <w:rPr>
                <w:rFonts w:cs="宋体" w:hint="eastAsia"/>
                <w:bCs/>
                <w:iCs/>
              </w:rPr>
              <w:t>多款非免疫</w:t>
            </w:r>
            <w:proofErr w:type="gramEnd"/>
            <w:r w:rsidRPr="006F0A34">
              <w:rPr>
                <w:rFonts w:cs="宋体" w:hint="eastAsia"/>
                <w:bCs/>
                <w:iCs/>
              </w:rPr>
              <w:t>规划疫苗批签发批次同比下降，部分产品批签发批次下降超过</w:t>
            </w:r>
            <w:r w:rsidRPr="006F0A34">
              <w:rPr>
                <w:rFonts w:cs="宋体" w:hint="eastAsia"/>
                <w:bCs/>
                <w:iCs/>
              </w:rPr>
              <w:t>50%</w:t>
            </w:r>
            <w:r w:rsidRPr="006F0A34">
              <w:rPr>
                <w:rFonts w:cs="宋体" w:hint="eastAsia"/>
                <w:bCs/>
                <w:iCs/>
              </w:rPr>
              <w:t>。</w:t>
            </w:r>
          </w:p>
          <w:p w:rsidR="006F0A34" w:rsidRPr="006F0A34" w:rsidRDefault="006F0A34" w:rsidP="006F0A34">
            <w:pPr>
              <w:ind w:firstLineChars="0" w:firstLine="0"/>
              <w:contextualSpacing/>
              <w:rPr>
                <w:rFonts w:cs="宋体"/>
                <w:bCs/>
                <w:iCs/>
              </w:rPr>
            </w:pPr>
            <w:r w:rsidRPr="006F0A34">
              <w:rPr>
                <w:rFonts w:cs="宋体" w:hint="eastAsia"/>
                <w:bCs/>
                <w:iCs/>
              </w:rPr>
              <w:t>受外部环境、市场竞争加剧以及受种者疫苗接种意愿下降等多方面因素的影响，公司带状疱疹疫苗销售、使用数量大幅减少，销售收入承压，对公司整体营业收入、净利润造成影响，收入、利润同比下降。对此，公司紧密关注市场动态，结合产品特点、市场情况及</w:t>
            </w:r>
            <w:proofErr w:type="gramStart"/>
            <w:r w:rsidRPr="006F0A34">
              <w:rPr>
                <w:rFonts w:cs="宋体" w:hint="eastAsia"/>
                <w:bCs/>
                <w:iCs/>
              </w:rPr>
              <w:t>医</w:t>
            </w:r>
            <w:proofErr w:type="gramEnd"/>
            <w:r w:rsidRPr="006F0A34">
              <w:rPr>
                <w:rFonts w:cs="宋体" w:hint="eastAsia"/>
                <w:bCs/>
                <w:iCs/>
              </w:rPr>
              <w:t>防融合相关政策，持续采取创新营销渠道策略，努力提升公众对相关疾病的认知度，提升</w:t>
            </w:r>
            <w:r w:rsidRPr="006F0A34">
              <w:rPr>
                <w:rFonts w:cs="宋体" w:hint="eastAsia"/>
                <w:bCs/>
                <w:iCs/>
              </w:rPr>
              <w:lastRenderedPageBreak/>
              <w:t>疾病预防意识，以激发受种者需求。同时，坚定不移地实施创新驱动发展战略，持续加大研发投入，加速推进在</w:t>
            </w:r>
            <w:proofErr w:type="gramStart"/>
            <w:r w:rsidRPr="006F0A34">
              <w:rPr>
                <w:rFonts w:cs="宋体" w:hint="eastAsia"/>
                <w:bCs/>
                <w:iCs/>
              </w:rPr>
              <w:t>研</w:t>
            </w:r>
            <w:proofErr w:type="gramEnd"/>
            <w:r w:rsidRPr="006F0A34">
              <w:rPr>
                <w:rFonts w:cs="宋体" w:hint="eastAsia"/>
                <w:bCs/>
                <w:iCs/>
              </w:rPr>
              <w:t>管线进度，为未来发展储备新的增长点。</w:t>
            </w:r>
          </w:p>
          <w:p w:rsidR="006F0A34" w:rsidRPr="006F0A34" w:rsidRDefault="006F0A34" w:rsidP="006F0A34">
            <w:pPr>
              <w:ind w:firstLineChars="0" w:firstLine="0"/>
              <w:contextualSpacing/>
              <w:rPr>
                <w:rFonts w:cs="宋体"/>
                <w:bCs/>
                <w:iCs/>
              </w:rPr>
            </w:pPr>
          </w:p>
          <w:p w:rsidR="006F0A34" w:rsidRPr="006F0A34" w:rsidRDefault="003E7D3A" w:rsidP="006F0A34">
            <w:pPr>
              <w:ind w:firstLineChars="0" w:firstLine="0"/>
              <w:contextualSpacing/>
              <w:rPr>
                <w:rFonts w:cs="宋体"/>
                <w:b/>
                <w:bCs/>
                <w:iCs/>
              </w:rPr>
            </w:pPr>
            <w:r>
              <w:rPr>
                <w:rFonts w:cs="宋体"/>
                <w:b/>
                <w:bCs/>
                <w:iCs/>
              </w:rPr>
              <w:t>2.</w:t>
            </w:r>
            <w:r w:rsidR="006F0A34" w:rsidRPr="006F0A34">
              <w:rPr>
                <w:rFonts w:cs="宋体" w:hint="eastAsia"/>
                <w:b/>
                <w:bCs/>
                <w:iCs/>
              </w:rPr>
              <w:t>请问公司如何看待该产品未来的市场竞争格局，公司的差异化优势和市场策略是什么？</w:t>
            </w:r>
          </w:p>
          <w:p w:rsidR="006F0A34" w:rsidRPr="006F0A34" w:rsidRDefault="006F0A34" w:rsidP="006F0A34">
            <w:pPr>
              <w:ind w:firstLineChars="0" w:firstLine="0"/>
              <w:contextualSpacing/>
              <w:rPr>
                <w:rFonts w:cs="宋体"/>
                <w:bCs/>
                <w:iCs/>
              </w:rPr>
            </w:pPr>
            <w:r w:rsidRPr="00660470">
              <w:rPr>
                <w:rFonts w:cs="宋体" w:hint="eastAsia"/>
                <w:b/>
                <w:bCs/>
                <w:iCs/>
              </w:rPr>
              <w:t>答：</w:t>
            </w:r>
            <w:r w:rsidRPr="006F0A34">
              <w:rPr>
                <w:rFonts w:cs="宋体" w:hint="eastAsia"/>
                <w:bCs/>
                <w:iCs/>
              </w:rPr>
              <w:t>公司营业收入主要来自于水痘疫苗、带状疱疹疫苗及鼻喷流感疫苗产生的销售收入。</w:t>
            </w:r>
          </w:p>
          <w:p w:rsidR="006F0A34" w:rsidRPr="006F0A34" w:rsidRDefault="006F0A34" w:rsidP="006F0A34">
            <w:pPr>
              <w:ind w:firstLineChars="0" w:firstLine="0"/>
              <w:contextualSpacing/>
              <w:rPr>
                <w:rFonts w:cs="宋体"/>
                <w:bCs/>
                <w:iCs/>
              </w:rPr>
            </w:pPr>
            <w:r w:rsidRPr="006F0A34">
              <w:rPr>
                <w:rFonts w:cs="宋体" w:hint="eastAsia"/>
                <w:b/>
                <w:bCs/>
                <w:iCs/>
              </w:rPr>
              <w:t>市场格局方面：</w:t>
            </w:r>
            <w:r w:rsidRPr="006F0A34">
              <w:rPr>
                <w:rFonts w:cs="宋体" w:hint="eastAsia"/>
                <w:bCs/>
                <w:iCs/>
              </w:rPr>
              <w:t>随着人口老龄化</w:t>
            </w:r>
            <w:bookmarkStart w:id="0" w:name="_GoBack"/>
            <w:bookmarkEnd w:id="0"/>
            <w:r w:rsidRPr="006F0A34">
              <w:rPr>
                <w:rFonts w:cs="宋体" w:hint="eastAsia"/>
                <w:bCs/>
                <w:iCs/>
              </w:rPr>
              <w:t>程度的加深，成人疫苗特别是适用于老年人的疫苗需求也在不断增加，国内以带状疱疹疫苗等为代表的成人预防接种市场空间广大。由于目前大众对健康知识、疾病危害及疾病预防的认知不足，包括带状疱疹疫苗在内的疫苗产品的使用远远不能达到预防疾病传播、提升人群整体健康素质的目的。当前最主要的工作是加大大众健康知识普及和宣传工作力度，引导受种者通过科学的方法提升健康素质，预防疾病的发生和传播，而疫苗的使用是疾病预防最有效的手段之一，这需要广泛的参与和较长的时间过程。同样，带状疱疹疾病知识的普及和宣传不是一朝一夕的工作，也不是少数机构或者厂家所能完成的，随着新厂家的加入，必将投入更多的资源和精力，不断提升受种者的认知，逐步提升市场容量，并创造出更好的经济效益和社会效益。</w:t>
            </w:r>
          </w:p>
          <w:p w:rsidR="006F0A34" w:rsidRPr="006F0A34" w:rsidRDefault="006F0A34" w:rsidP="006F0A34">
            <w:pPr>
              <w:ind w:firstLineChars="0" w:firstLine="0"/>
              <w:contextualSpacing/>
              <w:rPr>
                <w:rFonts w:cs="宋体"/>
                <w:bCs/>
                <w:iCs/>
              </w:rPr>
            </w:pPr>
            <w:r w:rsidRPr="006F0A34">
              <w:rPr>
                <w:rFonts w:cs="宋体" w:hint="eastAsia"/>
                <w:b/>
                <w:bCs/>
                <w:iCs/>
              </w:rPr>
              <w:t>差异化方面：</w:t>
            </w:r>
            <w:r w:rsidRPr="006F0A34">
              <w:rPr>
                <w:rFonts w:cs="宋体" w:hint="eastAsia"/>
                <w:bCs/>
                <w:iCs/>
              </w:rPr>
              <w:t>公司水痘疫苗的市场占有率多年处于领先地位；</w:t>
            </w:r>
            <w:proofErr w:type="gramStart"/>
            <w:r w:rsidRPr="006F0A34">
              <w:rPr>
                <w:rFonts w:cs="宋体" w:hint="eastAsia"/>
                <w:bCs/>
                <w:iCs/>
              </w:rPr>
              <w:t>鼻</w:t>
            </w:r>
            <w:proofErr w:type="gramEnd"/>
            <w:r w:rsidRPr="006F0A34">
              <w:rPr>
                <w:rFonts w:cs="宋体" w:hint="eastAsia"/>
                <w:bCs/>
                <w:iCs/>
              </w:rPr>
              <w:t>喷流感疫苗为世界卫生组织（</w:t>
            </w:r>
            <w:r w:rsidRPr="006F0A34">
              <w:rPr>
                <w:rFonts w:cs="宋体" w:hint="eastAsia"/>
                <w:bCs/>
                <w:iCs/>
              </w:rPr>
              <w:t>WHO</w:t>
            </w:r>
            <w:r w:rsidRPr="006F0A34">
              <w:rPr>
                <w:rFonts w:cs="宋体" w:hint="eastAsia"/>
                <w:bCs/>
                <w:iCs/>
              </w:rPr>
              <w:t>）全球流感疫苗行动计划项目</w:t>
            </w:r>
            <w:r w:rsidRPr="006F0A34">
              <w:rPr>
                <w:rFonts w:cs="宋体" w:hint="eastAsia"/>
                <w:bCs/>
                <w:iCs/>
              </w:rPr>
              <w:t>(GAP)</w:t>
            </w:r>
            <w:r w:rsidRPr="006F0A34">
              <w:rPr>
                <w:rFonts w:cs="宋体" w:hint="eastAsia"/>
                <w:bCs/>
                <w:iCs/>
              </w:rPr>
              <w:t>，是国内独家经鼻</w:t>
            </w:r>
            <w:proofErr w:type="gramStart"/>
            <w:r w:rsidRPr="006F0A34">
              <w:rPr>
                <w:rFonts w:cs="宋体" w:hint="eastAsia"/>
                <w:bCs/>
                <w:iCs/>
              </w:rPr>
              <w:t>喷方式</w:t>
            </w:r>
            <w:proofErr w:type="gramEnd"/>
            <w:r w:rsidRPr="006F0A34">
              <w:rPr>
                <w:rFonts w:cs="宋体" w:hint="eastAsia"/>
                <w:bCs/>
                <w:iCs/>
              </w:rPr>
              <w:t>接种的流感减毒活疫苗，极大提升接种者依从性；带状疱疹疫苗是由公司自主研发的国内首个用于</w:t>
            </w:r>
            <w:r w:rsidRPr="006F0A34">
              <w:rPr>
                <w:rFonts w:cs="宋体" w:hint="eastAsia"/>
                <w:bCs/>
                <w:iCs/>
              </w:rPr>
              <w:t>40</w:t>
            </w:r>
            <w:r w:rsidRPr="006F0A34">
              <w:rPr>
                <w:rFonts w:cs="宋体" w:hint="eastAsia"/>
                <w:bCs/>
                <w:iCs/>
              </w:rPr>
              <w:t>岁及以上人群的带状疱疹疫苗，为公众预防带状疱疹提供了新的选择；液体</w:t>
            </w:r>
            <w:proofErr w:type="gramStart"/>
            <w:r w:rsidRPr="006F0A34">
              <w:rPr>
                <w:rFonts w:cs="宋体" w:hint="eastAsia"/>
                <w:bCs/>
                <w:iCs/>
              </w:rPr>
              <w:t>鼻</w:t>
            </w:r>
            <w:proofErr w:type="gramEnd"/>
            <w:r w:rsidRPr="006F0A34">
              <w:rPr>
                <w:rFonts w:cs="宋体" w:hint="eastAsia"/>
                <w:bCs/>
                <w:iCs/>
              </w:rPr>
              <w:t>喷流感疫苗于</w:t>
            </w:r>
            <w:r w:rsidRPr="006F0A34">
              <w:rPr>
                <w:rFonts w:cs="宋体" w:hint="eastAsia"/>
                <w:bCs/>
                <w:iCs/>
              </w:rPr>
              <w:t>8</w:t>
            </w:r>
            <w:r w:rsidRPr="006F0A34">
              <w:rPr>
                <w:rFonts w:cs="宋体" w:hint="eastAsia"/>
                <w:bCs/>
                <w:iCs/>
              </w:rPr>
              <w:t>月取得生产批件，是在原鼻喷流感疫苗冻干剂型的基础上的剂型</w:t>
            </w:r>
            <w:r w:rsidRPr="006F0A34">
              <w:rPr>
                <w:rFonts w:cs="宋体" w:hint="eastAsia"/>
                <w:bCs/>
                <w:iCs/>
              </w:rPr>
              <w:lastRenderedPageBreak/>
              <w:t>改进，提升了产品使用的便利性和依从性。</w:t>
            </w:r>
          </w:p>
          <w:p w:rsidR="006F0A34" w:rsidRPr="006F0A34" w:rsidRDefault="006F0A34" w:rsidP="006F0A34">
            <w:pPr>
              <w:ind w:firstLineChars="0" w:firstLine="0"/>
              <w:contextualSpacing/>
              <w:rPr>
                <w:rFonts w:cs="宋体"/>
                <w:bCs/>
                <w:iCs/>
              </w:rPr>
            </w:pPr>
          </w:p>
          <w:p w:rsidR="006F0A34" w:rsidRPr="006F0A34" w:rsidRDefault="003E7D3A" w:rsidP="006F0A34">
            <w:pPr>
              <w:ind w:firstLineChars="0" w:firstLine="0"/>
              <w:contextualSpacing/>
              <w:rPr>
                <w:rFonts w:cs="宋体"/>
                <w:b/>
                <w:bCs/>
                <w:iCs/>
              </w:rPr>
            </w:pPr>
            <w:r>
              <w:rPr>
                <w:rFonts w:cs="宋体"/>
                <w:b/>
                <w:bCs/>
                <w:iCs/>
              </w:rPr>
              <w:t>3.</w:t>
            </w:r>
            <w:r w:rsidR="006F0A34" w:rsidRPr="006F0A34">
              <w:rPr>
                <w:rFonts w:cs="宋体" w:hint="eastAsia"/>
                <w:b/>
                <w:bCs/>
                <w:iCs/>
              </w:rPr>
              <w:t>公司对国家</w:t>
            </w:r>
            <w:proofErr w:type="gramStart"/>
            <w:r w:rsidR="006F0A34" w:rsidRPr="006F0A34">
              <w:rPr>
                <w:rFonts w:cs="宋体" w:hint="eastAsia"/>
                <w:b/>
                <w:bCs/>
                <w:iCs/>
              </w:rPr>
              <w:t>医</w:t>
            </w:r>
            <w:proofErr w:type="gramEnd"/>
            <w:r w:rsidR="006F0A34" w:rsidRPr="006F0A34">
              <w:rPr>
                <w:rFonts w:cs="宋体" w:hint="eastAsia"/>
                <w:b/>
                <w:bCs/>
                <w:iCs/>
              </w:rPr>
              <w:t>保改革有哪些应对措施？</w:t>
            </w:r>
          </w:p>
          <w:p w:rsidR="004A751D" w:rsidRPr="006F0A34" w:rsidRDefault="006F0A34" w:rsidP="006F0A34">
            <w:pPr>
              <w:ind w:firstLineChars="0" w:firstLine="0"/>
              <w:contextualSpacing/>
              <w:rPr>
                <w:rFonts w:cs="宋体"/>
                <w:bCs/>
                <w:iCs/>
              </w:rPr>
            </w:pPr>
            <w:r w:rsidRPr="00660470">
              <w:rPr>
                <w:rFonts w:cs="宋体" w:hint="eastAsia"/>
                <w:b/>
                <w:bCs/>
                <w:iCs/>
              </w:rPr>
              <w:t>答：</w:t>
            </w:r>
            <w:r w:rsidRPr="006F0A34">
              <w:rPr>
                <w:rFonts w:cs="宋体" w:hint="eastAsia"/>
                <w:bCs/>
                <w:iCs/>
              </w:rPr>
              <w:t>公司的产品水痘疫苗、带状疱疹疫苗以及</w:t>
            </w:r>
            <w:proofErr w:type="gramStart"/>
            <w:r w:rsidRPr="006F0A34">
              <w:rPr>
                <w:rFonts w:cs="宋体" w:hint="eastAsia"/>
                <w:bCs/>
                <w:iCs/>
              </w:rPr>
              <w:t>鼻</w:t>
            </w:r>
            <w:proofErr w:type="gramEnd"/>
            <w:r w:rsidRPr="006F0A34">
              <w:rPr>
                <w:rFonts w:cs="宋体" w:hint="eastAsia"/>
                <w:bCs/>
                <w:iCs/>
              </w:rPr>
              <w:t>喷流感疫苗均为国家非免疫规划疫苗，其中水痘疫苗被部分省市纳入当地免疫规划。非免疫规划疫苗系根据市场自主定价。公司紧密关注市场动态，基于产品特性、市场环境变化及</w:t>
            </w:r>
            <w:proofErr w:type="gramStart"/>
            <w:r w:rsidRPr="006F0A34">
              <w:rPr>
                <w:rFonts w:cs="宋体" w:hint="eastAsia"/>
                <w:bCs/>
                <w:iCs/>
              </w:rPr>
              <w:t>医</w:t>
            </w:r>
            <w:proofErr w:type="gramEnd"/>
            <w:r w:rsidRPr="006F0A34">
              <w:rPr>
                <w:rFonts w:cs="宋体" w:hint="eastAsia"/>
                <w:bCs/>
                <w:iCs/>
              </w:rPr>
              <w:t>防协同政策导向，持续采取创新营销渠道策略，积极探索</w:t>
            </w:r>
            <w:proofErr w:type="gramStart"/>
            <w:r w:rsidRPr="006F0A34">
              <w:rPr>
                <w:rFonts w:cs="宋体" w:hint="eastAsia"/>
                <w:bCs/>
                <w:iCs/>
              </w:rPr>
              <w:t>医</w:t>
            </w:r>
            <w:proofErr w:type="gramEnd"/>
            <w:r w:rsidRPr="006F0A34">
              <w:rPr>
                <w:rFonts w:cs="宋体" w:hint="eastAsia"/>
                <w:bCs/>
                <w:iCs/>
              </w:rPr>
              <w:t>防融合新模式，提升产品认可度、市场占有率及品牌知名度。</w:t>
            </w:r>
          </w:p>
        </w:tc>
      </w:tr>
      <w:tr w:rsidR="004A751D" w:rsidRPr="00703FEE" w:rsidTr="00616E71">
        <w:trPr>
          <w:jc w:val="center"/>
        </w:trPr>
        <w:tc>
          <w:tcPr>
            <w:tcW w:w="1043" w:type="pct"/>
            <w:tcBorders>
              <w:top w:val="single" w:sz="4" w:space="0" w:color="auto"/>
              <w:left w:val="single" w:sz="4" w:space="0" w:color="auto"/>
              <w:bottom w:val="single" w:sz="4" w:space="0" w:color="auto"/>
              <w:right w:val="single" w:sz="4" w:space="0" w:color="auto"/>
            </w:tcBorders>
            <w:hideMark/>
          </w:tcPr>
          <w:p w:rsidR="004A751D" w:rsidRPr="00703FEE" w:rsidRDefault="004A751D" w:rsidP="00616E71">
            <w:pPr>
              <w:ind w:firstLineChars="0" w:firstLine="0"/>
              <w:jc w:val="left"/>
              <w:rPr>
                <w:bCs/>
                <w:iCs/>
              </w:rPr>
            </w:pPr>
            <w:r w:rsidRPr="00703FEE">
              <w:rPr>
                <w:rFonts w:hint="eastAsia"/>
                <w:bCs/>
                <w:iCs/>
              </w:rPr>
              <w:lastRenderedPageBreak/>
              <w:t>附件清单</w:t>
            </w:r>
          </w:p>
        </w:tc>
        <w:tc>
          <w:tcPr>
            <w:tcW w:w="3957" w:type="pct"/>
            <w:tcBorders>
              <w:top w:val="single" w:sz="4" w:space="0" w:color="auto"/>
              <w:left w:val="single" w:sz="4" w:space="0" w:color="auto"/>
              <w:bottom w:val="single" w:sz="4" w:space="0" w:color="auto"/>
              <w:right w:val="single" w:sz="4" w:space="0" w:color="auto"/>
            </w:tcBorders>
            <w:vAlign w:val="bottom"/>
            <w:hideMark/>
          </w:tcPr>
          <w:p w:rsidR="004A751D" w:rsidRPr="00703FEE" w:rsidRDefault="004A751D" w:rsidP="00616E71">
            <w:pPr>
              <w:ind w:firstLineChars="0" w:firstLine="0"/>
              <w:jc w:val="left"/>
              <w:rPr>
                <w:bCs/>
                <w:iCs/>
              </w:rPr>
            </w:pPr>
            <w:r>
              <w:rPr>
                <w:rFonts w:hint="eastAsia"/>
                <w:bCs/>
                <w:iCs/>
              </w:rPr>
              <w:t>无</w:t>
            </w:r>
          </w:p>
        </w:tc>
      </w:tr>
      <w:tr w:rsidR="004A751D" w:rsidRPr="00703FEE" w:rsidTr="00616E71">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rsidR="004A751D" w:rsidRPr="00703FEE" w:rsidRDefault="004A751D" w:rsidP="00616E71">
            <w:pPr>
              <w:ind w:firstLineChars="0" w:firstLine="0"/>
              <w:rPr>
                <w:bCs/>
                <w:iCs/>
              </w:rPr>
            </w:pPr>
            <w:r w:rsidRPr="00703FEE">
              <w:rPr>
                <w:rFonts w:hint="eastAsia"/>
                <w:bCs/>
                <w:iCs/>
              </w:rPr>
              <w:t>日期</w:t>
            </w:r>
          </w:p>
        </w:tc>
        <w:tc>
          <w:tcPr>
            <w:tcW w:w="3957" w:type="pct"/>
            <w:tcBorders>
              <w:top w:val="single" w:sz="4" w:space="0" w:color="auto"/>
              <w:left w:val="single" w:sz="4" w:space="0" w:color="auto"/>
              <w:bottom w:val="single" w:sz="4" w:space="0" w:color="auto"/>
              <w:right w:val="single" w:sz="4" w:space="0" w:color="auto"/>
            </w:tcBorders>
            <w:hideMark/>
          </w:tcPr>
          <w:p w:rsidR="004A751D" w:rsidRPr="00703FEE" w:rsidRDefault="004A751D" w:rsidP="004A751D">
            <w:pPr>
              <w:ind w:firstLineChars="0" w:firstLine="0"/>
              <w:rPr>
                <w:bCs/>
                <w:iCs/>
              </w:rPr>
            </w:pPr>
            <w:r w:rsidRPr="00703FEE">
              <w:rPr>
                <w:bCs/>
                <w:iCs/>
              </w:rPr>
              <w:t>202</w:t>
            </w:r>
            <w:r>
              <w:rPr>
                <w:rFonts w:hint="eastAsia"/>
                <w:bCs/>
                <w:iCs/>
              </w:rPr>
              <w:t>5</w:t>
            </w:r>
            <w:r w:rsidRPr="00703FEE">
              <w:rPr>
                <w:rFonts w:hint="eastAsia"/>
                <w:bCs/>
                <w:iCs/>
              </w:rPr>
              <w:t>年</w:t>
            </w:r>
            <w:r>
              <w:rPr>
                <w:bCs/>
                <w:iCs/>
              </w:rPr>
              <w:t>9</w:t>
            </w:r>
            <w:r w:rsidRPr="00703FEE">
              <w:rPr>
                <w:rFonts w:hint="eastAsia"/>
                <w:bCs/>
                <w:iCs/>
              </w:rPr>
              <w:t>月</w:t>
            </w:r>
            <w:r>
              <w:rPr>
                <w:bCs/>
                <w:iCs/>
              </w:rPr>
              <w:t>12</w:t>
            </w:r>
            <w:r w:rsidRPr="00703FEE">
              <w:rPr>
                <w:rFonts w:hint="eastAsia"/>
                <w:bCs/>
                <w:iCs/>
              </w:rPr>
              <w:t>日</w:t>
            </w:r>
          </w:p>
        </w:tc>
      </w:tr>
    </w:tbl>
    <w:p w:rsidR="004A751D" w:rsidRDefault="004A751D" w:rsidP="004A751D">
      <w:pPr>
        <w:ind w:firstLine="480"/>
      </w:pPr>
    </w:p>
    <w:p w:rsidR="004A751D" w:rsidRDefault="004A751D" w:rsidP="004A751D">
      <w:pPr>
        <w:ind w:firstLine="480"/>
        <w:jc w:val="center"/>
      </w:pPr>
    </w:p>
    <w:p w:rsidR="002C6555" w:rsidRDefault="002C6555">
      <w:pPr>
        <w:ind w:firstLine="480"/>
      </w:pPr>
    </w:p>
    <w:sectPr w:rsidR="002C655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5E" w:rsidRDefault="0016275E" w:rsidP="004A751D">
      <w:pPr>
        <w:spacing w:line="240" w:lineRule="auto"/>
        <w:ind w:firstLine="480"/>
      </w:pPr>
      <w:r>
        <w:separator/>
      </w:r>
    </w:p>
  </w:endnote>
  <w:endnote w:type="continuationSeparator" w:id="0">
    <w:p w:rsidR="0016275E" w:rsidRDefault="0016275E" w:rsidP="004A751D">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87" w:rsidRDefault="0016275E">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87" w:rsidRDefault="0016275E">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87" w:rsidRDefault="0016275E">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5E" w:rsidRDefault="0016275E" w:rsidP="004A751D">
      <w:pPr>
        <w:spacing w:line="240" w:lineRule="auto"/>
        <w:ind w:firstLine="480"/>
      </w:pPr>
      <w:r>
        <w:separator/>
      </w:r>
    </w:p>
  </w:footnote>
  <w:footnote w:type="continuationSeparator" w:id="0">
    <w:p w:rsidR="0016275E" w:rsidRDefault="0016275E" w:rsidP="004A751D">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87" w:rsidRDefault="0016275E">
    <w:pPr>
      <w:pStyle w:val="a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87" w:rsidRDefault="0016275E">
    <w:pPr>
      <w:pStyle w:val="a3"/>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87" w:rsidRDefault="0016275E">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C4"/>
    <w:rsid w:val="0007271F"/>
    <w:rsid w:val="000A1854"/>
    <w:rsid w:val="00104D5E"/>
    <w:rsid w:val="001217D5"/>
    <w:rsid w:val="00132DEF"/>
    <w:rsid w:val="0016275E"/>
    <w:rsid w:val="001947C4"/>
    <w:rsid w:val="001A6D80"/>
    <w:rsid w:val="002C3846"/>
    <w:rsid w:val="002C6555"/>
    <w:rsid w:val="00317A00"/>
    <w:rsid w:val="0036525A"/>
    <w:rsid w:val="003E1927"/>
    <w:rsid w:val="003E7D3A"/>
    <w:rsid w:val="00431560"/>
    <w:rsid w:val="0045055C"/>
    <w:rsid w:val="0049353D"/>
    <w:rsid w:val="004A751D"/>
    <w:rsid w:val="005032CF"/>
    <w:rsid w:val="00541515"/>
    <w:rsid w:val="005750A3"/>
    <w:rsid w:val="005E47C4"/>
    <w:rsid w:val="0062396D"/>
    <w:rsid w:val="00660470"/>
    <w:rsid w:val="006778B7"/>
    <w:rsid w:val="006F0A34"/>
    <w:rsid w:val="00727AFC"/>
    <w:rsid w:val="00763287"/>
    <w:rsid w:val="007C55AE"/>
    <w:rsid w:val="008049FB"/>
    <w:rsid w:val="008E2F7F"/>
    <w:rsid w:val="00916FBD"/>
    <w:rsid w:val="009C11B5"/>
    <w:rsid w:val="00BF20DA"/>
    <w:rsid w:val="00D6132A"/>
    <w:rsid w:val="00D62DD0"/>
    <w:rsid w:val="00E42C2A"/>
    <w:rsid w:val="00E80FE7"/>
    <w:rsid w:val="00E976CF"/>
    <w:rsid w:val="00EB247B"/>
    <w:rsid w:val="00F15FCB"/>
    <w:rsid w:val="00F26F27"/>
    <w:rsid w:val="00F70A0D"/>
    <w:rsid w:val="00FA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7FDAD"/>
  <w15:chartTrackingRefBased/>
  <w15:docId w15:val="{D2237E92-3DB9-4A65-97A3-4EDAE67D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51D"/>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51D"/>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A751D"/>
    <w:rPr>
      <w:sz w:val="18"/>
      <w:szCs w:val="18"/>
    </w:rPr>
  </w:style>
  <w:style w:type="paragraph" w:styleId="a5">
    <w:name w:val="footer"/>
    <w:basedOn w:val="a"/>
    <w:link w:val="a6"/>
    <w:uiPriority w:val="99"/>
    <w:unhideWhenUsed/>
    <w:rsid w:val="004A751D"/>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A75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李梦甜</dc:creator>
  <cp:keywords/>
  <dc:description/>
  <cp:lastModifiedBy>李梦甜</cp:lastModifiedBy>
  <cp:revision>6</cp:revision>
  <dcterms:created xsi:type="dcterms:W3CDTF">2025-09-11T07:43:00Z</dcterms:created>
  <dcterms:modified xsi:type="dcterms:W3CDTF">2025-09-12T05:17:00Z</dcterms:modified>
</cp:coreProperties>
</file>