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2EFC7">
      <w:pPr>
        <w:spacing w:after="156" w:afterLines="50" w:line="400" w:lineRule="exact"/>
        <w:rPr>
          <w:bCs/>
          <w:iCs/>
          <w:color w:val="000000"/>
          <w:sz w:val="24"/>
        </w:rPr>
      </w:pPr>
      <w:r>
        <w:rPr>
          <w:rFonts w:hint="eastAsia"/>
          <w:bCs/>
          <w:iCs/>
          <w:color w:val="000000"/>
          <w:sz w:val="24"/>
        </w:rPr>
        <w:t>证券代码：</w:t>
      </w:r>
      <w:r>
        <w:rPr>
          <w:rFonts w:hint="eastAsia"/>
          <w:b/>
          <w:bCs/>
          <w:iCs/>
          <w:color w:val="000000"/>
          <w:sz w:val="24"/>
        </w:rPr>
        <w:t xml:space="preserve">603207                                       </w:t>
      </w:r>
      <w:r>
        <w:rPr>
          <w:rFonts w:hint="eastAsia"/>
          <w:bCs/>
          <w:iCs/>
          <w:color w:val="000000"/>
          <w:sz w:val="24"/>
        </w:rPr>
        <w:t>证券简称：</w:t>
      </w:r>
      <w:r>
        <w:rPr>
          <w:rFonts w:hint="eastAsia"/>
          <w:b/>
          <w:bCs/>
          <w:iCs/>
          <w:color w:val="000000"/>
          <w:sz w:val="24"/>
        </w:rPr>
        <w:t>小方制药</w:t>
      </w:r>
    </w:p>
    <w:p w14:paraId="6FA58AAB">
      <w:pPr>
        <w:spacing w:before="156" w:beforeLines="50" w:after="156" w:afterLines="50" w:line="400" w:lineRule="exact"/>
        <w:ind w:firstLine="720" w:firstLineChars="300"/>
        <w:rPr>
          <w:bCs/>
          <w:iCs/>
          <w:color w:val="000000"/>
          <w:sz w:val="24"/>
        </w:rPr>
      </w:pPr>
    </w:p>
    <w:p w14:paraId="3CC5B91C">
      <w:pPr>
        <w:spacing w:before="156" w:beforeLines="50" w:after="156" w:afterLines="50" w:line="400" w:lineRule="exact"/>
        <w:jc w:val="center"/>
        <w:rPr>
          <w:b/>
          <w:bCs/>
          <w:iCs/>
          <w:color w:val="000000"/>
          <w:sz w:val="32"/>
          <w:szCs w:val="32"/>
        </w:rPr>
      </w:pPr>
      <w:r>
        <w:rPr>
          <w:rFonts w:hint="eastAsia"/>
          <w:b/>
          <w:bCs/>
          <w:iCs/>
          <w:color w:val="000000"/>
          <w:sz w:val="32"/>
          <w:szCs w:val="32"/>
        </w:rPr>
        <w:t>上海小方制药股份有限公司</w:t>
      </w:r>
    </w:p>
    <w:p w14:paraId="085B2BBC">
      <w:pPr>
        <w:spacing w:before="156" w:beforeLines="50" w:after="156" w:afterLines="50" w:line="400" w:lineRule="exact"/>
        <w:jc w:val="center"/>
        <w:rPr>
          <w:b/>
          <w:bCs/>
          <w:iCs/>
          <w:color w:val="000000"/>
          <w:sz w:val="32"/>
          <w:szCs w:val="32"/>
        </w:rPr>
      </w:pPr>
      <w:r>
        <w:rPr>
          <w:rFonts w:hint="eastAsia"/>
          <w:b/>
          <w:bCs/>
          <w:iCs/>
          <w:color w:val="000000"/>
          <w:sz w:val="32"/>
          <w:szCs w:val="32"/>
        </w:rPr>
        <w:t>投资者关系活动记录表</w:t>
      </w:r>
    </w:p>
    <w:p w14:paraId="2CA9867E">
      <w:pPr>
        <w:spacing w:line="400" w:lineRule="exact"/>
        <w:jc w:val="right"/>
        <w:rPr>
          <w:rFonts w:hint="eastAsia" w:eastAsia="宋体"/>
          <w:bCs/>
          <w:iCs/>
          <w:color w:val="000000"/>
          <w:sz w:val="24"/>
          <w:lang w:val="en-US" w:eastAsia="zh-CN"/>
        </w:rPr>
      </w:pPr>
      <w:r>
        <w:rPr>
          <w:rFonts w:hint="eastAsia"/>
          <w:bCs/>
          <w:iCs/>
          <w:color w:val="000000"/>
          <w:sz w:val="24"/>
        </w:rPr>
        <w:t xml:space="preserve">                                             编号：202</w:t>
      </w:r>
      <w:r>
        <w:rPr>
          <w:rFonts w:hint="eastAsia"/>
          <w:bCs/>
          <w:iCs/>
          <w:color w:val="000000"/>
          <w:sz w:val="24"/>
          <w:lang w:val="en-US" w:eastAsia="zh-CN"/>
        </w:rPr>
        <w:t>5</w:t>
      </w:r>
      <w:r>
        <w:rPr>
          <w:rFonts w:hint="eastAsia"/>
          <w:bCs/>
          <w:iCs/>
          <w:color w:val="000000"/>
          <w:sz w:val="24"/>
        </w:rPr>
        <w:t>-0</w:t>
      </w:r>
      <w:r>
        <w:rPr>
          <w:bCs/>
          <w:iCs/>
          <w:color w:val="000000"/>
          <w:sz w:val="24"/>
        </w:rPr>
        <w:t>0</w:t>
      </w:r>
      <w:r>
        <w:rPr>
          <w:rFonts w:hint="eastAsia"/>
          <w:bCs/>
          <w:iCs/>
          <w:color w:val="000000"/>
          <w:sz w:val="24"/>
          <w:lang w:val="en-US" w:eastAsia="zh-CN"/>
        </w:rPr>
        <w:t>2</w:t>
      </w:r>
    </w:p>
    <w:tbl>
      <w:tblPr>
        <w:tblStyle w:val="20"/>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7513"/>
      </w:tblGrid>
      <w:tr w14:paraId="61D10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1985" w:type="dxa"/>
            <w:vAlign w:val="center"/>
          </w:tcPr>
          <w:p w14:paraId="7E995647">
            <w:pPr>
              <w:spacing w:line="480" w:lineRule="atLeast"/>
              <w:jc w:val="center"/>
              <w:rPr>
                <w:b/>
                <w:bCs/>
                <w:iCs/>
                <w:color w:val="000000"/>
                <w:kern w:val="0"/>
                <w:sz w:val="24"/>
              </w:rPr>
            </w:pPr>
            <w:r>
              <w:rPr>
                <w:rFonts w:hint="eastAsia"/>
                <w:b/>
                <w:bCs/>
                <w:iCs/>
                <w:color w:val="000000"/>
                <w:kern w:val="0"/>
                <w:sz w:val="24"/>
              </w:rPr>
              <w:t>投资者关系</w:t>
            </w:r>
          </w:p>
          <w:p w14:paraId="5B8FDF12">
            <w:pPr>
              <w:spacing w:line="480" w:lineRule="atLeast"/>
              <w:jc w:val="center"/>
              <w:rPr>
                <w:b/>
                <w:bCs/>
                <w:iCs/>
                <w:color w:val="000000"/>
                <w:kern w:val="0"/>
                <w:sz w:val="24"/>
              </w:rPr>
            </w:pPr>
            <w:r>
              <w:rPr>
                <w:rFonts w:hint="eastAsia"/>
                <w:b/>
                <w:bCs/>
                <w:iCs/>
                <w:color w:val="000000"/>
                <w:kern w:val="0"/>
                <w:sz w:val="24"/>
              </w:rPr>
              <w:t>活动类别</w:t>
            </w:r>
          </w:p>
        </w:tc>
        <w:tc>
          <w:tcPr>
            <w:tcW w:w="7513" w:type="dxa"/>
          </w:tcPr>
          <w:p w14:paraId="396DAA5A">
            <w:pPr>
              <w:spacing w:line="480" w:lineRule="atLeast"/>
              <w:rPr>
                <w:bCs/>
                <w:iCs/>
                <w:color w:val="000000"/>
                <w:kern w:val="0"/>
                <w:sz w:val="24"/>
              </w:rPr>
            </w:pPr>
            <w:r>
              <w:rPr>
                <w:rFonts w:hint="eastAsia"/>
                <w:bCs/>
                <w:iCs/>
                <w:color w:val="000000"/>
                <w:kern w:val="0"/>
                <w:sz w:val="24"/>
              </w:rPr>
              <w:t>□特定对象调研        □分析师会议</w:t>
            </w:r>
          </w:p>
          <w:p w14:paraId="3F2D1F5A">
            <w:pPr>
              <w:spacing w:line="480" w:lineRule="atLeast"/>
              <w:rPr>
                <w:bCs/>
                <w:iCs/>
                <w:color w:val="000000"/>
                <w:kern w:val="0"/>
                <w:sz w:val="24"/>
              </w:rPr>
            </w:pPr>
            <w:r>
              <w:rPr>
                <w:rFonts w:hint="eastAsia"/>
                <w:bCs/>
                <w:iCs/>
                <w:color w:val="000000"/>
                <w:kern w:val="0"/>
                <w:sz w:val="24"/>
              </w:rPr>
              <w:t xml:space="preserve">□媒体采访            </w:t>
            </w:r>
            <w:r>
              <w:rPr>
                <w:rFonts w:hint="eastAsia" w:eastAsia="MS Mincho" w:cs="MS Mincho"/>
                <w:bCs/>
                <w:iCs/>
                <w:color w:val="000000"/>
                <w:kern w:val="0"/>
                <w:sz w:val="24"/>
              </w:rPr>
              <w:t>☑</w:t>
            </w:r>
            <w:r>
              <w:rPr>
                <w:rFonts w:hint="eastAsia"/>
                <w:bCs/>
                <w:iCs/>
                <w:color w:val="000000"/>
                <w:kern w:val="0"/>
                <w:sz w:val="24"/>
              </w:rPr>
              <w:t>业绩说明会</w:t>
            </w:r>
          </w:p>
          <w:p w14:paraId="4118A5AC">
            <w:pPr>
              <w:spacing w:line="480" w:lineRule="atLeast"/>
              <w:rPr>
                <w:bCs/>
                <w:iCs/>
                <w:color w:val="000000"/>
                <w:kern w:val="0"/>
                <w:sz w:val="24"/>
              </w:rPr>
            </w:pPr>
            <w:r>
              <w:rPr>
                <w:rFonts w:hint="eastAsia"/>
                <w:bCs/>
                <w:iCs/>
                <w:color w:val="000000"/>
                <w:kern w:val="0"/>
                <w:sz w:val="24"/>
              </w:rPr>
              <w:t>□新闻发布会          □路演活动</w:t>
            </w:r>
          </w:p>
          <w:p w14:paraId="6998997D">
            <w:pPr>
              <w:tabs>
                <w:tab w:val="left" w:pos="3045"/>
                <w:tab w:val="center" w:pos="3199"/>
              </w:tabs>
              <w:spacing w:line="480" w:lineRule="atLeast"/>
              <w:rPr>
                <w:bCs/>
                <w:iCs/>
                <w:color w:val="000000"/>
                <w:kern w:val="0"/>
                <w:sz w:val="24"/>
              </w:rPr>
            </w:pPr>
            <w:r>
              <w:rPr>
                <w:rFonts w:hint="eastAsia"/>
                <w:bCs/>
                <w:iCs/>
                <w:color w:val="000000"/>
                <w:kern w:val="0"/>
                <w:sz w:val="24"/>
              </w:rPr>
              <w:t>□现场参观</w:t>
            </w:r>
            <w:r>
              <w:rPr>
                <w:bCs/>
                <w:iCs/>
                <w:color w:val="000000"/>
                <w:kern w:val="0"/>
                <w:sz w:val="24"/>
              </w:rPr>
              <w:tab/>
            </w:r>
          </w:p>
          <w:p w14:paraId="1E4540BB">
            <w:pPr>
              <w:tabs>
                <w:tab w:val="left" w:pos="3045"/>
                <w:tab w:val="center" w:pos="3199"/>
              </w:tabs>
              <w:spacing w:line="480" w:lineRule="atLeast"/>
              <w:rPr>
                <w:rFonts w:hint="eastAsia" w:ascii="宋体" w:hAnsi="宋体"/>
                <w:kern w:val="0"/>
                <w:sz w:val="28"/>
                <w:szCs w:val="28"/>
              </w:rPr>
            </w:pPr>
            <w:r>
              <w:rPr>
                <w:rFonts w:hint="eastAsia"/>
                <w:bCs/>
                <w:iCs/>
                <w:color w:val="000000"/>
                <w:kern w:val="0"/>
                <w:sz w:val="24"/>
              </w:rPr>
              <w:t>□其他，请文字说明其他活动内容</w:t>
            </w:r>
          </w:p>
        </w:tc>
      </w:tr>
      <w:tr w14:paraId="5747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985" w:type="dxa"/>
            <w:vAlign w:val="center"/>
          </w:tcPr>
          <w:p w14:paraId="2A981053">
            <w:pPr>
              <w:spacing w:line="480" w:lineRule="atLeast"/>
              <w:jc w:val="center"/>
              <w:rPr>
                <w:rFonts w:hint="eastAsia" w:ascii="宋体" w:hAnsi="宋体"/>
                <w:b/>
                <w:bCs/>
                <w:iCs/>
                <w:color w:val="000000"/>
                <w:kern w:val="0"/>
                <w:sz w:val="24"/>
              </w:rPr>
            </w:pPr>
            <w:r>
              <w:rPr>
                <w:rFonts w:hint="eastAsia"/>
                <w:b/>
                <w:bCs/>
                <w:iCs/>
                <w:color w:val="000000"/>
                <w:kern w:val="0"/>
                <w:sz w:val="24"/>
              </w:rPr>
              <w:t>参与单位名称</w:t>
            </w:r>
          </w:p>
        </w:tc>
        <w:tc>
          <w:tcPr>
            <w:tcW w:w="7513" w:type="dxa"/>
            <w:vAlign w:val="center"/>
          </w:tcPr>
          <w:p w14:paraId="26B70BAF">
            <w:pPr>
              <w:spacing w:line="480" w:lineRule="atLeast"/>
              <w:jc w:val="left"/>
              <w:rPr>
                <w:kern w:val="0"/>
                <w:sz w:val="24"/>
              </w:rPr>
            </w:pPr>
            <w:r>
              <w:rPr>
                <w:kern w:val="0"/>
                <w:sz w:val="24"/>
              </w:rPr>
              <w:t>上证</w:t>
            </w:r>
            <w:r>
              <w:rPr>
                <w:rFonts w:hint="eastAsia"/>
                <w:kern w:val="0"/>
                <w:sz w:val="24"/>
              </w:rPr>
              <w:t>路演中心</w:t>
            </w:r>
            <w:r>
              <w:rPr>
                <w:kern w:val="0"/>
                <w:sz w:val="24"/>
              </w:rPr>
              <w:t xml:space="preserve"> </w:t>
            </w:r>
            <w:r>
              <w:rPr>
                <w:rFonts w:hint="eastAsia"/>
                <w:kern w:val="0"/>
                <w:sz w:val="24"/>
              </w:rPr>
              <w:t>公司</w:t>
            </w:r>
            <w:r>
              <w:rPr>
                <w:rFonts w:hint="eastAsia"/>
                <w:kern w:val="0"/>
                <w:sz w:val="24"/>
                <w:lang w:val="en-US" w:eastAsia="zh-CN"/>
              </w:rPr>
              <w:t>2025年半年度</w:t>
            </w:r>
            <w:r>
              <w:rPr>
                <w:rFonts w:hint="eastAsia"/>
                <w:kern w:val="0"/>
                <w:sz w:val="24"/>
              </w:rPr>
              <w:t>业绩说明会</w:t>
            </w:r>
          </w:p>
        </w:tc>
      </w:tr>
      <w:tr w14:paraId="0405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985" w:type="dxa"/>
            <w:vAlign w:val="center"/>
          </w:tcPr>
          <w:p w14:paraId="7DC17A2F">
            <w:pPr>
              <w:spacing w:line="480" w:lineRule="atLeast"/>
              <w:jc w:val="center"/>
              <w:rPr>
                <w:rFonts w:hint="eastAsia" w:ascii="宋体" w:hAnsi="宋体"/>
                <w:b/>
                <w:bCs/>
                <w:iCs/>
                <w:color w:val="000000"/>
                <w:kern w:val="0"/>
                <w:sz w:val="24"/>
              </w:rPr>
            </w:pPr>
            <w:r>
              <w:rPr>
                <w:rFonts w:hint="eastAsia"/>
                <w:b/>
                <w:bCs/>
                <w:iCs/>
                <w:color w:val="000000"/>
                <w:kern w:val="0"/>
                <w:sz w:val="24"/>
              </w:rPr>
              <w:t>时间</w:t>
            </w:r>
          </w:p>
        </w:tc>
        <w:tc>
          <w:tcPr>
            <w:tcW w:w="7513" w:type="dxa"/>
            <w:vAlign w:val="center"/>
          </w:tcPr>
          <w:p w14:paraId="027956D6">
            <w:pPr>
              <w:spacing w:line="480" w:lineRule="atLeast"/>
              <w:rPr>
                <w:rFonts w:hint="eastAsia" w:asciiTheme="majorEastAsia" w:hAnsiTheme="majorEastAsia" w:eastAsiaTheme="majorEastAsia"/>
                <w:bCs/>
                <w:iCs/>
                <w:color w:val="000000"/>
                <w:kern w:val="0"/>
                <w:sz w:val="24"/>
              </w:rPr>
            </w:pPr>
            <w:r>
              <w:rPr>
                <w:rFonts w:eastAsiaTheme="majorEastAsia"/>
                <w:bCs/>
                <w:iCs/>
                <w:color w:val="000000"/>
                <w:kern w:val="0"/>
                <w:sz w:val="24"/>
              </w:rPr>
              <w:t>202</w:t>
            </w:r>
            <w:r>
              <w:rPr>
                <w:rFonts w:hint="eastAsia" w:eastAsiaTheme="majorEastAsia"/>
                <w:bCs/>
                <w:iCs/>
                <w:color w:val="000000"/>
                <w:kern w:val="0"/>
                <w:sz w:val="24"/>
                <w:lang w:val="en-US" w:eastAsia="zh-CN"/>
              </w:rPr>
              <w:t>5</w:t>
            </w:r>
            <w:r>
              <w:rPr>
                <w:rFonts w:hint="eastAsia" w:eastAsiaTheme="majorEastAsia"/>
                <w:bCs/>
                <w:iCs/>
                <w:color w:val="000000"/>
                <w:kern w:val="0"/>
                <w:sz w:val="24"/>
              </w:rPr>
              <w:t>年</w:t>
            </w:r>
            <w:r>
              <w:rPr>
                <w:rFonts w:hint="eastAsia" w:eastAsiaTheme="majorEastAsia"/>
                <w:bCs/>
                <w:iCs/>
                <w:color w:val="000000"/>
                <w:kern w:val="0"/>
                <w:sz w:val="24"/>
                <w:lang w:val="en-US" w:eastAsia="zh-CN"/>
              </w:rPr>
              <w:t>9</w:t>
            </w:r>
            <w:r>
              <w:rPr>
                <w:rFonts w:hint="eastAsia" w:eastAsiaTheme="majorEastAsia"/>
                <w:bCs/>
                <w:iCs/>
                <w:color w:val="000000"/>
                <w:kern w:val="0"/>
                <w:sz w:val="24"/>
              </w:rPr>
              <w:t>月</w:t>
            </w:r>
            <w:r>
              <w:rPr>
                <w:rFonts w:hint="eastAsia" w:eastAsiaTheme="majorEastAsia"/>
                <w:bCs/>
                <w:iCs/>
                <w:color w:val="000000"/>
                <w:kern w:val="0"/>
                <w:sz w:val="24"/>
                <w:lang w:val="en-US" w:eastAsia="zh-CN"/>
              </w:rPr>
              <w:t>12</w:t>
            </w:r>
            <w:r>
              <w:rPr>
                <w:rFonts w:eastAsiaTheme="majorEastAsia"/>
                <w:bCs/>
                <w:iCs/>
                <w:color w:val="000000"/>
                <w:kern w:val="0"/>
                <w:sz w:val="24"/>
              </w:rPr>
              <w:t>日</w:t>
            </w:r>
          </w:p>
        </w:tc>
      </w:tr>
      <w:tr w14:paraId="3B07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985" w:type="dxa"/>
            <w:vAlign w:val="center"/>
          </w:tcPr>
          <w:p w14:paraId="505081E5">
            <w:pPr>
              <w:spacing w:line="480" w:lineRule="atLeast"/>
              <w:jc w:val="center"/>
              <w:rPr>
                <w:rFonts w:hint="eastAsia" w:ascii="宋体" w:hAnsi="宋体"/>
                <w:b/>
                <w:bCs/>
                <w:iCs/>
                <w:color w:val="000000"/>
                <w:kern w:val="0"/>
                <w:sz w:val="24"/>
              </w:rPr>
            </w:pPr>
            <w:r>
              <w:rPr>
                <w:rFonts w:hint="eastAsia"/>
                <w:b/>
                <w:bCs/>
                <w:iCs/>
                <w:color w:val="000000"/>
                <w:kern w:val="0"/>
                <w:sz w:val="24"/>
              </w:rPr>
              <w:t>地点</w:t>
            </w:r>
          </w:p>
        </w:tc>
        <w:tc>
          <w:tcPr>
            <w:tcW w:w="7513" w:type="dxa"/>
            <w:vAlign w:val="center"/>
          </w:tcPr>
          <w:p w14:paraId="3B94156F">
            <w:pPr>
              <w:spacing w:line="480" w:lineRule="atLeast"/>
              <w:rPr>
                <w:rFonts w:hint="eastAsia" w:ascii="宋体" w:hAnsi="宋体"/>
                <w:bCs/>
                <w:iCs/>
                <w:color w:val="000000"/>
                <w:kern w:val="0"/>
                <w:sz w:val="24"/>
              </w:rPr>
            </w:pPr>
            <w:r>
              <w:rPr>
                <w:rFonts w:hint="eastAsia"/>
                <w:color w:val="000000"/>
                <w:kern w:val="0"/>
                <w:sz w:val="24"/>
              </w:rPr>
              <w:t>上海证券交易所上证路演中心（网址：</w:t>
            </w:r>
            <w:r>
              <w:rPr>
                <w:color w:val="000000"/>
                <w:kern w:val="0"/>
                <w:sz w:val="24"/>
              </w:rPr>
              <w:t>https://roadshow.sseinfo.com/</w:t>
            </w:r>
            <w:r>
              <w:rPr>
                <w:rFonts w:hint="eastAsia"/>
                <w:color w:val="000000"/>
                <w:kern w:val="0"/>
                <w:sz w:val="24"/>
              </w:rPr>
              <w:t>）</w:t>
            </w:r>
          </w:p>
        </w:tc>
      </w:tr>
      <w:tr w14:paraId="100E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985" w:type="dxa"/>
            <w:vAlign w:val="center"/>
          </w:tcPr>
          <w:p w14:paraId="1A66EC66">
            <w:pPr>
              <w:spacing w:line="480" w:lineRule="atLeast"/>
              <w:jc w:val="center"/>
              <w:rPr>
                <w:b/>
                <w:bCs/>
                <w:iCs/>
                <w:color w:val="000000"/>
                <w:kern w:val="0"/>
                <w:sz w:val="24"/>
              </w:rPr>
            </w:pPr>
            <w:r>
              <w:rPr>
                <w:rFonts w:hint="eastAsia"/>
                <w:b/>
                <w:bCs/>
                <w:iCs/>
                <w:color w:val="000000"/>
                <w:kern w:val="0"/>
                <w:sz w:val="24"/>
              </w:rPr>
              <w:t>上市公司接待</w:t>
            </w:r>
          </w:p>
          <w:p w14:paraId="7987C650">
            <w:pPr>
              <w:spacing w:line="480" w:lineRule="atLeast"/>
              <w:jc w:val="center"/>
              <w:rPr>
                <w:rFonts w:hint="eastAsia" w:ascii="宋体" w:hAnsi="宋体"/>
                <w:b/>
                <w:bCs/>
                <w:iCs/>
                <w:color w:val="000000"/>
                <w:kern w:val="0"/>
                <w:sz w:val="24"/>
              </w:rPr>
            </w:pPr>
            <w:r>
              <w:rPr>
                <w:rFonts w:hint="eastAsia"/>
                <w:b/>
                <w:bCs/>
                <w:iCs/>
                <w:color w:val="000000"/>
                <w:kern w:val="0"/>
                <w:sz w:val="24"/>
              </w:rPr>
              <w:t>人员姓名</w:t>
            </w:r>
          </w:p>
        </w:tc>
        <w:tc>
          <w:tcPr>
            <w:tcW w:w="7513" w:type="dxa"/>
            <w:vAlign w:val="center"/>
          </w:tcPr>
          <w:p w14:paraId="721D82BD">
            <w:pPr>
              <w:spacing w:line="480" w:lineRule="atLeast"/>
              <w:rPr>
                <w:bCs/>
                <w:iCs/>
                <w:color w:val="000000"/>
                <w:kern w:val="0"/>
                <w:sz w:val="24"/>
              </w:rPr>
            </w:pPr>
            <w:r>
              <w:rPr>
                <w:rFonts w:hint="eastAsia"/>
                <w:bCs/>
                <w:iCs/>
                <w:color w:val="000000"/>
                <w:kern w:val="0"/>
                <w:sz w:val="24"/>
              </w:rPr>
              <w:t>董事长兼总经理：方之光</w:t>
            </w:r>
          </w:p>
          <w:p w14:paraId="712D7089">
            <w:pPr>
              <w:spacing w:line="480" w:lineRule="atLeast"/>
              <w:rPr>
                <w:bCs/>
                <w:iCs/>
                <w:color w:val="000000"/>
                <w:kern w:val="0"/>
                <w:sz w:val="24"/>
              </w:rPr>
            </w:pPr>
            <w:r>
              <w:rPr>
                <w:rFonts w:hint="eastAsia"/>
                <w:bCs/>
                <w:iCs/>
                <w:color w:val="000000"/>
                <w:kern w:val="0"/>
                <w:sz w:val="24"/>
              </w:rPr>
              <w:t>董事会秘书兼财务负责人：罗晓旭</w:t>
            </w:r>
          </w:p>
          <w:p w14:paraId="28884D68">
            <w:pPr>
              <w:spacing w:line="480" w:lineRule="atLeast"/>
              <w:rPr>
                <w:bCs/>
                <w:iCs/>
                <w:color w:val="000000"/>
                <w:kern w:val="0"/>
                <w:sz w:val="24"/>
              </w:rPr>
            </w:pPr>
            <w:r>
              <w:rPr>
                <w:rFonts w:hint="eastAsia"/>
                <w:bCs/>
                <w:iCs/>
                <w:color w:val="000000"/>
                <w:kern w:val="0"/>
                <w:sz w:val="24"/>
              </w:rPr>
              <w:t>独立董事：余玮</w:t>
            </w:r>
          </w:p>
        </w:tc>
      </w:tr>
      <w:tr w14:paraId="6106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985" w:type="dxa"/>
            <w:vAlign w:val="center"/>
          </w:tcPr>
          <w:p w14:paraId="12D658B0">
            <w:pPr>
              <w:spacing w:line="480" w:lineRule="atLeast"/>
              <w:jc w:val="center"/>
              <w:rPr>
                <w:rFonts w:hint="eastAsia" w:ascii="宋体" w:hAnsi="宋体"/>
                <w:b/>
                <w:bCs/>
                <w:iCs/>
                <w:color w:val="000000"/>
                <w:kern w:val="0"/>
                <w:sz w:val="24"/>
              </w:rPr>
            </w:pPr>
            <w:r>
              <w:rPr>
                <w:rFonts w:hint="eastAsia"/>
                <w:b/>
                <w:bCs/>
                <w:iCs/>
                <w:color w:val="000000"/>
                <w:kern w:val="0"/>
                <w:sz w:val="24"/>
              </w:rPr>
              <w:t>投资者关系活动主要内容介绍</w:t>
            </w:r>
          </w:p>
        </w:tc>
        <w:tc>
          <w:tcPr>
            <w:tcW w:w="7513" w:type="dxa"/>
          </w:tcPr>
          <w:p w14:paraId="5A0D082B">
            <w:pPr>
              <w:spacing w:line="480" w:lineRule="exact"/>
              <w:rPr>
                <w:b/>
                <w:bCs/>
                <w:iCs/>
                <w:kern w:val="0"/>
                <w:sz w:val="24"/>
              </w:rPr>
            </w:pPr>
            <w:r>
              <w:rPr>
                <w:rFonts w:hint="eastAsia"/>
                <w:b/>
                <w:bCs/>
                <w:iCs/>
                <w:kern w:val="0"/>
                <w:sz w:val="24"/>
              </w:rPr>
              <w:t>主要内容如下：</w:t>
            </w:r>
          </w:p>
          <w:p w14:paraId="02E249EC">
            <w:pPr>
              <w:spacing w:line="480" w:lineRule="exact"/>
              <w:rPr>
                <w:iCs/>
                <w:kern w:val="0"/>
                <w:sz w:val="24"/>
              </w:rPr>
            </w:pPr>
            <w:r>
              <w:rPr>
                <w:rFonts w:hint="eastAsia"/>
                <w:iCs/>
                <w:kern w:val="0"/>
                <w:sz w:val="24"/>
              </w:rPr>
              <w:t>问题1、贵公司是否仅属于外用药企业，在创新药领域是否有上市产品，对于创新药领域是否有投入研发，所占研发费用是多少，对该市场未来有何展望？</w:t>
            </w:r>
          </w:p>
          <w:p w14:paraId="2B82E835">
            <w:pPr>
              <w:spacing w:line="480" w:lineRule="exact"/>
              <w:rPr>
                <w:rFonts w:hint="eastAsia"/>
                <w:iCs/>
                <w:kern w:val="0"/>
                <w:sz w:val="24"/>
              </w:rPr>
            </w:pPr>
            <w:r>
              <w:rPr>
                <w:rFonts w:hint="eastAsia"/>
                <w:iCs/>
                <w:kern w:val="0"/>
                <w:sz w:val="24"/>
              </w:rPr>
              <w:t>回答：尊敬的投资者您好，理解您作为投资者对小方制药战略定位和未来发展的关切。小方制药并非仅局限于传统外用药业务，已开始布局创新药领域，多个创新药项目均处于不同的研发阶段，整体进展符合预期。具体的研发费用数据请以公司披露的定期报告和临时公告为准。在政策支持、临床需求、技术突破等多重驱动下，公司坚定看好中国创新药市场的长期发展前景，公司也将持续加强研发投入。</w:t>
            </w:r>
          </w:p>
          <w:p w14:paraId="160DDAF6">
            <w:pPr>
              <w:spacing w:line="480" w:lineRule="exact"/>
              <w:rPr>
                <w:rFonts w:hint="eastAsia"/>
                <w:iCs/>
                <w:kern w:val="0"/>
                <w:sz w:val="24"/>
              </w:rPr>
            </w:pPr>
            <w:r>
              <w:rPr>
                <w:rFonts w:hint="eastAsia"/>
                <w:iCs/>
                <w:kern w:val="0"/>
                <w:sz w:val="24"/>
              </w:rPr>
              <w:t>问题2、注意到近几年公司营收增长不高，而公司发行新股又有新增产能的项目，请问公司是否考虑药物出口或直接在境外设立公司发展业务？也请您谈谈公司发展海外业务面临的问题，谢谢。</w:t>
            </w:r>
          </w:p>
          <w:p w14:paraId="698FB8A3">
            <w:pPr>
              <w:spacing w:line="480" w:lineRule="exact"/>
              <w:rPr>
                <w:rFonts w:hint="eastAsia"/>
                <w:iCs/>
                <w:kern w:val="0"/>
                <w:sz w:val="24"/>
              </w:rPr>
            </w:pPr>
            <w:r>
              <w:rPr>
                <w:rFonts w:hint="eastAsia"/>
                <w:iCs/>
                <w:kern w:val="0"/>
                <w:sz w:val="24"/>
              </w:rPr>
              <w:t>回答：尊敬的投资者您好！公司目前已经取得了向中国澳门地区出口药品的批准文号并实现在中国澳门地区的销售，未来将逐步开拓其他境外市场。公司高度重视海外市场机遇，并充分认识到其中涉及的各国法规差异、注册流程复杂、本地化要求以及严格的质量监管等挑战，公司将秉持着严谨审慎、风险可控的核心原则稳妥地推进相关工作。同时，公司会严格按照监管要求及时披露相关信息。</w:t>
            </w:r>
          </w:p>
          <w:p w14:paraId="73555725">
            <w:pPr>
              <w:spacing w:line="480" w:lineRule="exact"/>
              <w:rPr>
                <w:rFonts w:hint="eastAsia"/>
                <w:iCs/>
                <w:kern w:val="0"/>
                <w:sz w:val="24"/>
              </w:rPr>
            </w:pPr>
          </w:p>
          <w:p w14:paraId="4C730F09">
            <w:pPr>
              <w:spacing w:line="480" w:lineRule="exact"/>
              <w:rPr>
                <w:rFonts w:hint="eastAsia"/>
                <w:iCs/>
                <w:kern w:val="0"/>
                <w:sz w:val="24"/>
              </w:rPr>
            </w:pPr>
            <w:r>
              <w:rPr>
                <w:rFonts w:hint="eastAsia"/>
                <w:iCs/>
                <w:kern w:val="0"/>
                <w:sz w:val="24"/>
              </w:rPr>
              <w:t>问题3、请问方总，目前小方制药正在进行的创新药研发有哪些，谢谢！</w:t>
            </w:r>
          </w:p>
          <w:p w14:paraId="101F1CD7">
            <w:pPr>
              <w:spacing w:line="480" w:lineRule="exact"/>
              <w:rPr>
                <w:rFonts w:hint="eastAsia"/>
                <w:iCs/>
                <w:kern w:val="0"/>
                <w:sz w:val="24"/>
              </w:rPr>
            </w:pPr>
            <w:r>
              <w:rPr>
                <w:rFonts w:hint="eastAsia"/>
                <w:iCs/>
                <w:kern w:val="0"/>
                <w:sz w:val="24"/>
              </w:rPr>
              <w:t>回答：目前公司正在按照预计进度推进中药一类新药的研发，包括治疗各类型脱发的复方侧柏酊，抗真菌药物复方透骨草溶液。公司始终坚持以创新为驱动，坚定开拓外用药创新药的研发与产业化。我们坚信，这一战略聚焦能够助力公司实现差异化竞争和长期可持续发展。</w:t>
            </w:r>
          </w:p>
          <w:p w14:paraId="0515D50A">
            <w:pPr>
              <w:spacing w:line="480" w:lineRule="exact"/>
              <w:rPr>
                <w:rFonts w:hint="eastAsia"/>
                <w:iCs/>
                <w:kern w:val="0"/>
                <w:sz w:val="24"/>
              </w:rPr>
            </w:pPr>
          </w:p>
          <w:p w14:paraId="497FF297">
            <w:pPr>
              <w:spacing w:line="480" w:lineRule="exact"/>
              <w:rPr>
                <w:rFonts w:hint="eastAsia"/>
                <w:iCs/>
                <w:kern w:val="0"/>
                <w:sz w:val="24"/>
              </w:rPr>
            </w:pPr>
            <w:r>
              <w:rPr>
                <w:rFonts w:hint="eastAsia"/>
                <w:iCs/>
                <w:kern w:val="0"/>
                <w:sz w:val="24"/>
              </w:rPr>
              <w:t>问题4、方总您好，你们这个药箱已经挂在官网这么久了，定价也出来了，还没有对外销售计划吗？</w:t>
            </w:r>
          </w:p>
          <w:p w14:paraId="499E1C5B">
            <w:pPr>
              <w:spacing w:line="480" w:lineRule="exact"/>
              <w:rPr>
                <w:rFonts w:hint="eastAsia"/>
                <w:iCs/>
                <w:kern w:val="0"/>
                <w:sz w:val="24"/>
              </w:rPr>
            </w:pPr>
            <w:r>
              <w:rPr>
                <w:rFonts w:hint="eastAsia"/>
                <w:iCs/>
                <w:kern w:val="0"/>
                <w:sz w:val="24"/>
              </w:rPr>
              <w:t>回答：尊敬的投资者，您好！ 非常感谢您对公司的持续关注以及对公司产品的垂询。公司始终秉持严谨审慎的态度，对新产品、新业务进行充分的论证与准备，一旦有明确的销售计划与时间表，我们将第一时间按照信息披露相关规定履行公告义务。</w:t>
            </w:r>
          </w:p>
          <w:p w14:paraId="1BC8914C">
            <w:pPr>
              <w:spacing w:line="480" w:lineRule="exact"/>
              <w:rPr>
                <w:rFonts w:hint="eastAsia"/>
                <w:iCs/>
                <w:kern w:val="0"/>
                <w:sz w:val="24"/>
              </w:rPr>
            </w:pPr>
          </w:p>
          <w:p w14:paraId="6C36F13D">
            <w:pPr>
              <w:spacing w:line="480" w:lineRule="exact"/>
              <w:rPr>
                <w:rFonts w:hint="eastAsia"/>
                <w:iCs/>
                <w:kern w:val="0"/>
                <w:sz w:val="24"/>
              </w:rPr>
            </w:pPr>
            <w:r>
              <w:rPr>
                <w:rFonts w:hint="eastAsia"/>
                <w:iCs/>
                <w:kern w:val="0"/>
                <w:sz w:val="24"/>
              </w:rPr>
              <w:t>问题5、请问方总，对于公司未来的医院合作方有没有扩展的计划呢？</w:t>
            </w:r>
          </w:p>
          <w:p w14:paraId="5039B7E1">
            <w:pPr>
              <w:spacing w:line="480" w:lineRule="exact"/>
              <w:rPr>
                <w:iCs/>
                <w:kern w:val="0"/>
                <w:sz w:val="24"/>
              </w:rPr>
            </w:pPr>
          </w:p>
          <w:p w14:paraId="0FB17C90">
            <w:pPr>
              <w:spacing w:line="360" w:lineRule="auto"/>
              <w:rPr>
                <w:rFonts w:hint="eastAsia" w:eastAsia="宋体"/>
                <w:iCs/>
                <w:kern w:val="0"/>
                <w:sz w:val="24"/>
                <w:lang w:val="en-US" w:eastAsia="zh-CN"/>
              </w:rPr>
            </w:pPr>
            <w:r>
              <w:rPr>
                <w:rFonts w:hint="eastAsia"/>
                <w:iCs/>
                <w:kern w:val="0"/>
                <w:sz w:val="24"/>
              </w:rPr>
              <w:t>回答：公司始终注重于各销售渠道的开发及合作，我司产品很多为医保产品，也是基本药物，适合各级别医疗机构销售以满足患者的临床用药需求。产品研发上我们积极推进创新药的产学研合作开发</w:t>
            </w:r>
            <w:r>
              <w:rPr>
                <w:rFonts w:hint="eastAsia"/>
                <w:iCs/>
                <w:kern w:val="0"/>
                <w:sz w:val="24"/>
                <w:lang w:eastAsia="zh-CN"/>
              </w:rPr>
              <w:t>。</w:t>
            </w:r>
          </w:p>
          <w:p w14:paraId="18AA6C78">
            <w:pPr>
              <w:spacing w:line="360" w:lineRule="auto"/>
              <w:rPr>
                <w:iCs/>
                <w:kern w:val="0"/>
                <w:sz w:val="24"/>
              </w:rPr>
            </w:pPr>
          </w:p>
          <w:p w14:paraId="49A261B7">
            <w:pPr>
              <w:spacing w:line="360" w:lineRule="auto"/>
              <w:rPr>
                <w:iCs/>
                <w:kern w:val="0"/>
                <w:sz w:val="24"/>
              </w:rPr>
            </w:pPr>
            <w:r>
              <w:rPr>
                <w:rFonts w:hint="eastAsia"/>
                <w:iCs/>
                <w:kern w:val="0"/>
                <w:sz w:val="24"/>
              </w:rPr>
              <w:t>问题6、方总您好，接上一位朋友的问题，复方透骨草溶液贵公司是否是独自研发，因为刚在网上搜了一下，这也是上海某医院的特色制剂，这个之前有公告吗？</w:t>
            </w:r>
          </w:p>
          <w:p w14:paraId="2CBF9611">
            <w:pPr>
              <w:spacing w:line="360" w:lineRule="auto"/>
              <w:rPr>
                <w:rFonts w:hint="eastAsia"/>
                <w:iCs/>
                <w:kern w:val="0"/>
                <w:sz w:val="24"/>
              </w:rPr>
            </w:pPr>
            <w:r>
              <w:rPr>
                <w:rFonts w:hint="eastAsia"/>
                <w:iCs/>
                <w:kern w:val="0"/>
                <w:sz w:val="24"/>
              </w:rPr>
              <w:t>回答：复方透骨草溶液是公司在上市前与上海中医药大学附属岳阳中西医结合医院合作研发的国家一类新药，未单独披露临时公告，详细情况请见公司上市招股说明书。</w:t>
            </w:r>
          </w:p>
          <w:p w14:paraId="7BDC6331">
            <w:pPr>
              <w:spacing w:line="360" w:lineRule="auto"/>
              <w:rPr>
                <w:rFonts w:hint="eastAsia"/>
                <w:iCs/>
                <w:kern w:val="0"/>
                <w:sz w:val="24"/>
              </w:rPr>
            </w:pPr>
          </w:p>
          <w:p w14:paraId="32DB0E54">
            <w:pPr>
              <w:spacing w:line="360" w:lineRule="auto"/>
              <w:rPr>
                <w:iCs/>
                <w:kern w:val="0"/>
                <w:sz w:val="24"/>
              </w:rPr>
            </w:pPr>
            <w:r>
              <w:rPr>
                <w:rFonts w:hint="eastAsia"/>
                <w:iCs/>
                <w:kern w:val="0"/>
                <w:sz w:val="24"/>
              </w:rPr>
              <w:t>问题7、方总您好，公司的创新药属于院内成熟制剂，是否能抓紧申报国家一类药物，赶上创新药的市场风口？还需要多久才能申报？谢谢！</w:t>
            </w:r>
          </w:p>
          <w:p w14:paraId="26C353EF">
            <w:pPr>
              <w:spacing w:line="360" w:lineRule="auto"/>
              <w:rPr>
                <w:iCs/>
                <w:kern w:val="0"/>
                <w:sz w:val="24"/>
              </w:rPr>
            </w:pPr>
            <w:r>
              <w:rPr>
                <w:rFonts w:hint="eastAsia"/>
                <w:iCs/>
                <w:kern w:val="0"/>
                <w:sz w:val="24"/>
              </w:rPr>
              <w:t>回答：尊敬的投资者，您好。</w:t>
            </w:r>
            <w:bookmarkStart w:id="0" w:name="_GoBack"/>
            <w:bookmarkEnd w:id="0"/>
            <w:r>
              <w:rPr>
                <w:rFonts w:hint="eastAsia"/>
                <w:iCs/>
                <w:kern w:val="0"/>
                <w:sz w:val="24"/>
              </w:rPr>
              <w:t>创新药申报资质需基于充分的药学、非临床及临床研究数据予以科学认定，过程严谨复杂，后续如有重大进展，将依法依规及时履行信息披露义务。</w:t>
            </w:r>
          </w:p>
          <w:p w14:paraId="557E7A9F">
            <w:pPr>
              <w:pStyle w:val="37"/>
              <w:ind w:left="420" w:firstLine="0" w:firstLineChars="0"/>
              <w:rPr>
                <w:rFonts w:hint="eastAsia" w:asciiTheme="minorEastAsia" w:hAnsiTheme="minorEastAsia" w:eastAsiaTheme="minorEastAsia"/>
                <w:kern w:val="0"/>
                <w:sz w:val="24"/>
              </w:rPr>
            </w:pPr>
          </w:p>
          <w:p w14:paraId="3BDCC6CD">
            <w:pPr>
              <w:pStyle w:val="37"/>
              <w:ind w:left="420" w:firstLine="0" w:firstLineChars="0"/>
              <w:rPr>
                <w:rFonts w:hint="eastAsia" w:asciiTheme="minorEastAsia" w:hAnsiTheme="minorEastAsia" w:eastAsiaTheme="minorEastAsia"/>
                <w:kern w:val="0"/>
                <w:sz w:val="24"/>
              </w:rPr>
            </w:pPr>
          </w:p>
          <w:p w14:paraId="622F30A3">
            <w:pPr>
              <w:spacing w:line="360" w:lineRule="auto"/>
              <w:ind w:firstLine="480" w:firstLineChars="200"/>
              <w:rPr>
                <w:rFonts w:hint="eastAsia" w:asciiTheme="minorEastAsia" w:hAnsiTheme="minorEastAsia" w:eastAsiaTheme="minorEastAsia"/>
                <w:kern w:val="0"/>
                <w:sz w:val="24"/>
              </w:rPr>
            </w:pPr>
            <w:r>
              <w:rPr>
                <w:rFonts w:hint="eastAsia" w:eastAsiaTheme="minorEastAsia"/>
                <w:bCs/>
                <w:iCs/>
                <w:color w:val="000000"/>
                <w:kern w:val="0"/>
                <w:sz w:val="24"/>
              </w:rPr>
              <w:t>公司于2</w:t>
            </w:r>
            <w:r>
              <w:rPr>
                <w:rFonts w:eastAsiaTheme="minorEastAsia"/>
                <w:bCs/>
                <w:iCs/>
                <w:color w:val="000000"/>
                <w:kern w:val="0"/>
                <w:sz w:val="24"/>
              </w:rPr>
              <w:t>02</w:t>
            </w:r>
            <w:r>
              <w:rPr>
                <w:rFonts w:hint="eastAsia" w:eastAsiaTheme="minorEastAsia"/>
                <w:bCs/>
                <w:iCs/>
                <w:color w:val="000000"/>
                <w:kern w:val="0"/>
                <w:sz w:val="24"/>
                <w:lang w:val="en-US" w:eastAsia="zh-CN"/>
              </w:rPr>
              <w:t>5</w:t>
            </w:r>
            <w:r>
              <w:rPr>
                <w:rFonts w:eastAsiaTheme="minorEastAsia"/>
                <w:bCs/>
                <w:iCs/>
                <w:color w:val="000000"/>
                <w:kern w:val="0"/>
                <w:sz w:val="24"/>
              </w:rPr>
              <w:t>年</w:t>
            </w:r>
            <w:r>
              <w:rPr>
                <w:rFonts w:hint="eastAsia" w:eastAsiaTheme="minorEastAsia"/>
                <w:bCs/>
                <w:iCs/>
                <w:color w:val="000000"/>
                <w:kern w:val="0"/>
                <w:sz w:val="24"/>
                <w:lang w:val="en-US" w:eastAsia="zh-CN"/>
              </w:rPr>
              <w:t>9</w:t>
            </w:r>
            <w:r>
              <w:rPr>
                <w:rFonts w:hint="eastAsia" w:eastAsiaTheme="minorEastAsia"/>
                <w:bCs/>
                <w:iCs/>
                <w:color w:val="000000"/>
                <w:kern w:val="0"/>
                <w:sz w:val="24"/>
              </w:rPr>
              <w:t>月</w:t>
            </w:r>
            <w:r>
              <w:rPr>
                <w:rFonts w:hint="eastAsia" w:eastAsiaTheme="minorEastAsia"/>
                <w:bCs/>
                <w:iCs/>
                <w:color w:val="000000"/>
                <w:kern w:val="0"/>
                <w:sz w:val="24"/>
                <w:lang w:val="en-US" w:eastAsia="zh-CN"/>
              </w:rPr>
              <w:t>12</w:t>
            </w:r>
            <w:r>
              <w:rPr>
                <w:rFonts w:hint="eastAsia" w:eastAsiaTheme="minorEastAsia"/>
                <w:bCs/>
                <w:iCs/>
                <w:color w:val="000000"/>
                <w:kern w:val="0"/>
                <w:sz w:val="24"/>
              </w:rPr>
              <w:t>日召开</w:t>
            </w:r>
            <w:r>
              <w:rPr>
                <w:rFonts w:hint="eastAsia"/>
                <w:kern w:val="0"/>
                <w:sz w:val="24"/>
                <w:lang w:val="en-US" w:eastAsia="zh-CN"/>
              </w:rPr>
              <w:t>2025年半年度</w:t>
            </w:r>
            <w:r>
              <w:rPr>
                <w:rFonts w:hint="eastAsia"/>
                <w:kern w:val="0"/>
                <w:sz w:val="24"/>
              </w:rPr>
              <w:t>业绩说明会</w:t>
            </w:r>
            <w:r>
              <w:rPr>
                <w:rFonts w:hint="eastAsia" w:eastAsiaTheme="minorEastAsia"/>
                <w:bCs/>
                <w:iCs/>
                <w:color w:val="000000"/>
                <w:kern w:val="0"/>
                <w:sz w:val="24"/>
              </w:rPr>
              <w:t>，交流情况可登陆上海证券交易所上证路演中心（网址：https://roadshow.sseinfo.com/）查阅。</w:t>
            </w:r>
          </w:p>
          <w:p w14:paraId="3C749F0E">
            <w:pPr>
              <w:spacing w:line="480" w:lineRule="exact"/>
              <w:rPr>
                <w:rFonts w:eastAsiaTheme="minorEastAsia"/>
                <w:bCs/>
                <w:iCs/>
                <w:color w:val="000000"/>
                <w:kern w:val="0"/>
                <w:sz w:val="24"/>
              </w:rPr>
            </w:pPr>
          </w:p>
        </w:tc>
      </w:tr>
      <w:tr w14:paraId="591D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985" w:type="dxa"/>
            <w:vAlign w:val="center"/>
          </w:tcPr>
          <w:p w14:paraId="59027C54">
            <w:pPr>
              <w:spacing w:line="480" w:lineRule="atLeast"/>
              <w:jc w:val="center"/>
              <w:rPr>
                <w:b/>
                <w:bCs/>
                <w:iCs/>
                <w:color w:val="000000"/>
                <w:kern w:val="0"/>
                <w:sz w:val="24"/>
              </w:rPr>
            </w:pPr>
            <w:r>
              <w:rPr>
                <w:rFonts w:hint="eastAsia"/>
                <w:b/>
                <w:bCs/>
                <w:iCs/>
                <w:color w:val="000000"/>
                <w:kern w:val="0"/>
                <w:sz w:val="24"/>
              </w:rPr>
              <w:t>附件清单</w:t>
            </w:r>
          </w:p>
          <w:p w14:paraId="4F6893A8">
            <w:pPr>
              <w:spacing w:line="480" w:lineRule="atLeast"/>
              <w:jc w:val="center"/>
              <w:rPr>
                <w:rFonts w:hint="eastAsia" w:ascii="宋体" w:hAnsi="宋体"/>
                <w:b/>
                <w:bCs/>
                <w:iCs/>
                <w:color w:val="000000"/>
                <w:kern w:val="0"/>
                <w:sz w:val="24"/>
              </w:rPr>
            </w:pPr>
            <w:r>
              <w:rPr>
                <w:rFonts w:hint="eastAsia"/>
                <w:b/>
                <w:bCs/>
                <w:iCs/>
                <w:color w:val="000000"/>
                <w:kern w:val="0"/>
                <w:sz w:val="24"/>
              </w:rPr>
              <w:t>（如有）</w:t>
            </w:r>
          </w:p>
        </w:tc>
        <w:tc>
          <w:tcPr>
            <w:tcW w:w="7513" w:type="dxa"/>
          </w:tcPr>
          <w:p w14:paraId="79F57882">
            <w:pPr>
              <w:spacing w:line="480" w:lineRule="atLeast"/>
              <w:rPr>
                <w:rFonts w:hint="eastAsia" w:ascii="宋体" w:hAnsi="宋体"/>
                <w:bCs/>
                <w:iCs/>
                <w:color w:val="000000"/>
                <w:kern w:val="0"/>
                <w:sz w:val="24"/>
              </w:rPr>
            </w:pPr>
            <w:r>
              <w:rPr>
                <w:rFonts w:hint="eastAsia"/>
                <w:bCs/>
                <w:iCs/>
                <w:color w:val="000000"/>
                <w:kern w:val="0"/>
                <w:sz w:val="24"/>
              </w:rPr>
              <w:t>无</w:t>
            </w:r>
          </w:p>
        </w:tc>
      </w:tr>
      <w:tr w14:paraId="317F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985" w:type="dxa"/>
            <w:vAlign w:val="center"/>
          </w:tcPr>
          <w:p w14:paraId="49153070">
            <w:pPr>
              <w:spacing w:line="480" w:lineRule="atLeast"/>
              <w:jc w:val="center"/>
              <w:rPr>
                <w:rFonts w:hint="eastAsia" w:asciiTheme="minorEastAsia" w:hAnsiTheme="minorEastAsia" w:eastAsiaTheme="minorEastAsia"/>
                <w:b/>
                <w:bCs/>
                <w:iCs/>
                <w:color w:val="000000"/>
                <w:kern w:val="0"/>
                <w:sz w:val="24"/>
              </w:rPr>
            </w:pPr>
            <w:r>
              <w:rPr>
                <w:rFonts w:hint="eastAsia" w:eastAsiaTheme="minorEastAsia"/>
                <w:b/>
                <w:bCs/>
                <w:iCs/>
                <w:color w:val="000000"/>
                <w:kern w:val="0"/>
                <w:sz w:val="24"/>
              </w:rPr>
              <w:t>日期</w:t>
            </w:r>
          </w:p>
        </w:tc>
        <w:tc>
          <w:tcPr>
            <w:tcW w:w="7513" w:type="dxa"/>
            <w:vAlign w:val="center"/>
          </w:tcPr>
          <w:p w14:paraId="4CF015BF">
            <w:pPr>
              <w:spacing w:line="480" w:lineRule="atLeast"/>
              <w:rPr>
                <w:rFonts w:hint="eastAsia" w:asciiTheme="minorEastAsia" w:hAnsiTheme="minorEastAsia" w:eastAsiaTheme="minorEastAsia"/>
                <w:bCs/>
                <w:iCs/>
                <w:color w:val="000000"/>
                <w:kern w:val="0"/>
                <w:sz w:val="24"/>
              </w:rPr>
            </w:pPr>
            <w:r>
              <w:rPr>
                <w:rFonts w:eastAsiaTheme="majorEastAsia"/>
                <w:bCs/>
                <w:iCs/>
                <w:color w:val="000000"/>
                <w:kern w:val="0"/>
                <w:sz w:val="24"/>
              </w:rPr>
              <w:t>202</w:t>
            </w:r>
            <w:r>
              <w:rPr>
                <w:rFonts w:hint="eastAsia" w:eastAsiaTheme="majorEastAsia"/>
                <w:bCs/>
                <w:iCs/>
                <w:color w:val="000000"/>
                <w:kern w:val="0"/>
                <w:sz w:val="24"/>
                <w:lang w:val="en-US" w:eastAsia="zh-CN"/>
              </w:rPr>
              <w:t>5</w:t>
            </w:r>
            <w:r>
              <w:rPr>
                <w:rFonts w:hint="eastAsia" w:eastAsiaTheme="majorEastAsia"/>
                <w:bCs/>
                <w:iCs/>
                <w:color w:val="000000"/>
                <w:kern w:val="0"/>
                <w:sz w:val="24"/>
              </w:rPr>
              <w:t>年</w:t>
            </w:r>
            <w:r>
              <w:rPr>
                <w:rFonts w:hint="eastAsia" w:eastAsiaTheme="majorEastAsia"/>
                <w:bCs/>
                <w:iCs/>
                <w:color w:val="000000"/>
                <w:kern w:val="0"/>
                <w:sz w:val="24"/>
                <w:lang w:val="en-US" w:eastAsia="zh-CN"/>
              </w:rPr>
              <w:t>9</w:t>
            </w:r>
            <w:r>
              <w:rPr>
                <w:rFonts w:hint="eastAsia" w:eastAsiaTheme="majorEastAsia"/>
                <w:bCs/>
                <w:iCs/>
                <w:color w:val="000000"/>
                <w:kern w:val="0"/>
                <w:sz w:val="24"/>
              </w:rPr>
              <w:t>月</w:t>
            </w:r>
            <w:r>
              <w:rPr>
                <w:rFonts w:hint="eastAsia" w:eastAsiaTheme="majorEastAsia"/>
                <w:bCs/>
                <w:iCs/>
                <w:color w:val="000000"/>
                <w:kern w:val="0"/>
                <w:sz w:val="24"/>
                <w:lang w:val="en-US" w:eastAsia="zh-CN"/>
              </w:rPr>
              <w:t>12</w:t>
            </w:r>
            <w:r>
              <w:rPr>
                <w:rFonts w:eastAsiaTheme="majorEastAsia"/>
                <w:bCs/>
                <w:iCs/>
                <w:color w:val="000000"/>
                <w:kern w:val="0"/>
                <w:sz w:val="24"/>
              </w:rPr>
              <w:t>日</w:t>
            </w:r>
          </w:p>
        </w:tc>
      </w:tr>
    </w:tbl>
    <w:p w14:paraId="778D8D2A"/>
    <w:sectPr>
      <w:footerReference r:id="rId3" w:type="default"/>
      <w:pgSz w:w="11906" w:h="16838"/>
      <w:pgMar w:top="1418" w:right="1588" w:bottom="1418" w:left="1588" w:header="737"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iyu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749084"/>
      <w:docPartObj>
        <w:docPartGallery w:val="autotext"/>
      </w:docPartObj>
    </w:sdtPr>
    <w:sdtContent>
      <w:p w14:paraId="052B02CD">
        <w:pPr>
          <w:pStyle w:val="13"/>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C7"/>
    <w:rsid w:val="00006B9E"/>
    <w:rsid w:val="00010D6C"/>
    <w:rsid w:val="00011067"/>
    <w:rsid w:val="00012411"/>
    <w:rsid w:val="00014AAC"/>
    <w:rsid w:val="00015ECF"/>
    <w:rsid w:val="00017DD3"/>
    <w:rsid w:val="00022441"/>
    <w:rsid w:val="00022AC0"/>
    <w:rsid w:val="00027F1A"/>
    <w:rsid w:val="00030A1E"/>
    <w:rsid w:val="00032012"/>
    <w:rsid w:val="00032385"/>
    <w:rsid w:val="0003382A"/>
    <w:rsid w:val="00042867"/>
    <w:rsid w:val="0004413F"/>
    <w:rsid w:val="00044AFF"/>
    <w:rsid w:val="00051503"/>
    <w:rsid w:val="0005420E"/>
    <w:rsid w:val="00055B7C"/>
    <w:rsid w:val="00063CCD"/>
    <w:rsid w:val="0006540A"/>
    <w:rsid w:val="00065BB2"/>
    <w:rsid w:val="00071061"/>
    <w:rsid w:val="000725DE"/>
    <w:rsid w:val="000734C0"/>
    <w:rsid w:val="000735EB"/>
    <w:rsid w:val="000768B5"/>
    <w:rsid w:val="00077C64"/>
    <w:rsid w:val="00087991"/>
    <w:rsid w:val="00091177"/>
    <w:rsid w:val="00096876"/>
    <w:rsid w:val="0009747A"/>
    <w:rsid w:val="000A2B56"/>
    <w:rsid w:val="000A3993"/>
    <w:rsid w:val="000A44C8"/>
    <w:rsid w:val="000A7740"/>
    <w:rsid w:val="000A7E76"/>
    <w:rsid w:val="000B0D1E"/>
    <w:rsid w:val="000B5782"/>
    <w:rsid w:val="000B7D7F"/>
    <w:rsid w:val="000C004D"/>
    <w:rsid w:val="000C1F26"/>
    <w:rsid w:val="000C31F3"/>
    <w:rsid w:val="000C73A6"/>
    <w:rsid w:val="000D1D29"/>
    <w:rsid w:val="000D24EC"/>
    <w:rsid w:val="000D2E9C"/>
    <w:rsid w:val="000D3019"/>
    <w:rsid w:val="000D46BF"/>
    <w:rsid w:val="000D632C"/>
    <w:rsid w:val="000D75D2"/>
    <w:rsid w:val="000E3251"/>
    <w:rsid w:val="000E3D61"/>
    <w:rsid w:val="000E7489"/>
    <w:rsid w:val="000F150C"/>
    <w:rsid w:val="000F7B8F"/>
    <w:rsid w:val="001000F8"/>
    <w:rsid w:val="00100E6F"/>
    <w:rsid w:val="001040C8"/>
    <w:rsid w:val="001103FC"/>
    <w:rsid w:val="0011041C"/>
    <w:rsid w:val="0011137E"/>
    <w:rsid w:val="00112B2D"/>
    <w:rsid w:val="00113E8C"/>
    <w:rsid w:val="00114547"/>
    <w:rsid w:val="00116063"/>
    <w:rsid w:val="001170AE"/>
    <w:rsid w:val="0011799B"/>
    <w:rsid w:val="001266AE"/>
    <w:rsid w:val="00127582"/>
    <w:rsid w:val="00130A4A"/>
    <w:rsid w:val="001315E2"/>
    <w:rsid w:val="001339B9"/>
    <w:rsid w:val="00133B97"/>
    <w:rsid w:val="00142D61"/>
    <w:rsid w:val="001462B5"/>
    <w:rsid w:val="00146D76"/>
    <w:rsid w:val="00153F8D"/>
    <w:rsid w:val="001540E5"/>
    <w:rsid w:val="00157813"/>
    <w:rsid w:val="00162052"/>
    <w:rsid w:val="001722FA"/>
    <w:rsid w:val="0017312A"/>
    <w:rsid w:val="001741BD"/>
    <w:rsid w:val="0018061E"/>
    <w:rsid w:val="00182FEA"/>
    <w:rsid w:val="001846E4"/>
    <w:rsid w:val="0018795E"/>
    <w:rsid w:val="0019197C"/>
    <w:rsid w:val="00193697"/>
    <w:rsid w:val="001936B3"/>
    <w:rsid w:val="00197171"/>
    <w:rsid w:val="001A0861"/>
    <w:rsid w:val="001A1777"/>
    <w:rsid w:val="001A1E7C"/>
    <w:rsid w:val="001B0B2A"/>
    <w:rsid w:val="001B26D2"/>
    <w:rsid w:val="001B793B"/>
    <w:rsid w:val="001B7FE2"/>
    <w:rsid w:val="001C1BE6"/>
    <w:rsid w:val="001C36CB"/>
    <w:rsid w:val="001C70CF"/>
    <w:rsid w:val="001D1166"/>
    <w:rsid w:val="001D14B1"/>
    <w:rsid w:val="001D5DC9"/>
    <w:rsid w:val="001E2B23"/>
    <w:rsid w:val="001E4A65"/>
    <w:rsid w:val="001E570E"/>
    <w:rsid w:val="001F48A2"/>
    <w:rsid w:val="001F5038"/>
    <w:rsid w:val="001F542C"/>
    <w:rsid w:val="001F6503"/>
    <w:rsid w:val="00200E38"/>
    <w:rsid w:val="00204195"/>
    <w:rsid w:val="002064F1"/>
    <w:rsid w:val="00207E26"/>
    <w:rsid w:val="00210871"/>
    <w:rsid w:val="00210A68"/>
    <w:rsid w:val="00212000"/>
    <w:rsid w:val="00216191"/>
    <w:rsid w:val="00222AB0"/>
    <w:rsid w:val="00223D7D"/>
    <w:rsid w:val="002241F6"/>
    <w:rsid w:val="00224BB3"/>
    <w:rsid w:val="0022542F"/>
    <w:rsid w:val="002275EF"/>
    <w:rsid w:val="00227F02"/>
    <w:rsid w:val="00232E2E"/>
    <w:rsid w:val="00233604"/>
    <w:rsid w:val="0023419A"/>
    <w:rsid w:val="00235BF3"/>
    <w:rsid w:val="00235FC8"/>
    <w:rsid w:val="00237F41"/>
    <w:rsid w:val="00241D77"/>
    <w:rsid w:val="0024436C"/>
    <w:rsid w:val="00244CF2"/>
    <w:rsid w:val="00245EC3"/>
    <w:rsid w:val="0025085A"/>
    <w:rsid w:val="002548DF"/>
    <w:rsid w:val="00260393"/>
    <w:rsid w:val="002629A4"/>
    <w:rsid w:val="00263F1D"/>
    <w:rsid w:val="0026507A"/>
    <w:rsid w:val="00265AE8"/>
    <w:rsid w:val="0027073E"/>
    <w:rsid w:val="002749B2"/>
    <w:rsid w:val="0027743C"/>
    <w:rsid w:val="00284B1A"/>
    <w:rsid w:val="002874D4"/>
    <w:rsid w:val="00287CA7"/>
    <w:rsid w:val="00291D56"/>
    <w:rsid w:val="00294FD1"/>
    <w:rsid w:val="00297F85"/>
    <w:rsid w:val="002A2757"/>
    <w:rsid w:val="002A547D"/>
    <w:rsid w:val="002A7A74"/>
    <w:rsid w:val="002C0ADA"/>
    <w:rsid w:val="002C2B0F"/>
    <w:rsid w:val="002C4561"/>
    <w:rsid w:val="002C486B"/>
    <w:rsid w:val="002C7D7F"/>
    <w:rsid w:val="002D2329"/>
    <w:rsid w:val="002D2780"/>
    <w:rsid w:val="002D53D5"/>
    <w:rsid w:val="002D54A4"/>
    <w:rsid w:val="002D577E"/>
    <w:rsid w:val="002D5E29"/>
    <w:rsid w:val="002D733F"/>
    <w:rsid w:val="002D7F7A"/>
    <w:rsid w:val="002E0649"/>
    <w:rsid w:val="002E17EE"/>
    <w:rsid w:val="002E2069"/>
    <w:rsid w:val="002E6290"/>
    <w:rsid w:val="002F0E34"/>
    <w:rsid w:val="00303817"/>
    <w:rsid w:val="003039CC"/>
    <w:rsid w:val="003114E7"/>
    <w:rsid w:val="00311742"/>
    <w:rsid w:val="0031235D"/>
    <w:rsid w:val="0031245B"/>
    <w:rsid w:val="00316805"/>
    <w:rsid w:val="0032119F"/>
    <w:rsid w:val="00322D64"/>
    <w:rsid w:val="00330EA3"/>
    <w:rsid w:val="00333D14"/>
    <w:rsid w:val="00335139"/>
    <w:rsid w:val="00337B46"/>
    <w:rsid w:val="00340EA1"/>
    <w:rsid w:val="0034217C"/>
    <w:rsid w:val="003469EA"/>
    <w:rsid w:val="00346B24"/>
    <w:rsid w:val="00350BC4"/>
    <w:rsid w:val="00352867"/>
    <w:rsid w:val="003532FE"/>
    <w:rsid w:val="003549D9"/>
    <w:rsid w:val="0035765A"/>
    <w:rsid w:val="00360BF3"/>
    <w:rsid w:val="0037125C"/>
    <w:rsid w:val="00373D4B"/>
    <w:rsid w:val="003770F0"/>
    <w:rsid w:val="00377E26"/>
    <w:rsid w:val="0038206D"/>
    <w:rsid w:val="00382B27"/>
    <w:rsid w:val="003859C6"/>
    <w:rsid w:val="003955FD"/>
    <w:rsid w:val="003965FC"/>
    <w:rsid w:val="003975A5"/>
    <w:rsid w:val="003A30A9"/>
    <w:rsid w:val="003A4978"/>
    <w:rsid w:val="003A4EDD"/>
    <w:rsid w:val="003B09A2"/>
    <w:rsid w:val="003B19CB"/>
    <w:rsid w:val="003B2B35"/>
    <w:rsid w:val="003B34E3"/>
    <w:rsid w:val="003B7FA5"/>
    <w:rsid w:val="003C025D"/>
    <w:rsid w:val="003C159A"/>
    <w:rsid w:val="003C3E78"/>
    <w:rsid w:val="003C52BE"/>
    <w:rsid w:val="003C7A2D"/>
    <w:rsid w:val="003D49DA"/>
    <w:rsid w:val="003D702D"/>
    <w:rsid w:val="003E0A56"/>
    <w:rsid w:val="003E273B"/>
    <w:rsid w:val="003E488E"/>
    <w:rsid w:val="003F06CF"/>
    <w:rsid w:val="003F1430"/>
    <w:rsid w:val="003F5879"/>
    <w:rsid w:val="003F7B52"/>
    <w:rsid w:val="004018D9"/>
    <w:rsid w:val="00404662"/>
    <w:rsid w:val="004101BA"/>
    <w:rsid w:val="00410B88"/>
    <w:rsid w:val="00412971"/>
    <w:rsid w:val="00412F02"/>
    <w:rsid w:val="0041304B"/>
    <w:rsid w:val="0041409C"/>
    <w:rsid w:val="0041416E"/>
    <w:rsid w:val="00415AEE"/>
    <w:rsid w:val="00432AC5"/>
    <w:rsid w:val="00432AC9"/>
    <w:rsid w:val="00432C0F"/>
    <w:rsid w:val="0043321B"/>
    <w:rsid w:val="004335BE"/>
    <w:rsid w:val="004369BC"/>
    <w:rsid w:val="0044341F"/>
    <w:rsid w:val="00443CF8"/>
    <w:rsid w:val="00444E8E"/>
    <w:rsid w:val="00445378"/>
    <w:rsid w:val="00446522"/>
    <w:rsid w:val="00450C6A"/>
    <w:rsid w:val="0045706E"/>
    <w:rsid w:val="0045770B"/>
    <w:rsid w:val="0045774D"/>
    <w:rsid w:val="004613FF"/>
    <w:rsid w:val="00461A3D"/>
    <w:rsid w:val="00461D60"/>
    <w:rsid w:val="00465A28"/>
    <w:rsid w:val="00466045"/>
    <w:rsid w:val="00466243"/>
    <w:rsid w:val="0046729A"/>
    <w:rsid w:val="00471A41"/>
    <w:rsid w:val="00472FB6"/>
    <w:rsid w:val="00473987"/>
    <w:rsid w:val="004757D1"/>
    <w:rsid w:val="004768F1"/>
    <w:rsid w:val="004769E3"/>
    <w:rsid w:val="00476F1C"/>
    <w:rsid w:val="00481493"/>
    <w:rsid w:val="00486017"/>
    <w:rsid w:val="00486E5A"/>
    <w:rsid w:val="00493CC4"/>
    <w:rsid w:val="00494B08"/>
    <w:rsid w:val="00496CC9"/>
    <w:rsid w:val="004A0DFB"/>
    <w:rsid w:val="004A43EF"/>
    <w:rsid w:val="004A6F19"/>
    <w:rsid w:val="004A7A11"/>
    <w:rsid w:val="004B0D49"/>
    <w:rsid w:val="004B198C"/>
    <w:rsid w:val="004B4D36"/>
    <w:rsid w:val="004B6530"/>
    <w:rsid w:val="004C219C"/>
    <w:rsid w:val="004C30A3"/>
    <w:rsid w:val="004C3FCA"/>
    <w:rsid w:val="004C421C"/>
    <w:rsid w:val="004C4FF6"/>
    <w:rsid w:val="004D6AE2"/>
    <w:rsid w:val="004D77BE"/>
    <w:rsid w:val="004E08EF"/>
    <w:rsid w:val="004F0CE6"/>
    <w:rsid w:val="004F2D32"/>
    <w:rsid w:val="004F48B6"/>
    <w:rsid w:val="004F7C45"/>
    <w:rsid w:val="005009BC"/>
    <w:rsid w:val="00501107"/>
    <w:rsid w:val="0050415C"/>
    <w:rsid w:val="00506349"/>
    <w:rsid w:val="00510837"/>
    <w:rsid w:val="00517C3F"/>
    <w:rsid w:val="0052245C"/>
    <w:rsid w:val="005248F4"/>
    <w:rsid w:val="00533FDB"/>
    <w:rsid w:val="00540C55"/>
    <w:rsid w:val="005414C7"/>
    <w:rsid w:val="00541F52"/>
    <w:rsid w:val="00551C3D"/>
    <w:rsid w:val="00553C7F"/>
    <w:rsid w:val="00554FEB"/>
    <w:rsid w:val="00557E53"/>
    <w:rsid w:val="005649C3"/>
    <w:rsid w:val="00566A4A"/>
    <w:rsid w:val="00570763"/>
    <w:rsid w:val="0057198A"/>
    <w:rsid w:val="0057420B"/>
    <w:rsid w:val="005762F5"/>
    <w:rsid w:val="005777FB"/>
    <w:rsid w:val="00580DD9"/>
    <w:rsid w:val="005813EC"/>
    <w:rsid w:val="0059549D"/>
    <w:rsid w:val="00595874"/>
    <w:rsid w:val="005A2500"/>
    <w:rsid w:val="005B3291"/>
    <w:rsid w:val="005D15A6"/>
    <w:rsid w:val="005D16AB"/>
    <w:rsid w:val="005D2070"/>
    <w:rsid w:val="005D2775"/>
    <w:rsid w:val="005D4DA8"/>
    <w:rsid w:val="005D65A0"/>
    <w:rsid w:val="005E01D9"/>
    <w:rsid w:val="005E0E87"/>
    <w:rsid w:val="005E21E6"/>
    <w:rsid w:val="005E36FD"/>
    <w:rsid w:val="005F118E"/>
    <w:rsid w:val="005F7BEC"/>
    <w:rsid w:val="006011CB"/>
    <w:rsid w:val="006032B1"/>
    <w:rsid w:val="00612CE5"/>
    <w:rsid w:val="00614210"/>
    <w:rsid w:val="006143E0"/>
    <w:rsid w:val="00616AC1"/>
    <w:rsid w:val="00617BE6"/>
    <w:rsid w:val="0062539C"/>
    <w:rsid w:val="00625D1E"/>
    <w:rsid w:val="00627291"/>
    <w:rsid w:val="00632B85"/>
    <w:rsid w:val="00633974"/>
    <w:rsid w:val="00633D79"/>
    <w:rsid w:val="00641022"/>
    <w:rsid w:val="006436EE"/>
    <w:rsid w:val="00644344"/>
    <w:rsid w:val="0065407F"/>
    <w:rsid w:val="0065446F"/>
    <w:rsid w:val="00655885"/>
    <w:rsid w:val="00656FE3"/>
    <w:rsid w:val="006618AB"/>
    <w:rsid w:val="00661CC4"/>
    <w:rsid w:val="006733A8"/>
    <w:rsid w:val="006737C0"/>
    <w:rsid w:val="006743BA"/>
    <w:rsid w:val="00681F0E"/>
    <w:rsid w:val="00692A30"/>
    <w:rsid w:val="00692D3F"/>
    <w:rsid w:val="00694C4F"/>
    <w:rsid w:val="00695012"/>
    <w:rsid w:val="006959E6"/>
    <w:rsid w:val="006A5466"/>
    <w:rsid w:val="006A7A18"/>
    <w:rsid w:val="006B496D"/>
    <w:rsid w:val="006B5164"/>
    <w:rsid w:val="006B602A"/>
    <w:rsid w:val="006C2166"/>
    <w:rsid w:val="006C2C5E"/>
    <w:rsid w:val="006C45F8"/>
    <w:rsid w:val="006C6039"/>
    <w:rsid w:val="006D68F5"/>
    <w:rsid w:val="006D7B9F"/>
    <w:rsid w:val="006E23E1"/>
    <w:rsid w:val="006E2660"/>
    <w:rsid w:val="006E2835"/>
    <w:rsid w:val="006F5E01"/>
    <w:rsid w:val="006F67F5"/>
    <w:rsid w:val="00704112"/>
    <w:rsid w:val="00705B55"/>
    <w:rsid w:val="00711783"/>
    <w:rsid w:val="00712F81"/>
    <w:rsid w:val="00716E6B"/>
    <w:rsid w:val="007265C7"/>
    <w:rsid w:val="00727721"/>
    <w:rsid w:val="007309CF"/>
    <w:rsid w:val="0073342E"/>
    <w:rsid w:val="007346C0"/>
    <w:rsid w:val="007359BC"/>
    <w:rsid w:val="00735F12"/>
    <w:rsid w:val="00741477"/>
    <w:rsid w:val="00741C38"/>
    <w:rsid w:val="00750BB9"/>
    <w:rsid w:val="00751C2D"/>
    <w:rsid w:val="00752ECD"/>
    <w:rsid w:val="00754210"/>
    <w:rsid w:val="00754FF9"/>
    <w:rsid w:val="007557F0"/>
    <w:rsid w:val="00755F19"/>
    <w:rsid w:val="00756C2B"/>
    <w:rsid w:val="00760935"/>
    <w:rsid w:val="00765C2B"/>
    <w:rsid w:val="007748C4"/>
    <w:rsid w:val="00775FCE"/>
    <w:rsid w:val="00776FE0"/>
    <w:rsid w:val="007824D3"/>
    <w:rsid w:val="007869CD"/>
    <w:rsid w:val="0079271D"/>
    <w:rsid w:val="00796124"/>
    <w:rsid w:val="00796694"/>
    <w:rsid w:val="007A133C"/>
    <w:rsid w:val="007A2F84"/>
    <w:rsid w:val="007A4F7F"/>
    <w:rsid w:val="007A7145"/>
    <w:rsid w:val="007B117B"/>
    <w:rsid w:val="007B206B"/>
    <w:rsid w:val="007B2F87"/>
    <w:rsid w:val="007B4455"/>
    <w:rsid w:val="007B528C"/>
    <w:rsid w:val="007B6543"/>
    <w:rsid w:val="007B7277"/>
    <w:rsid w:val="007C0347"/>
    <w:rsid w:val="007C14EE"/>
    <w:rsid w:val="007C46B6"/>
    <w:rsid w:val="007C749B"/>
    <w:rsid w:val="007D25F6"/>
    <w:rsid w:val="007D441D"/>
    <w:rsid w:val="007E5865"/>
    <w:rsid w:val="007E5C88"/>
    <w:rsid w:val="007E6147"/>
    <w:rsid w:val="007E6507"/>
    <w:rsid w:val="007E6B1C"/>
    <w:rsid w:val="007F079C"/>
    <w:rsid w:val="007F08DB"/>
    <w:rsid w:val="007F0B3C"/>
    <w:rsid w:val="007F4006"/>
    <w:rsid w:val="00800585"/>
    <w:rsid w:val="008058CE"/>
    <w:rsid w:val="00806259"/>
    <w:rsid w:val="00806B10"/>
    <w:rsid w:val="00811BA2"/>
    <w:rsid w:val="00812705"/>
    <w:rsid w:val="008145BE"/>
    <w:rsid w:val="00817587"/>
    <w:rsid w:val="00817948"/>
    <w:rsid w:val="00822BE2"/>
    <w:rsid w:val="00824DFB"/>
    <w:rsid w:val="008265EA"/>
    <w:rsid w:val="0082739F"/>
    <w:rsid w:val="0083239E"/>
    <w:rsid w:val="0083450E"/>
    <w:rsid w:val="008573C9"/>
    <w:rsid w:val="00861D31"/>
    <w:rsid w:val="008656BA"/>
    <w:rsid w:val="0086664A"/>
    <w:rsid w:val="00870394"/>
    <w:rsid w:val="008703F6"/>
    <w:rsid w:val="00873123"/>
    <w:rsid w:val="008735C4"/>
    <w:rsid w:val="00880714"/>
    <w:rsid w:val="00882758"/>
    <w:rsid w:val="008868A4"/>
    <w:rsid w:val="0088770C"/>
    <w:rsid w:val="008916E3"/>
    <w:rsid w:val="008A3A15"/>
    <w:rsid w:val="008B7541"/>
    <w:rsid w:val="008C38D3"/>
    <w:rsid w:val="008C7CEB"/>
    <w:rsid w:val="008D01AE"/>
    <w:rsid w:val="008D3224"/>
    <w:rsid w:val="008D4572"/>
    <w:rsid w:val="008E34CB"/>
    <w:rsid w:val="008E4946"/>
    <w:rsid w:val="008E5F30"/>
    <w:rsid w:val="008F3797"/>
    <w:rsid w:val="009008A9"/>
    <w:rsid w:val="00902217"/>
    <w:rsid w:val="00904413"/>
    <w:rsid w:val="00911261"/>
    <w:rsid w:val="0091320B"/>
    <w:rsid w:val="00913539"/>
    <w:rsid w:val="00923509"/>
    <w:rsid w:val="00932EE8"/>
    <w:rsid w:val="009330B1"/>
    <w:rsid w:val="00935AB4"/>
    <w:rsid w:val="0093774E"/>
    <w:rsid w:val="00940D52"/>
    <w:rsid w:val="009412C9"/>
    <w:rsid w:val="00941DB1"/>
    <w:rsid w:val="009469DC"/>
    <w:rsid w:val="00947F30"/>
    <w:rsid w:val="00950B8B"/>
    <w:rsid w:val="00954DAB"/>
    <w:rsid w:val="00957000"/>
    <w:rsid w:val="009613ED"/>
    <w:rsid w:val="00963576"/>
    <w:rsid w:val="00963C06"/>
    <w:rsid w:val="009646CA"/>
    <w:rsid w:val="009652F7"/>
    <w:rsid w:val="00966F7B"/>
    <w:rsid w:val="00970BB2"/>
    <w:rsid w:val="00973A80"/>
    <w:rsid w:val="00975D52"/>
    <w:rsid w:val="009768C3"/>
    <w:rsid w:val="00980DB5"/>
    <w:rsid w:val="00981E2F"/>
    <w:rsid w:val="00982EEC"/>
    <w:rsid w:val="00985E39"/>
    <w:rsid w:val="00995BD7"/>
    <w:rsid w:val="009A3A7E"/>
    <w:rsid w:val="009A4D41"/>
    <w:rsid w:val="009A6C89"/>
    <w:rsid w:val="009A7478"/>
    <w:rsid w:val="009B15FA"/>
    <w:rsid w:val="009B3617"/>
    <w:rsid w:val="009C176E"/>
    <w:rsid w:val="009C21D9"/>
    <w:rsid w:val="009C4415"/>
    <w:rsid w:val="009C7F6C"/>
    <w:rsid w:val="009D0AD0"/>
    <w:rsid w:val="009D2554"/>
    <w:rsid w:val="009D3D78"/>
    <w:rsid w:val="009D5286"/>
    <w:rsid w:val="009E3BCF"/>
    <w:rsid w:val="009E6FF1"/>
    <w:rsid w:val="009E70BB"/>
    <w:rsid w:val="009F05CE"/>
    <w:rsid w:val="009F129A"/>
    <w:rsid w:val="009F13EC"/>
    <w:rsid w:val="009F2B0E"/>
    <w:rsid w:val="009F54AA"/>
    <w:rsid w:val="009F5AFF"/>
    <w:rsid w:val="00A01593"/>
    <w:rsid w:val="00A02C60"/>
    <w:rsid w:val="00A04165"/>
    <w:rsid w:val="00A1119E"/>
    <w:rsid w:val="00A11450"/>
    <w:rsid w:val="00A15218"/>
    <w:rsid w:val="00A16A62"/>
    <w:rsid w:val="00A21D2B"/>
    <w:rsid w:val="00A22A49"/>
    <w:rsid w:val="00A23F24"/>
    <w:rsid w:val="00A24FC0"/>
    <w:rsid w:val="00A259C7"/>
    <w:rsid w:val="00A26A19"/>
    <w:rsid w:val="00A34BDE"/>
    <w:rsid w:val="00A35496"/>
    <w:rsid w:val="00A35B0D"/>
    <w:rsid w:val="00A37975"/>
    <w:rsid w:val="00A41D52"/>
    <w:rsid w:val="00A4200F"/>
    <w:rsid w:val="00A433F8"/>
    <w:rsid w:val="00A43A02"/>
    <w:rsid w:val="00A44836"/>
    <w:rsid w:val="00A45486"/>
    <w:rsid w:val="00A469E0"/>
    <w:rsid w:val="00A478F0"/>
    <w:rsid w:val="00A51357"/>
    <w:rsid w:val="00A53E38"/>
    <w:rsid w:val="00A61113"/>
    <w:rsid w:val="00A620D2"/>
    <w:rsid w:val="00A6256E"/>
    <w:rsid w:val="00A62AF2"/>
    <w:rsid w:val="00A636E1"/>
    <w:rsid w:val="00A63762"/>
    <w:rsid w:val="00A66694"/>
    <w:rsid w:val="00A677BA"/>
    <w:rsid w:val="00A71128"/>
    <w:rsid w:val="00A74EDB"/>
    <w:rsid w:val="00A75D06"/>
    <w:rsid w:val="00A8032F"/>
    <w:rsid w:val="00A82AA3"/>
    <w:rsid w:val="00A854B1"/>
    <w:rsid w:val="00A9163D"/>
    <w:rsid w:val="00A952B3"/>
    <w:rsid w:val="00AA320E"/>
    <w:rsid w:val="00AA496C"/>
    <w:rsid w:val="00AA5B51"/>
    <w:rsid w:val="00AA6F5B"/>
    <w:rsid w:val="00AB297A"/>
    <w:rsid w:val="00AB35C6"/>
    <w:rsid w:val="00AB36FB"/>
    <w:rsid w:val="00AB38D1"/>
    <w:rsid w:val="00AC2971"/>
    <w:rsid w:val="00AC4A3F"/>
    <w:rsid w:val="00AC7094"/>
    <w:rsid w:val="00AD0A31"/>
    <w:rsid w:val="00AD3C96"/>
    <w:rsid w:val="00AD4093"/>
    <w:rsid w:val="00AD4A8C"/>
    <w:rsid w:val="00AD4C90"/>
    <w:rsid w:val="00AE353B"/>
    <w:rsid w:val="00AF6AEB"/>
    <w:rsid w:val="00B02EA6"/>
    <w:rsid w:val="00B03888"/>
    <w:rsid w:val="00B0457F"/>
    <w:rsid w:val="00B04A5C"/>
    <w:rsid w:val="00B05CC2"/>
    <w:rsid w:val="00B076CC"/>
    <w:rsid w:val="00B07A5E"/>
    <w:rsid w:val="00B07A93"/>
    <w:rsid w:val="00B10379"/>
    <w:rsid w:val="00B12832"/>
    <w:rsid w:val="00B17100"/>
    <w:rsid w:val="00B302E5"/>
    <w:rsid w:val="00B31FD5"/>
    <w:rsid w:val="00B332D9"/>
    <w:rsid w:val="00B33D54"/>
    <w:rsid w:val="00B33EAA"/>
    <w:rsid w:val="00B44456"/>
    <w:rsid w:val="00B45384"/>
    <w:rsid w:val="00B52FB5"/>
    <w:rsid w:val="00B623C1"/>
    <w:rsid w:val="00B64645"/>
    <w:rsid w:val="00B65E51"/>
    <w:rsid w:val="00B661F8"/>
    <w:rsid w:val="00B70E35"/>
    <w:rsid w:val="00B73E0F"/>
    <w:rsid w:val="00B74383"/>
    <w:rsid w:val="00B746DA"/>
    <w:rsid w:val="00B76646"/>
    <w:rsid w:val="00B77DDC"/>
    <w:rsid w:val="00B77F8E"/>
    <w:rsid w:val="00B82B31"/>
    <w:rsid w:val="00B8619B"/>
    <w:rsid w:val="00BA20A3"/>
    <w:rsid w:val="00BA3832"/>
    <w:rsid w:val="00BA678B"/>
    <w:rsid w:val="00BA73F9"/>
    <w:rsid w:val="00BA7B38"/>
    <w:rsid w:val="00BB003D"/>
    <w:rsid w:val="00BB0949"/>
    <w:rsid w:val="00BB0B90"/>
    <w:rsid w:val="00BB0E4D"/>
    <w:rsid w:val="00BB1A55"/>
    <w:rsid w:val="00BB3116"/>
    <w:rsid w:val="00BB54AC"/>
    <w:rsid w:val="00BB6482"/>
    <w:rsid w:val="00BB6CF4"/>
    <w:rsid w:val="00BC0FEF"/>
    <w:rsid w:val="00BC5095"/>
    <w:rsid w:val="00BD0E87"/>
    <w:rsid w:val="00BD0FA2"/>
    <w:rsid w:val="00BD2589"/>
    <w:rsid w:val="00BD2A21"/>
    <w:rsid w:val="00BD6B99"/>
    <w:rsid w:val="00BF0408"/>
    <w:rsid w:val="00BF1025"/>
    <w:rsid w:val="00BF2082"/>
    <w:rsid w:val="00C03CBD"/>
    <w:rsid w:val="00C047B6"/>
    <w:rsid w:val="00C05CF1"/>
    <w:rsid w:val="00C05FAA"/>
    <w:rsid w:val="00C06B80"/>
    <w:rsid w:val="00C11CFA"/>
    <w:rsid w:val="00C12231"/>
    <w:rsid w:val="00C12CC5"/>
    <w:rsid w:val="00C1303D"/>
    <w:rsid w:val="00C154A4"/>
    <w:rsid w:val="00C1605C"/>
    <w:rsid w:val="00C17196"/>
    <w:rsid w:val="00C21383"/>
    <w:rsid w:val="00C236FB"/>
    <w:rsid w:val="00C260EC"/>
    <w:rsid w:val="00C370D0"/>
    <w:rsid w:val="00C37B7E"/>
    <w:rsid w:val="00C40E3D"/>
    <w:rsid w:val="00C41997"/>
    <w:rsid w:val="00C439E6"/>
    <w:rsid w:val="00C45804"/>
    <w:rsid w:val="00C46630"/>
    <w:rsid w:val="00C5111E"/>
    <w:rsid w:val="00C520A2"/>
    <w:rsid w:val="00C533E8"/>
    <w:rsid w:val="00C53C00"/>
    <w:rsid w:val="00C576D1"/>
    <w:rsid w:val="00C60C52"/>
    <w:rsid w:val="00C67ABA"/>
    <w:rsid w:val="00C701B1"/>
    <w:rsid w:val="00C708A5"/>
    <w:rsid w:val="00C73721"/>
    <w:rsid w:val="00C75BEC"/>
    <w:rsid w:val="00C77963"/>
    <w:rsid w:val="00C802B6"/>
    <w:rsid w:val="00C80AC5"/>
    <w:rsid w:val="00C91E5B"/>
    <w:rsid w:val="00C91E64"/>
    <w:rsid w:val="00C923B5"/>
    <w:rsid w:val="00C95DC3"/>
    <w:rsid w:val="00CA0E25"/>
    <w:rsid w:val="00CA19E2"/>
    <w:rsid w:val="00CA3BB7"/>
    <w:rsid w:val="00CA6069"/>
    <w:rsid w:val="00CA7FCC"/>
    <w:rsid w:val="00CB1470"/>
    <w:rsid w:val="00CB2C66"/>
    <w:rsid w:val="00CC25CD"/>
    <w:rsid w:val="00CC5102"/>
    <w:rsid w:val="00CD1B47"/>
    <w:rsid w:val="00CD4715"/>
    <w:rsid w:val="00CD4F24"/>
    <w:rsid w:val="00CD78AE"/>
    <w:rsid w:val="00CD7DC0"/>
    <w:rsid w:val="00CE101E"/>
    <w:rsid w:val="00CE10A4"/>
    <w:rsid w:val="00CE6B3D"/>
    <w:rsid w:val="00CF1A7D"/>
    <w:rsid w:val="00CF36DA"/>
    <w:rsid w:val="00CF474A"/>
    <w:rsid w:val="00CF4AEC"/>
    <w:rsid w:val="00CF5034"/>
    <w:rsid w:val="00D02F29"/>
    <w:rsid w:val="00D0323C"/>
    <w:rsid w:val="00D03AA3"/>
    <w:rsid w:val="00D03ED9"/>
    <w:rsid w:val="00D0401C"/>
    <w:rsid w:val="00D069B7"/>
    <w:rsid w:val="00D1254B"/>
    <w:rsid w:val="00D13707"/>
    <w:rsid w:val="00D1576B"/>
    <w:rsid w:val="00D15C35"/>
    <w:rsid w:val="00D16122"/>
    <w:rsid w:val="00D1642E"/>
    <w:rsid w:val="00D170FB"/>
    <w:rsid w:val="00D20488"/>
    <w:rsid w:val="00D20BD4"/>
    <w:rsid w:val="00D23015"/>
    <w:rsid w:val="00D25D52"/>
    <w:rsid w:val="00D27415"/>
    <w:rsid w:val="00D27E65"/>
    <w:rsid w:val="00D32E03"/>
    <w:rsid w:val="00D33955"/>
    <w:rsid w:val="00D375DA"/>
    <w:rsid w:val="00D40ED8"/>
    <w:rsid w:val="00D457AA"/>
    <w:rsid w:val="00D45B1E"/>
    <w:rsid w:val="00D47F37"/>
    <w:rsid w:val="00D5008F"/>
    <w:rsid w:val="00D565C2"/>
    <w:rsid w:val="00D60864"/>
    <w:rsid w:val="00D621E5"/>
    <w:rsid w:val="00D63899"/>
    <w:rsid w:val="00D74F73"/>
    <w:rsid w:val="00D75605"/>
    <w:rsid w:val="00D761EA"/>
    <w:rsid w:val="00D76839"/>
    <w:rsid w:val="00D804E0"/>
    <w:rsid w:val="00D805C8"/>
    <w:rsid w:val="00D82AE5"/>
    <w:rsid w:val="00D83520"/>
    <w:rsid w:val="00D84168"/>
    <w:rsid w:val="00D84439"/>
    <w:rsid w:val="00D848FE"/>
    <w:rsid w:val="00D84E61"/>
    <w:rsid w:val="00D901B2"/>
    <w:rsid w:val="00D91D19"/>
    <w:rsid w:val="00D944A4"/>
    <w:rsid w:val="00D97A9E"/>
    <w:rsid w:val="00DA2C55"/>
    <w:rsid w:val="00DB5BA9"/>
    <w:rsid w:val="00DC4302"/>
    <w:rsid w:val="00DC4BC9"/>
    <w:rsid w:val="00DD103D"/>
    <w:rsid w:val="00DD198E"/>
    <w:rsid w:val="00DD1B01"/>
    <w:rsid w:val="00DD719D"/>
    <w:rsid w:val="00DE219E"/>
    <w:rsid w:val="00DE705E"/>
    <w:rsid w:val="00DE7A67"/>
    <w:rsid w:val="00DF4833"/>
    <w:rsid w:val="00DF72BD"/>
    <w:rsid w:val="00E04274"/>
    <w:rsid w:val="00E05FF8"/>
    <w:rsid w:val="00E0640C"/>
    <w:rsid w:val="00E07174"/>
    <w:rsid w:val="00E11464"/>
    <w:rsid w:val="00E145BF"/>
    <w:rsid w:val="00E14E3F"/>
    <w:rsid w:val="00E15793"/>
    <w:rsid w:val="00E246FD"/>
    <w:rsid w:val="00E250DD"/>
    <w:rsid w:val="00E328B1"/>
    <w:rsid w:val="00E33B4F"/>
    <w:rsid w:val="00E33FB7"/>
    <w:rsid w:val="00E35B6C"/>
    <w:rsid w:val="00E40905"/>
    <w:rsid w:val="00E4342B"/>
    <w:rsid w:val="00E448D3"/>
    <w:rsid w:val="00E456C7"/>
    <w:rsid w:val="00E460D6"/>
    <w:rsid w:val="00E465C5"/>
    <w:rsid w:val="00E5202A"/>
    <w:rsid w:val="00E533E1"/>
    <w:rsid w:val="00E621F9"/>
    <w:rsid w:val="00E62A17"/>
    <w:rsid w:val="00E656D0"/>
    <w:rsid w:val="00E67CE2"/>
    <w:rsid w:val="00E714EB"/>
    <w:rsid w:val="00E76FCE"/>
    <w:rsid w:val="00E80148"/>
    <w:rsid w:val="00E812A0"/>
    <w:rsid w:val="00E84601"/>
    <w:rsid w:val="00E84736"/>
    <w:rsid w:val="00E849AF"/>
    <w:rsid w:val="00E9248B"/>
    <w:rsid w:val="00E92818"/>
    <w:rsid w:val="00E96452"/>
    <w:rsid w:val="00E97546"/>
    <w:rsid w:val="00EA29AA"/>
    <w:rsid w:val="00EA38CF"/>
    <w:rsid w:val="00EA7A6B"/>
    <w:rsid w:val="00EB0A7E"/>
    <w:rsid w:val="00EB449B"/>
    <w:rsid w:val="00EC45B4"/>
    <w:rsid w:val="00EC4C72"/>
    <w:rsid w:val="00EC612E"/>
    <w:rsid w:val="00EC6A5B"/>
    <w:rsid w:val="00ED0D1B"/>
    <w:rsid w:val="00ED1185"/>
    <w:rsid w:val="00ED3F3F"/>
    <w:rsid w:val="00EE2A8D"/>
    <w:rsid w:val="00EF223E"/>
    <w:rsid w:val="00EF3704"/>
    <w:rsid w:val="00EF3C9D"/>
    <w:rsid w:val="00F00739"/>
    <w:rsid w:val="00F02D27"/>
    <w:rsid w:val="00F10090"/>
    <w:rsid w:val="00F12690"/>
    <w:rsid w:val="00F1567D"/>
    <w:rsid w:val="00F16DD6"/>
    <w:rsid w:val="00F1778D"/>
    <w:rsid w:val="00F20AD4"/>
    <w:rsid w:val="00F23F44"/>
    <w:rsid w:val="00F26ACF"/>
    <w:rsid w:val="00F31BC2"/>
    <w:rsid w:val="00F3241A"/>
    <w:rsid w:val="00F348C1"/>
    <w:rsid w:val="00F349A5"/>
    <w:rsid w:val="00F35D7E"/>
    <w:rsid w:val="00F363CA"/>
    <w:rsid w:val="00F36D21"/>
    <w:rsid w:val="00F37D85"/>
    <w:rsid w:val="00F40DEA"/>
    <w:rsid w:val="00F4115A"/>
    <w:rsid w:val="00F41AD4"/>
    <w:rsid w:val="00F44174"/>
    <w:rsid w:val="00F462B6"/>
    <w:rsid w:val="00F5033B"/>
    <w:rsid w:val="00F50D34"/>
    <w:rsid w:val="00F51D87"/>
    <w:rsid w:val="00F5433B"/>
    <w:rsid w:val="00F612F4"/>
    <w:rsid w:val="00F615C5"/>
    <w:rsid w:val="00F6313E"/>
    <w:rsid w:val="00F652A6"/>
    <w:rsid w:val="00F66E23"/>
    <w:rsid w:val="00F67AB3"/>
    <w:rsid w:val="00F70A78"/>
    <w:rsid w:val="00F72CDD"/>
    <w:rsid w:val="00F74663"/>
    <w:rsid w:val="00F76122"/>
    <w:rsid w:val="00F76805"/>
    <w:rsid w:val="00F76BBB"/>
    <w:rsid w:val="00F81FF4"/>
    <w:rsid w:val="00F85382"/>
    <w:rsid w:val="00F87E72"/>
    <w:rsid w:val="00F913BF"/>
    <w:rsid w:val="00F93860"/>
    <w:rsid w:val="00F952C5"/>
    <w:rsid w:val="00F954D1"/>
    <w:rsid w:val="00FA0E5F"/>
    <w:rsid w:val="00FA3503"/>
    <w:rsid w:val="00FA5F19"/>
    <w:rsid w:val="00FA79CF"/>
    <w:rsid w:val="00FA7A3B"/>
    <w:rsid w:val="00FB0F40"/>
    <w:rsid w:val="00FB1247"/>
    <w:rsid w:val="00FB71C8"/>
    <w:rsid w:val="00FB72CC"/>
    <w:rsid w:val="00FB73DC"/>
    <w:rsid w:val="00FB7522"/>
    <w:rsid w:val="00FC5282"/>
    <w:rsid w:val="00FD0097"/>
    <w:rsid w:val="00FD2388"/>
    <w:rsid w:val="00FD3177"/>
    <w:rsid w:val="00FD40D3"/>
    <w:rsid w:val="00FD70CD"/>
    <w:rsid w:val="00FD7BB5"/>
    <w:rsid w:val="00FE0171"/>
    <w:rsid w:val="00FE0416"/>
    <w:rsid w:val="00FE0649"/>
    <w:rsid w:val="00FE1A1D"/>
    <w:rsid w:val="00FE5450"/>
    <w:rsid w:val="00FE7BE4"/>
    <w:rsid w:val="00FF4941"/>
    <w:rsid w:val="06E13B6E"/>
    <w:rsid w:val="0E9C09EC"/>
    <w:rsid w:val="143F42F3"/>
    <w:rsid w:val="14A81E98"/>
    <w:rsid w:val="19355CC5"/>
    <w:rsid w:val="1D750D86"/>
    <w:rsid w:val="24DB3BC4"/>
    <w:rsid w:val="268B33C8"/>
    <w:rsid w:val="28292E99"/>
    <w:rsid w:val="294E0370"/>
    <w:rsid w:val="2D306A77"/>
    <w:rsid w:val="2DCC67A0"/>
    <w:rsid w:val="2F470DDE"/>
    <w:rsid w:val="3AD60748"/>
    <w:rsid w:val="454A2974"/>
    <w:rsid w:val="531F2CF6"/>
    <w:rsid w:val="60555CAB"/>
    <w:rsid w:val="63C4349A"/>
    <w:rsid w:val="6A48582F"/>
    <w:rsid w:val="6E7F693B"/>
    <w:rsid w:val="75616D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9"/>
    <w:pPr>
      <w:keepNext/>
      <w:keepLines/>
      <w:spacing w:before="340" w:after="330" w:line="578" w:lineRule="auto"/>
      <w:ind w:firstLine="200" w:firstLineChars="200"/>
      <w:outlineLvl w:val="0"/>
    </w:pPr>
    <w:rPr>
      <w:rFonts w:ascii="Calibri" w:hAnsi="Calibri"/>
      <w:b/>
      <w:bCs/>
      <w:kern w:val="44"/>
      <w:sz w:val="44"/>
      <w:szCs w:val="44"/>
    </w:rPr>
  </w:style>
  <w:style w:type="paragraph" w:styleId="3">
    <w:name w:val="heading 2"/>
    <w:basedOn w:val="1"/>
    <w:next w:val="1"/>
    <w:link w:val="25"/>
    <w:qFormat/>
    <w:uiPriority w:val="99"/>
    <w:pPr>
      <w:keepNext/>
      <w:keepLines/>
      <w:spacing w:before="260" w:after="260" w:line="416" w:lineRule="auto"/>
      <w:ind w:firstLine="200" w:firstLineChars="200"/>
      <w:outlineLvl w:val="1"/>
    </w:pPr>
    <w:rPr>
      <w:rFonts w:ascii="Cambria" w:hAnsi="Cambria" w:cstheme="majorBidi"/>
      <w:b/>
      <w:bCs/>
      <w:sz w:val="32"/>
      <w:szCs w:val="32"/>
    </w:rPr>
  </w:style>
  <w:style w:type="paragraph" w:styleId="4">
    <w:name w:val="heading 3"/>
    <w:basedOn w:val="1"/>
    <w:next w:val="1"/>
    <w:link w:val="26"/>
    <w:qFormat/>
    <w:uiPriority w:val="99"/>
    <w:pPr>
      <w:keepNext/>
      <w:keepLines/>
      <w:spacing w:before="260" w:after="260" w:line="416" w:lineRule="auto"/>
      <w:ind w:firstLine="200" w:firstLineChars="200"/>
      <w:outlineLvl w:val="2"/>
    </w:pPr>
    <w:rPr>
      <w:rFonts w:ascii="Calibri" w:hAnsi="Calibri"/>
      <w:b/>
      <w:bCs/>
      <w:sz w:val="32"/>
      <w:szCs w:val="32"/>
    </w:rPr>
  </w:style>
  <w:style w:type="paragraph" w:styleId="5">
    <w:name w:val="heading 4"/>
    <w:basedOn w:val="1"/>
    <w:next w:val="1"/>
    <w:link w:val="27"/>
    <w:qFormat/>
    <w:uiPriority w:val="99"/>
    <w:pPr>
      <w:keepNext/>
      <w:keepLines/>
      <w:spacing w:before="280" w:after="290" w:line="376" w:lineRule="auto"/>
      <w:ind w:firstLine="200" w:firstLineChars="200"/>
      <w:outlineLvl w:val="3"/>
    </w:pPr>
    <w:rPr>
      <w:rFonts w:ascii="Cambria" w:hAnsi="Cambria" w:cstheme="majorBidi"/>
      <w:b/>
      <w:bCs/>
      <w:sz w:val="28"/>
      <w:szCs w:val="28"/>
    </w:rPr>
  </w:style>
  <w:style w:type="paragraph" w:styleId="6">
    <w:name w:val="heading 5"/>
    <w:basedOn w:val="1"/>
    <w:next w:val="1"/>
    <w:link w:val="28"/>
    <w:qFormat/>
    <w:uiPriority w:val="99"/>
    <w:pPr>
      <w:keepNext/>
      <w:keepLines/>
      <w:spacing w:before="280" w:after="290" w:line="376" w:lineRule="auto"/>
      <w:ind w:firstLine="200" w:firstLineChars="200"/>
      <w:outlineLvl w:val="4"/>
    </w:pPr>
    <w:rPr>
      <w:rFonts w:ascii="Calibri" w:hAnsi="Calibri"/>
      <w:b/>
      <w:bCs/>
      <w:sz w:val="28"/>
      <w:szCs w:val="28"/>
    </w:rPr>
  </w:style>
  <w:style w:type="paragraph" w:styleId="7">
    <w:name w:val="heading 6"/>
    <w:basedOn w:val="1"/>
    <w:next w:val="1"/>
    <w:link w:val="29"/>
    <w:qFormat/>
    <w:uiPriority w:val="99"/>
    <w:pPr>
      <w:keepNext/>
      <w:keepLines/>
      <w:spacing w:before="240" w:after="64" w:line="320" w:lineRule="auto"/>
      <w:ind w:firstLine="200" w:firstLineChars="200"/>
      <w:outlineLvl w:val="5"/>
    </w:pPr>
    <w:rPr>
      <w:rFonts w:ascii="Cambria" w:hAnsi="Cambria" w:cstheme="majorBidi"/>
      <w:b/>
      <w:bCs/>
      <w:sz w:val="24"/>
    </w:rPr>
  </w:style>
  <w:style w:type="paragraph" w:styleId="8">
    <w:name w:val="heading 7"/>
    <w:basedOn w:val="1"/>
    <w:next w:val="1"/>
    <w:link w:val="30"/>
    <w:qFormat/>
    <w:uiPriority w:val="99"/>
    <w:pPr>
      <w:keepNext/>
      <w:keepLines/>
      <w:spacing w:before="240" w:after="64" w:line="320" w:lineRule="auto"/>
      <w:ind w:firstLine="200" w:firstLineChars="200"/>
      <w:outlineLvl w:val="6"/>
    </w:pPr>
    <w:rPr>
      <w:rFonts w:ascii="Calibri" w:hAnsi="Calibri"/>
      <w:b/>
      <w:bCs/>
      <w:sz w:val="24"/>
    </w:rPr>
  </w:style>
  <w:style w:type="paragraph" w:styleId="9">
    <w:name w:val="heading 8"/>
    <w:basedOn w:val="1"/>
    <w:next w:val="1"/>
    <w:link w:val="31"/>
    <w:qFormat/>
    <w:uiPriority w:val="99"/>
    <w:pPr>
      <w:keepNext/>
      <w:keepLines/>
      <w:spacing w:before="240" w:after="64" w:line="320" w:lineRule="auto"/>
      <w:ind w:firstLine="200" w:firstLineChars="200"/>
      <w:outlineLvl w:val="7"/>
    </w:pPr>
    <w:rPr>
      <w:rFonts w:ascii="Cambria" w:hAnsi="Cambria" w:cstheme="majorBidi"/>
      <w:sz w:val="24"/>
    </w:rPr>
  </w:style>
  <w:style w:type="paragraph" w:styleId="10">
    <w:name w:val="heading 9"/>
    <w:basedOn w:val="1"/>
    <w:next w:val="1"/>
    <w:link w:val="32"/>
    <w:qFormat/>
    <w:uiPriority w:val="99"/>
    <w:pPr>
      <w:keepNext/>
      <w:keepLines/>
      <w:spacing w:before="240" w:after="64" w:line="320" w:lineRule="auto"/>
      <w:ind w:firstLine="200" w:firstLineChars="200"/>
      <w:outlineLvl w:val="8"/>
    </w:pPr>
    <w:rPr>
      <w:rFonts w:ascii="Cambria" w:hAnsi="Cambria" w:cstheme="majorBidi"/>
      <w:szCs w:val="21"/>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caption"/>
    <w:basedOn w:val="1"/>
    <w:next w:val="1"/>
    <w:qFormat/>
    <w:uiPriority w:val="99"/>
    <w:rPr>
      <w:rFonts w:ascii="Cambria" w:hAnsi="Cambria" w:eastAsia="黑体" w:cstheme="majorBidi"/>
      <w:sz w:val="20"/>
      <w:szCs w:val="20"/>
    </w:rPr>
  </w:style>
  <w:style w:type="paragraph" w:styleId="12">
    <w:name w:val="Balloon Text"/>
    <w:basedOn w:val="1"/>
    <w:link w:val="50"/>
    <w:semiHidden/>
    <w:unhideWhenUsed/>
    <w:uiPriority w:val="99"/>
    <w:rPr>
      <w:sz w:val="18"/>
      <w:szCs w:val="18"/>
    </w:rPr>
  </w:style>
  <w:style w:type="paragraph" w:styleId="13">
    <w:name w:val="footer"/>
    <w:basedOn w:val="1"/>
    <w:link w:val="49"/>
    <w:unhideWhenUsed/>
    <w:uiPriority w:val="99"/>
    <w:pPr>
      <w:tabs>
        <w:tab w:val="center" w:pos="4153"/>
        <w:tab w:val="right" w:pos="8306"/>
      </w:tabs>
      <w:snapToGrid w:val="0"/>
      <w:jc w:val="left"/>
    </w:pPr>
    <w:rPr>
      <w:sz w:val="18"/>
      <w:szCs w:val="18"/>
    </w:rPr>
  </w:style>
  <w:style w:type="paragraph" w:styleId="14">
    <w:name w:val="header"/>
    <w:basedOn w:val="1"/>
    <w:link w:val="48"/>
    <w:unhideWhenUsed/>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4"/>
    <w:qFormat/>
    <w:uiPriority w:val="99"/>
    <w:pPr>
      <w:spacing w:before="240" w:after="60" w:line="312" w:lineRule="auto"/>
      <w:ind w:firstLine="200" w:firstLineChars="200"/>
      <w:jc w:val="center"/>
      <w:outlineLvl w:val="1"/>
    </w:pPr>
    <w:rPr>
      <w:rFonts w:ascii="Cambria" w:hAnsi="Cambria" w:cstheme="majorBidi"/>
      <w:b/>
      <w:bCs/>
      <w:kern w:val="28"/>
      <w:sz w:val="32"/>
      <w:szCs w:val="32"/>
    </w:rPr>
  </w:style>
  <w:style w:type="paragraph" w:styleId="16">
    <w:name w:val="HTML Preformatted"/>
    <w:basedOn w:val="1"/>
    <w:link w:val="51"/>
    <w:semiHidden/>
    <w:unhideWhenUsed/>
    <w:uiPriority w:val="99"/>
    <w:rPr>
      <w:rFonts w:ascii="Courier New" w:hAnsi="Courier New" w:cs="Courier New"/>
      <w:sz w:val="20"/>
      <w:szCs w:val="20"/>
    </w:rPr>
  </w:style>
  <w:style w:type="paragraph" w:styleId="17">
    <w:name w:val="Normal (Web)"/>
    <w:basedOn w:val="1"/>
    <w:semiHidden/>
    <w:unhideWhenUsed/>
    <w:uiPriority w:val="99"/>
    <w:rPr>
      <w:sz w:val="24"/>
    </w:rPr>
  </w:style>
  <w:style w:type="paragraph" w:styleId="18">
    <w:name w:val="Title"/>
    <w:basedOn w:val="1"/>
    <w:next w:val="1"/>
    <w:link w:val="33"/>
    <w:qFormat/>
    <w:uiPriority w:val="99"/>
    <w:pPr>
      <w:spacing w:before="240" w:after="60" w:line="360" w:lineRule="auto"/>
      <w:ind w:firstLine="200" w:firstLineChars="200"/>
      <w:jc w:val="center"/>
      <w:outlineLvl w:val="0"/>
    </w:pPr>
    <w:rPr>
      <w:rFonts w:ascii="Cambria" w:hAnsi="Cambria" w:cstheme="majorBidi"/>
      <w:b/>
      <w:bCs/>
      <w:sz w:val="32"/>
      <w:szCs w:val="32"/>
    </w:rPr>
  </w:style>
  <w:style w:type="table" w:styleId="20">
    <w:name w:val="Table Grid"/>
    <w:basedOn w:val="19"/>
    <w:qFormat/>
    <w:uiPriority w:val="0"/>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99"/>
    <w:rPr>
      <w:rFonts w:cs="Times New Roman"/>
      <w:b/>
    </w:rPr>
  </w:style>
  <w:style w:type="character" w:styleId="23">
    <w:name w:val="Emphasis"/>
    <w:basedOn w:val="21"/>
    <w:qFormat/>
    <w:uiPriority w:val="99"/>
    <w:rPr>
      <w:rFonts w:cs="Times New Roman"/>
      <w:i/>
    </w:rPr>
  </w:style>
  <w:style w:type="character" w:customStyle="1" w:styleId="24">
    <w:name w:val="标题 1 字符"/>
    <w:basedOn w:val="21"/>
    <w:link w:val="2"/>
    <w:uiPriority w:val="99"/>
    <w:rPr>
      <w:rFonts w:cs="Times New Roman"/>
      <w:b/>
      <w:bCs/>
      <w:kern w:val="44"/>
      <w:sz w:val="44"/>
      <w:szCs w:val="44"/>
    </w:rPr>
  </w:style>
  <w:style w:type="character" w:customStyle="1" w:styleId="25">
    <w:name w:val="标题 2 字符"/>
    <w:basedOn w:val="21"/>
    <w:link w:val="3"/>
    <w:qFormat/>
    <w:uiPriority w:val="99"/>
    <w:rPr>
      <w:rFonts w:ascii="Cambria" w:hAnsi="Cambria" w:cstheme="majorBidi"/>
      <w:b/>
      <w:bCs/>
      <w:sz w:val="32"/>
      <w:szCs w:val="32"/>
    </w:rPr>
  </w:style>
  <w:style w:type="character" w:customStyle="1" w:styleId="26">
    <w:name w:val="标题 3 字符"/>
    <w:basedOn w:val="21"/>
    <w:link w:val="4"/>
    <w:qFormat/>
    <w:uiPriority w:val="99"/>
    <w:rPr>
      <w:rFonts w:cs="Times New Roman"/>
      <w:b/>
      <w:bCs/>
      <w:sz w:val="32"/>
      <w:szCs w:val="32"/>
    </w:rPr>
  </w:style>
  <w:style w:type="character" w:customStyle="1" w:styleId="27">
    <w:name w:val="标题 4 字符"/>
    <w:basedOn w:val="21"/>
    <w:link w:val="5"/>
    <w:qFormat/>
    <w:uiPriority w:val="99"/>
    <w:rPr>
      <w:rFonts w:ascii="Cambria" w:hAnsi="Cambria" w:cstheme="majorBidi"/>
      <w:b/>
      <w:bCs/>
      <w:sz w:val="28"/>
      <w:szCs w:val="28"/>
    </w:rPr>
  </w:style>
  <w:style w:type="character" w:customStyle="1" w:styleId="28">
    <w:name w:val="标题 5 字符"/>
    <w:basedOn w:val="21"/>
    <w:link w:val="6"/>
    <w:qFormat/>
    <w:uiPriority w:val="99"/>
    <w:rPr>
      <w:rFonts w:cs="Times New Roman"/>
      <w:b/>
      <w:bCs/>
      <w:sz w:val="28"/>
      <w:szCs w:val="28"/>
    </w:rPr>
  </w:style>
  <w:style w:type="character" w:customStyle="1" w:styleId="29">
    <w:name w:val="标题 6 字符"/>
    <w:basedOn w:val="21"/>
    <w:link w:val="7"/>
    <w:uiPriority w:val="99"/>
    <w:rPr>
      <w:rFonts w:ascii="Cambria" w:hAnsi="Cambria" w:cstheme="majorBidi"/>
      <w:b/>
      <w:bCs/>
      <w:sz w:val="24"/>
      <w:szCs w:val="24"/>
    </w:rPr>
  </w:style>
  <w:style w:type="character" w:customStyle="1" w:styleId="30">
    <w:name w:val="标题 7 字符"/>
    <w:basedOn w:val="21"/>
    <w:link w:val="8"/>
    <w:uiPriority w:val="99"/>
    <w:rPr>
      <w:rFonts w:cs="Times New Roman"/>
      <w:b/>
      <w:bCs/>
      <w:sz w:val="24"/>
      <w:szCs w:val="24"/>
    </w:rPr>
  </w:style>
  <w:style w:type="character" w:customStyle="1" w:styleId="31">
    <w:name w:val="标题 8 字符"/>
    <w:basedOn w:val="21"/>
    <w:link w:val="9"/>
    <w:uiPriority w:val="99"/>
    <w:rPr>
      <w:rFonts w:ascii="Cambria" w:hAnsi="Cambria" w:cstheme="majorBidi"/>
      <w:sz w:val="24"/>
      <w:szCs w:val="24"/>
    </w:rPr>
  </w:style>
  <w:style w:type="character" w:customStyle="1" w:styleId="32">
    <w:name w:val="标题 9 字符"/>
    <w:basedOn w:val="21"/>
    <w:link w:val="10"/>
    <w:uiPriority w:val="99"/>
    <w:rPr>
      <w:rFonts w:ascii="Cambria" w:hAnsi="Cambria" w:cstheme="majorBidi"/>
      <w:szCs w:val="21"/>
    </w:rPr>
  </w:style>
  <w:style w:type="character" w:customStyle="1" w:styleId="33">
    <w:name w:val="标题 字符"/>
    <w:basedOn w:val="21"/>
    <w:link w:val="18"/>
    <w:uiPriority w:val="99"/>
    <w:rPr>
      <w:rFonts w:ascii="Cambria" w:hAnsi="Cambria" w:cstheme="majorBidi"/>
      <w:b/>
      <w:bCs/>
      <w:sz w:val="32"/>
      <w:szCs w:val="32"/>
    </w:rPr>
  </w:style>
  <w:style w:type="character" w:customStyle="1" w:styleId="34">
    <w:name w:val="副标题 字符"/>
    <w:basedOn w:val="21"/>
    <w:link w:val="15"/>
    <w:qFormat/>
    <w:uiPriority w:val="99"/>
    <w:rPr>
      <w:rFonts w:ascii="Cambria" w:hAnsi="Cambria" w:cstheme="majorBidi"/>
      <w:b/>
      <w:bCs/>
      <w:kern w:val="28"/>
      <w:sz w:val="32"/>
      <w:szCs w:val="32"/>
    </w:rPr>
  </w:style>
  <w:style w:type="paragraph" w:styleId="35">
    <w:name w:val="No Spacing"/>
    <w:basedOn w:val="1"/>
    <w:link w:val="36"/>
    <w:qFormat/>
    <w:uiPriority w:val="99"/>
    <w:pPr>
      <w:ind w:firstLine="200" w:firstLineChars="200"/>
    </w:pPr>
    <w:rPr>
      <w:rFonts w:ascii="Calibri" w:hAnsi="Calibri"/>
      <w:szCs w:val="22"/>
    </w:rPr>
  </w:style>
  <w:style w:type="character" w:customStyle="1" w:styleId="36">
    <w:name w:val="无间隔 字符"/>
    <w:basedOn w:val="21"/>
    <w:link w:val="35"/>
    <w:uiPriority w:val="99"/>
    <w:rPr>
      <w:rFonts w:cs="Times New Roman"/>
    </w:rPr>
  </w:style>
  <w:style w:type="paragraph" w:styleId="37">
    <w:name w:val="List Paragraph"/>
    <w:basedOn w:val="1"/>
    <w:qFormat/>
    <w:uiPriority w:val="99"/>
    <w:pPr>
      <w:spacing w:line="360" w:lineRule="auto"/>
      <w:ind w:firstLine="420" w:firstLineChars="200"/>
    </w:pPr>
    <w:rPr>
      <w:rFonts w:ascii="Calibri" w:hAnsi="Calibri"/>
      <w:szCs w:val="22"/>
    </w:rPr>
  </w:style>
  <w:style w:type="paragraph" w:styleId="38">
    <w:name w:val="Quote"/>
    <w:basedOn w:val="1"/>
    <w:next w:val="1"/>
    <w:link w:val="39"/>
    <w:qFormat/>
    <w:uiPriority w:val="99"/>
    <w:pPr>
      <w:spacing w:line="360" w:lineRule="auto"/>
      <w:ind w:firstLine="200" w:firstLineChars="200"/>
    </w:pPr>
    <w:rPr>
      <w:rFonts w:ascii="Calibri" w:hAnsi="Calibri"/>
      <w:i/>
      <w:iCs/>
      <w:color w:val="000000"/>
      <w:szCs w:val="22"/>
    </w:rPr>
  </w:style>
  <w:style w:type="character" w:customStyle="1" w:styleId="39">
    <w:name w:val="引用 字符"/>
    <w:basedOn w:val="21"/>
    <w:link w:val="38"/>
    <w:uiPriority w:val="99"/>
    <w:rPr>
      <w:rFonts w:cs="Times New Roman"/>
      <w:i/>
      <w:iCs/>
      <w:color w:val="000000"/>
    </w:rPr>
  </w:style>
  <w:style w:type="paragraph" w:styleId="40">
    <w:name w:val="Intense Quote"/>
    <w:basedOn w:val="1"/>
    <w:next w:val="1"/>
    <w:link w:val="41"/>
    <w:qFormat/>
    <w:uiPriority w:val="99"/>
    <w:pPr>
      <w:pBdr>
        <w:bottom w:val="single" w:color="4F81BD" w:sz="4" w:space="4"/>
      </w:pBdr>
      <w:spacing w:before="200" w:after="280" w:line="360" w:lineRule="auto"/>
      <w:ind w:left="936" w:right="936" w:firstLine="200" w:firstLineChars="200"/>
    </w:pPr>
    <w:rPr>
      <w:rFonts w:ascii="Calibri" w:hAnsi="Calibri"/>
      <w:b/>
      <w:bCs/>
      <w:i/>
      <w:iCs/>
      <w:color w:val="4F81BD"/>
      <w:szCs w:val="22"/>
    </w:rPr>
  </w:style>
  <w:style w:type="character" w:customStyle="1" w:styleId="41">
    <w:name w:val="明显引用 字符"/>
    <w:basedOn w:val="21"/>
    <w:link w:val="40"/>
    <w:uiPriority w:val="99"/>
    <w:rPr>
      <w:rFonts w:cs="Times New Roman"/>
      <w:b/>
      <w:bCs/>
      <w:i/>
      <w:iCs/>
      <w:color w:val="4F81BD"/>
    </w:rPr>
  </w:style>
  <w:style w:type="character" w:customStyle="1" w:styleId="42">
    <w:name w:val="Subtle Emphasis"/>
    <w:basedOn w:val="21"/>
    <w:qFormat/>
    <w:uiPriority w:val="99"/>
    <w:rPr>
      <w:i/>
      <w:color w:val="808080"/>
    </w:rPr>
  </w:style>
  <w:style w:type="character" w:customStyle="1" w:styleId="43">
    <w:name w:val="Intense Emphasis"/>
    <w:basedOn w:val="21"/>
    <w:qFormat/>
    <w:uiPriority w:val="99"/>
    <w:rPr>
      <w:b/>
      <w:i/>
      <w:color w:val="4F81BD"/>
    </w:rPr>
  </w:style>
  <w:style w:type="character" w:customStyle="1" w:styleId="44">
    <w:name w:val="Subtle Reference"/>
    <w:basedOn w:val="21"/>
    <w:qFormat/>
    <w:uiPriority w:val="99"/>
    <w:rPr>
      <w:smallCaps/>
      <w:color w:val="C0504D"/>
      <w:u w:val="single"/>
    </w:rPr>
  </w:style>
  <w:style w:type="character" w:customStyle="1" w:styleId="45">
    <w:name w:val="Intense Reference"/>
    <w:basedOn w:val="21"/>
    <w:qFormat/>
    <w:uiPriority w:val="99"/>
    <w:rPr>
      <w:b/>
      <w:smallCaps/>
      <w:color w:val="C0504D"/>
      <w:spacing w:val="5"/>
      <w:u w:val="single"/>
    </w:rPr>
  </w:style>
  <w:style w:type="character" w:customStyle="1" w:styleId="46">
    <w:name w:val="Book Title"/>
    <w:basedOn w:val="21"/>
    <w:qFormat/>
    <w:uiPriority w:val="99"/>
    <w:rPr>
      <w:b/>
      <w:smallCaps/>
      <w:spacing w:val="5"/>
    </w:rPr>
  </w:style>
  <w:style w:type="paragraph" w:customStyle="1" w:styleId="47">
    <w:name w:val="TOC Heading"/>
    <w:basedOn w:val="2"/>
    <w:next w:val="1"/>
    <w:qFormat/>
    <w:uiPriority w:val="99"/>
    <w:pPr>
      <w:outlineLvl w:val="9"/>
    </w:pPr>
  </w:style>
  <w:style w:type="character" w:customStyle="1" w:styleId="48">
    <w:name w:val="页眉 字符"/>
    <w:basedOn w:val="21"/>
    <w:link w:val="14"/>
    <w:uiPriority w:val="99"/>
    <w:rPr>
      <w:rFonts w:ascii="Times New Roman" w:hAnsi="Times New Roman"/>
      <w:sz w:val="18"/>
      <w:szCs w:val="18"/>
    </w:rPr>
  </w:style>
  <w:style w:type="character" w:customStyle="1" w:styleId="49">
    <w:name w:val="页脚 字符"/>
    <w:basedOn w:val="21"/>
    <w:link w:val="13"/>
    <w:uiPriority w:val="99"/>
    <w:rPr>
      <w:rFonts w:ascii="Times New Roman" w:hAnsi="Times New Roman"/>
      <w:sz w:val="18"/>
      <w:szCs w:val="18"/>
    </w:rPr>
  </w:style>
  <w:style w:type="character" w:customStyle="1" w:styleId="50">
    <w:name w:val="批注框文本 字符"/>
    <w:basedOn w:val="21"/>
    <w:link w:val="12"/>
    <w:semiHidden/>
    <w:uiPriority w:val="99"/>
    <w:rPr>
      <w:rFonts w:ascii="Times New Roman" w:hAnsi="Times New Roman"/>
      <w:sz w:val="18"/>
      <w:szCs w:val="18"/>
    </w:rPr>
  </w:style>
  <w:style w:type="character" w:customStyle="1" w:styleId="51">
    <w:name w:val="HTML 预设格式 字符"/>
    <w:basedOn w:val="21"/>
    <w:link w:val="16"/>
    <w:semiHidden/>
    <w:qFormat/>
    <w:uiPriority w:val="99"/>
    <w:rPr>
      <w:rFonts w:ascii="Courier New" w:hAnsi="Courier New" w:cs="Courier New"/>
      <w:sz w:val="20"/>
      <w:szCs w:val="20"/>
    </w:rPr>
  </w:style>
  <w:style w:type="paragraph" w:customStyle="1" w:styleId="52">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D9AB-FAA4-42EC-9B93-0CCF02161E0D}">
  <ds:schemaRefs/>
</ds:datastoreItem>
</file>

<file path=customXml/itemProps2.xml><?xml version="1.0" encoding="utf-8"?>
<ds:datastoreItem xmlns:ds="http://schemas.openxmlformats.org/officeDocument/2006/customXml" ds:itemID="{5FE493A2-4240-45FE-9256-696657608082}">
  <ds:schemaRefs/>
</ds:datastoreItem>
</file>

<file path=docProps/app.xml><?xml version="1.0" encoding="utf-8"?>
<Properties xmlns="http://schemas.openxmlformats.org/officeDocument/2006/extended-properties" xmlns:vt="http://schemas.openxmlformats.org/officeDocument/2006/docPropsVTypes">
  <Template>Normal</Template>
  <Company>yw</Company>
  <Pages>3</Pages>
  <Words>348</Words>
  <Characters>440</Characters>
  <Lines>18</Lines>
  <Paragraphs>5</Paragraphs>
  <TotalTime>34</TotalTime>
  <ScaleCrop>false</ScaleCrop>
  <LinksUpToDate>false</LinksUpToDate>
  <CharactersWithSpaces>556</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2024-12-02T07:13:00Z</dcterms:created>
  <dc:creator>cw</dc:creator>
  <cp:lastModifiedBy>Baluby</cp:lastModifiedBy>
  <cp:lastPrinted>2024-01-25T02:42:00Z</cp:lastPrinted>
  <dcterms:modified xsi:type="dcterms:W3CDTF">2025-09-12T07:10:08Z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FIDA_U9App_DataSourceXMLPart">
    <vt:lpwstr>{644FD9AB-FAA4-42EC-9B93-0CCF02161E0D}</vt:lpwstr>
  </property>
  <property fmtid="{D5CDD505-2E9C-101B-9397-08002B2CF9AE}" pid="3" name="KSOTemplateDocerSaveRecord">
    <vt:lpwstr>eyJoZGlkIjoiMDAxMzNjYTNhOTU0OGUxMThiMWVjMjMxODBlNmQxODUiLCJ1c2VySWQiOiIzODA0Mzc5NDEifQ==</vt:lpwstr>
  </property>
  <property fmtid="{D5CDD505-2E9C-101B-9397-08002B2CF9AE}" pid="4" name="KSOProductBuildVer">
    <vt:lpwstr>2052-12.1.0.22089</vt:lpwstr>
  </property>
  <property fmtid="{D5CDD505-2E9C-101B-9397-08002B2CF9AE}" pid="5" name="ICV">
    <vt:lpwstr>7119003E73C5464C8B0D9AD71A3039A6_13</vt:lpwstr>
  </property>
</Properties>
</file>