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BCE14">
      <w:pPr>
        <w:spacing w:before="156" w:beforeLines="50" w:after="156" w:afterLines="50" w:line="400" w:lineRule="exact"/>
        <w:rPr>
          <w:rFonts w:hint="eastAsia" w:ascii="宋体" w:hAnsi="宋体"/>
          <w:bCs/>
          <w:iCs/>
          <w:color w:val="000000"/>
          <w:sz w:val="24"/>
          <w:lang w:eastAsia="zh-Hans"/>
        </w:rPr>
      </w:pPr>
      <w:r>
        <w:rPr>
          <w:rFonts w:hint="eastAsia" w:ascii="宋体" w:hAnsi="宋体"/>
          <w:bCs/>
          <w:iCs/>
          <w:color w:val="000000"/>
          <w:sz w:val="24"/>
        </w:rPr>
        <w:t>证券代码：600</w:t>
      </w:r>
      <w:r>
        <w:rPr>
          <w:rFonts w:ascii="宋体" w:hAnsi="宋体"/>
          <w:bCs/>
          <w:iCs/>
          <w:color w:val="000000"/>
          <w:sz w:val="24"/>
        </w:rPr>
        <w:t>990</w:t>
      </w:r>
      <w:r>
        <w:rPr>
          <w:rFonts w:hint="eastAsia" w:ascii="宋体" w:hAnsi="宋体"/>
          <w:bCs/>
          <w:iCs/>
          <w:color w:val="000000"/>
          <w:sz w:val="24"/>
        </w:rPr>
        <w:t xml:space="preserve">                                  证券简称：</w:t>
      </w:r>
      <w:r>
        <w:rPr>
          <w:rFonts w:hint="eastAsia" w:ascii="宋体" w:hAnsi="宋体"/>
          <w:bCs/>
          <w:iCs/>
          <w:color w:val="000000"/>
          <w:sz w:val="24"/>
          <w:lang w:eastAsia="zh-Hans"/>
        </w:rPr>
        <w:t>四创电子</w:t>
      </w:r>
    </w:p>
    <w:p w14:paraId="0AA1B12D">
      <w:pPr>
        <w:spacing w:before="156" w:beforeLines="50" w:after="156" w:afterLines="50" w:line="400" w:lineRule="exact"/>
        <w:ind w:firstLine="720" w:firstLineChars="300"/>
        <w:rPr>
          <w:rFonts w:hint="eastAsia" w:ascii="宋体" w:hAnsi="宋体"/>
          <w:bCs/>
          <w:iCs/>
          <w:color w:val="000000"/>
          <w:sz w:val="24"/>
        </w:rPr>
      </w:pPr>
    </w:p>
    <w:p w14:paraId="531D70F7">
      <w:pPr>
        <w:spacing w:before="156" w:beforeLines="50" w:after="156" w:afterLines="50" w:line="400" w:lineRule="exact"/>
        <w:jc w:val="center"/>
        <w:rPr>
          <w:rFonts w:hint="eastAsia" w:ascii="宋体" w:hAnsi="宋体"/>
          <w:b/>
          <w:bCs/>
          <w:iCs/>
          <w:color w:val="000000"/>
          <w:sz w:val="32"/>
          <w:szCs w:val="32"/>
        </w:rPr>
      </w:pPr>
      <w:r>
        <w:rPr>
          <w:rFonts w:hint="eastAsia" w:ascii="宋体" w:hAnsi="宋体"/>
          <w:b/>
          <w:bCs/>
          <w:iCs/>
          <w:color w:val="000000"/>
          <w:sz w:val="32"/>
          <w:szCs w:val="32"/>
          <w:lang w:eastAsia="zh-Hans"/>
        </w:rPr>
        <w:t>四创电子</w:t>
      </w:r>
      <w:r>
        <w:rPr>
          <w:rFonts w:hint="eastAsia" w:ascii="宋体" w:hAnsi="宋体"/>
          <w:b/>
          <w:bCs/>
          <w:iCs/>
          <w:color w:val="000000"/>
          <w:sz w:val="32"/>
          <w:szCs w:val="32"/>
        </w:rPr>
        <w:t>股份有限公司投资者关系活动记录表</w:t>
      </w:r>
    </w:p>
    <w:p w14:paraId="71177AD9">
      <w:pPr>
        <w:spacing w:line="400" w:lineRule="exact"/>
        <w:ind w:right="-92" w:rightChars="-44"/>
        <w:rPr>
          <w:rFonts w:hint="eastAsia" w:ascii="宋体" w:hAnsi="宋体" w:eastAsia="宋体"/>
          <w:bCs/>
          <w:iCs/>
          <w:color w:val="000000"/>
          <w:sz w:val="24"/>
          <w:lang w:val="en-US" w:eastAsia="zh-CN"/>
        </w:rPr>
      </w:pPr>
      <w:r>
        <w:rPr>
          <w:rFonts w:hint="eastAsia" w:ascii="宋体" w:hAnsi="宋体"/>
          <w:bCs/>
          <w:iCs/>
          <w:color w:val="000000"/>
          <w:sz w:val="24"/>
        </w:rPr>
        <w:t xml:space="preserve">                                                   </w:t>
      </w:r>
      <w:r>
        <w:rPr>
          <w:rFonts w:ascii="宋体" w:hAnsi="宋体"/>
          <w:bCs/>
          <w:iCs/>
          <w:color w:val="000000"/>
          <w:sz w:val="24"/>
        </w:rPr>
        <w:t xml:space="preserve"> </w:t>
      </w:r>
      <w:r>
        <w:rPr>
          <w:rFonts w:hint="eastAsia" w:ascii="宋体" w:hAnsi="宋体"/>
          <w:bCs/>
          <w:iCs/>
          <w:color w:val="000000"/>
          <w:sz w:val="24"/>
        </w:rPr>
        <w:t>编号：2025</w:t>
      </w:r>
      <w:r>
        <w:rPr>
          <w:rFonts w:ascii="宋体" w:hAnsi="宋体"/>
          <w:bCs/>
          <w:iCs/>
          <w:color w:val="000000"/>
          <w:sz w:val="24"/>
          <w:lang w:eastAsia="zh-Hans"/>
        </w:rPr>
        <w:t>-00</w:t>
      </w:r>
      <w:r>
        <w:rPr>
          <w:rFonts w:hint="eastAsia" w:ascii="宋体" w:hAnsi="宋体"/>
          <w:bCs/>
          <w:iCs/>
          <w:color w:val="000000"/>
          <w:sz w:val="24"/>
          <w:lang w:val="en-US" w:eastAsia="zh-CN"/>
        </w:rPr>
        <w:t>9</w:t>
      </w:r>
    </w:p>
    <w:tbl>
      <w:tblPr>
        <w:tblStyle w:val="9"/>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580"/>
      </w:tblGrid>
      <w:tr w14:paraId="14BC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vAlign w:val="center"/>
          </w:tcPr>
          <w:p w14:paraId="792E63ED">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投资者关系</w:t>
            </w:r>
          </w:p>
          <w:p w14:paraId="2BF9560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活动类别</w:t>
            </w:r>
          </w:p>
        </w:tc>
        <w:tc>
          <w:tcPr>
            <w:tcW w:w="7580" w:type="dxa"/>
          </w:tcPr>
          <w:p w14:paraId="681B6C31">
            <w:pPr>
              <w:adjustRightInd w:val="0"/>
              <w:snapToGrid w:val="0"/>
              <w:rPr>
                <w:rFonts w:hint="eastAsia" w:ascii="宋体" w:hAnsi="宋体"/>
                <w:bCs/>
                <w:iCs/>
                <w:color w:val="000000"/>
                <w:kern w:val="0"/>
                <w:sz w:val="24"/>
              </w:rPr>
            </w:pPr>
            <w:r>
              <w:rPr>
                <w:rFonts w:hint="eastAsia" w:ascii="宋体" w:hAnsi="宋体" w:cs="宋体"/>
                <w:bCs/>
                <w:iCs/>
                <w:color w:val="000000"/>
                <w:kern w:val="0"/>
                <w:sz w:val="24"/>
              </w:rPr>
              <w:t>□</w:t>
            </w:r>
            <w:r>
              <w:rPr>
                <w:rFonts w:hint="eastAsia" w:ascii="宋体" w:hAnsi="宋体"/>
                <w:kern w:val="0"/>
                <w:sz w:val="28"/>
                <w:szCs w:val="28"/>
              </w:rPr>
              <w:t xml:space="preserve">特定对象调研        </w:t>
            </w:r>
            <w:r>
              <w:rPr>
                <w:rFonts w:hint="eastAsia" w:ascii="宋体" w:hAnsi="宋体"/>
                <w:bCs/>
                <w:iCs/>
                <w:color w:val="000000"/>
                <w:kern w:val="0"/>
                <w:sz w:val="24"/>
              </w:rPr>
              <w:t>□</w:t>
            </w:r>
            <w:r>
              <w:rPr>
                <w:rFonts w:hint="eastAsia" w:ascii="宋体" w:hAnsi="宋体"/>
                <w:kern w:val="0"/>
                <w:sz w:val="28"/>
                <w:szCs w:val="28"/>
              </w:rPr>
              <w:t>分析师会议</w:t>
            </w:r>
          </w:p>
          <w:p w14:paraId="7E81E1AD">
            <w:pPr>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媒体采访            </w:t>
            </w:r>
            <w:r>
              <w:rPr>
                <w:rFonts w:hint="eastAsia" w:ascii="宋体" w:hAnsi="宋体"/>
                <w:bCs/>
                <w:iCs/>
                <w:color w:val="000000"/>
                <w:kern w:val="0"/>
                <w:sz w:val="24"/>
              </w:rPr>
              <w:t>□</w:t>
            </w:r>
            <w:r>
              <w:rPr>
                <w:rFonts w:hint="eastAsia" w:ascii="宋体" w:hAnsi="宋体"/>
                <w:kern w:val="0"/>
                <w:sz w:val="28"/>
                <w:szCs w:val="28"/>
              </w:rPr>
              <w:t>业绩说明会</w:t>
            </w:r>
          </w:p>
          <w:p w14:paraId="7877F473">
            <w:pPr>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 xml:space="preserve">新闻发布会          </w:t>
            </w:r>
            <w:r>
              <w:rPr>
                <w:rFonts w:hint="eastAsia" w:ascii="宋体" w:hAnsi="宋体"/>
                <w:bCs/>
                <w:iCs/>
                <w:color w:val="000000"/>
                <w:kern w:val="0"/>
                <w:sz w:val="24"/>
              </w:rPr>
              <w:t>□</w:t>
            </w:r>
            <w:r>
              <w:rPr>
                <w:rFonts w:hint="eastAsia" w:ascii="宋体" w:hAnsi="宋体"/>
                <w:kern w:val="0"/>
                <w:sz w:val="28"/>
                <w:szCs w:val="28"/>
              </w:rPr>
              <w:t>路演活动</w:t>
            </w:r>
          </w:p>
          <w:p w14:paraId="445E48A7">
            <w:pPr>
              <w:tabs>
                <w:tab w:val="left" w:pos="3045"/>
                <w:tab w:val="center" w:pos="3199"/>
              </w:tabs>
              <w:adjustRightInd w:val="0"/>
              <w:snapToGrid w:val="0"/>
              <w:rPr>
                <w:rFonts w:hint="eastAsia" w:ascii="宋体" w:hAnsi="宋体"/>
                <w:bCs/>
                <w:iCs/>
                <w:color w:val="000000"/>
                <w:kern w:val="0"/>
                <w:sz w:val="24"/>
              </w:rPr>
            </w:pPr>
            <w:r>
              <w:rPr>
                <w:rFonts w:hint="eastAsia" w:ascii="宋体" w:hAnsi="宋体"/>
                <w:bCs/>
                <w:iCs/>
                <w:color w:val="000000"/>
                <w:kern w:val="0"/>
                <w:sz w:val="24"/>
              </w:rPr>
              <w:t>☑</w:t>
            </w:r>
            <w:r>
              <w:rPr>
                <w:rFonts w:hint="eastAsia" w:ascii="宋体" w:hAnsi="宋体"/>
                <w:kern w:val="0"/>
                <w:sz w:val="28"/>
                <w:szCs w:val="28"/>
              </w:rPr>
              <w:t>现场参观</w:t>
            </w:r>
          </w:p>
          <w:p w14:paraId="35DBA742">
            <w:pPr>
              <w:tabs>
                <w:tab w:val="center" w:pos="3199"/>
              </w:tabs>
              <w:adjustRightInd w:val="0"/>
              <w:snapToGrid w:val="0"/>
              <w:rPr>
                <w:rFonts w:hint="eastAsia" w:ascii="宋体" w:hAnsi="宋体"/>
                <w:bCs/>
                <w:iCs/>
                <w:color w:val="000000"/>
                <w:kern w:val="0"/>
                <w:sz w:val="24"/>
              </w:rPr>
            </w:pPr>
            <w:r>
              <w:rPr>
                <w:rFonts w:hint="eastAsia" w:ascii="宋体" w:hAnsi="宋体"/>
                <w:bCs/>
                <w:iCs/>
                <w:color w:val="000000"/>
                <w:kern w:val="0"/>
                <w:sz w:val="24"/>
                <w:lang w:eastAsia="zh-CN"/>
              </w:rPr>
              <w:t>□</w:t>
            </w:r>
            <w:r>
              <w:rPr>
                <w:rFonts w:hint="eastAsia" w:ascii="宋体" w:hAnsi="宋体"/>
                <w:kern w:val="0"/>
                <w:sz w:val="28"/>
                <w:szCs w:val="28"/>
              </w:rPr>
              <w:t>其他</w:t>
            </w:r>
          </w:p>
        </w:tc>
      </w:tr>
      <w:tr w14:paraId="499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0228DE7E">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参与单位</w:t>
            </w:r>
          </w:p>
          <w:p w14:paraId="76EAB2CB">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名称及人员姓名</w:t>
            </w:r>
          </w:p>
        </w:tc>
        <w:tc>
          <w:tcPr>
            <w:tcW w:w="7580" w:type="dxa"/>
            <w:vAlign w:val="center"/>
          </w:tcPr>
          <w:p w14:paraId="006480E0">
            <w:pPr>
              <w:rPr>
                <w:rFonts w:hint="eastAsia" w:ascii="宋体" w:hAnsi="宋体" w:eastAsia="宋体"/>
                <w:b/>
                <w:bCs w:val="0"/>
                <w:iCs/>
                <w:color w:val="000000"/>
                <w:kern w:val="0"/>
                <w:sz w:val="24"/>
                <w:lang w:eastAsia="zh-CN"/>
              </w:rPr>
            </w:pPr>
            <w:r>
              <w:rPr>
                <w:rFonts w:hint="eastAsia" w:ascii="宋体" w:hAnsi="宋体"/>
                <w:b/>
                <w:bCs w:val="0"/>
                <w:iCs/>
                <w:color w:val="000000"/>
                <w:kern w:val="0"/>
                <w:sz w:val="24"/>
              </w:rPr>
              <w:t>2025年</w:t>
            </w:r>
            <w:r>
              <w:rPr>
                <w:rFonts w:hint="eastAsia" w:ascii="宋体" w:hAnsi="宋体"/>
                <w:b/>
                <w:bCs w:val="0"/>
                <w:iCs/>
                <w:color w:val="000000"/>
                <w:kern w:val="0"/>
                <w:sz w:val="24"/>
                <w:lang w:val="en-US" w:eastAsia="zh-CN"/>
              </w:rPr>
              <w:t>7</w:t>
            </w:r>
            <w:r>
              <w:rPr>
                <w:rFonts w:hint="eastAsia" w:ascii="宋体" w:hAnsi="宋体"/>
                <w:b/>
                <w:bCs w:val="0"/>
                <w:iCs/>
                <w:color w:val="000000"/>
                <w:kern w:val="0"/>
                <w:sz w:val="24"/>
              </w:rPr>
              <w:t>月</w:t>
            </w:r>
            <w:r>
              <w:rPr>
                <w:rFonts w:hint="eastAsia" w:ascii="宋体" w:hAnsi="宋体"/>
                <w:b/>
                <w:bCs w:val="0"/>
                <w:iCs/>
                <w:color w:val="000000"/>
                <w:kern w:val="0"/>
                <w:sz w:val="24"/>
                <w:lang w:val="en-US" w:eastAsia="zh-CN"/>
              </w:rPr>
              <w:t>2</w:t>
            </w:r>
            <w:r>
              <w:rPr>
                <w:rFonts w:hint="eastAsia" w:ascii="宋体" w:hAnsi="宋体"/>
                <w:b/>
                <w:bCs w:val="0"/>
                <w:iCs/>
                <w:color w:val="000000"/>
                <w:kern w:val="0"/>
                <w:sz w:val="24"/>
              </w:rPr>
              <w:t>日</w:t>
            </w:r>
          </w:p>
          <w:p w14:paraId="59144D30">
            <w:pPr>
              <w:rPr>
                <w:rFonts w:hint="eastAsia" w:ascii="宋体" w:hAnsi="宋体"/>
                <w:b w:val="0"/>
                <w:bCs/>
                <w:iCs/>
                <w:color w:val="000000"/>
                <w:kern w:val="0"/>
                <w:sz w:val="24"/>
                <w:lang w:val="en-US" w:eastAsia="zh-CN"/>
              </w:rPr>
            </w:pPr>
            <w:r>
              <w:rPr>
                <w:rFonts w:hint="eastAsia" w:ascii="宋体" w:hAnsi="宋体"/>
                <w:b w:val="0"/>
                <w:bCs/>
                <w:iCs/>
                <w:color w:val="000000"/>
                <w:kern w:val="0"/>
                <w:sz w:val="24"/>
                <w:lang w:val="en-US" w:eastAsia="zh-CN"/>
              </w:rPr>
              <w:t>申万宏源：达邵炜、武雨桐、田昕；建信理财：栾天悦；亚太财险：朱军宁、陈光；新华基金：姚海明；申万资管：王鹤静；太平养老：鲍聘。</w:t>
            </w:r>
          </w:p>
          <w:p w14:paraId="29D2CDB2">
            <w:pPr>
              <w:rPr>
                <w:rFonts w:hint="default" w:ascii="宋体" w:hAnsi="宋体"/>
                <w:b w:val="0"/>
                <w:bCs/>
                <w:iCs/>
                <w:color w:val="000000"/>
                <w:kern w:val="0"/>
                <w:sz w:val="24"/>
                <w:lang w:val="en-US" w:eastAsia="zh-CN"/>
              </w:rPr>
            </w:pPr>
            <w:r>
              <w:rPr>
                <w:rFonts w:hint="eastAsia" w:ascii="宋体" w:hAnsi="宋体"/>
                <w:b w:val="0"/>
                <w:bCs/>
                <w:iCs/>
                <w:color w:val="000000"/>
                <w:kern w:val="0"/>
                <w:sz w:val="24"/>
                <w:lang w:val="en-US" w:eastAsia="zh-CN"/>
              </w:rPr>
              <w:t>浙商证券：周向昉、吴天佑、张博文；银华基金：王华、张珂、白照坤；</w:t>
            </w:r>
          </w:p>
          <w:p w14:paraId="064D0AF2">
            <w:pPr>
              <w:rPr>
                <w:rFonts w:hint="eastAsia" w:ascii="宋体" w:hAnsi="宋体"/>
                <w:b w:val="0"/>
                <w:bCs/>
                <w:iCs/>
                <w:color w:val="000000"/>
                <w:kern w:val="0"/>
                <w:sz w:val="24"/>
                <w:lang w:val="en-US" w:eastAsia="zh-CN"/>
              </w:rPr>
            </w:pPr>
            <w:r>
              <w:rPr>
                <w:rFonts w:hint="eastAsia" w:ascii="宋体" w:hAnsi="宋体"/>
                <w:b w:val="0"/>
                <w:bCs/>
                <w:iCs/>
                <w:color w:val="000000"/>
                <w:kern w:val="0"/>
                <w:sz w:val="24"/>
                <w:lang w:val="en-US" w:eastAsia="zh-CN"/>
              </w:rPr>
              <w:t>国金证券：倪赵义、刘民喆；中银基金：张欣仪；方正证券：黄凯伦、孔德璋、赵璐。</w:t>
            </w:r>
          </w:p>
          <w:p w14:paraId="40641412">
            <w:pPr>
              <w:rPr>
                <w:rFonts w:hint="eastAsia" w:ascii="宋体" w:hAnsi="宋体" w:eastAsia="宋体"/>
                <w:b/>
                <w:bCs w:val="0"/>
                <w:iCs/>
                <w:color w:val="000000"/>
                <w:kern w:val="0"/>
                <w:sz w:val="24"/>
                <w:lang w:eastAsia="zh-CN"/>
              </w:rPr>
            </w:pPr>
            <w:r>
              <w:rPr>
                <w:rFonts w:hint="eastAsia" w:ascii="宋体" w:hAnsi="宋体"/>
                <w:b/>
                <w:bCs w:val="0"/>
                <w:iCs/>
                <w:color w:val="000000"/>
                <w:kern w:val="0"/>
                <w:sz w:val="24"/>
              </w:rPr>
              <w:t>2025年</w:t>
            </w:r>
            <w:r>
              <w:rPr>
                <w:rFonts w:hint="eastAsia" w:ascii="宋体" w:hAnsi="宋体"/>
                <w:b/>
                <w:bCs w:val="0"/>
                <w:iCs/>
                <w:color w:val="000000"/>
                <w:kern w:val="0"/>
                <w:sz w:val="24"/>
                <w:lang w:val="en-US" w:eastAsia="zh-CN"/>
              </w:rPr>
              <w:t>7</w:t>
            </w:r>
            <w:r>
              <w:rPr>
                <w:rFonts w:hint="eastAsia" w:ascii="宋体" w:hAnsi="宋体"/>
                <w:b/>
                <w:bCs w:val="0"/>
                <w:iCs/>
                <w:color w:val="000000"/>
                <w:kern w:val="0"/>
                <w:sz w:val="24"/>
              </w:rPr>
              <w:t>月</w:t>
            </w:r>
            <w:r>
              <w:rPr>
                <w:rFonts w:hint="eastAsia" w:ascii="宋体" w:hAnsi="宋体"/>
                <w:b/>
                <w:bCs w:val="0"/>
                <w:iCs/>
                <w:color w:val="000000"/>
                <w:kern w:val="0"/>
                <w:sz w:val="24"/>
                <w:lang w:val="en-US" w:eastAsia="zh-CN"/>
              </w:rPr>
              <w:t>3</w:t>
            </w:r>
            <w:r>
              <w:rPr>
                <w:rFonts w:hint="eastAsia" w:ascii="宋体" w:hAnsi="宋体"/>
                <w:b/>
                <w:bCs w:val="0"/>
                <w:iCs/>
                <w:color w:val="000000"/>
                <w:kern w:val="0"/>
                <w:sz w:val="24"/>
              </w:rPr>
              <w:t>日</w:t>
            </w:r>
          </w:p>
          <w:p w14:paraId="1789D99E">
            <w:pPr>
              <w:rPr>
                <w:rFonts w:hint="eastAsia" w:ascii="宋体" w:hAnsi="宋体"/>
                <w:b w:val="0"/>
                <w:bCs/>
                <w:iCs/>
                <w:color w:val="000000"/>
                <w:kern w:val="0"/>
                <w:sz w:val="24"/>
                <w:lang w:val="en-US" w:eastAsia="zh-CN"/>
              </w:rPr>
            </w:pPr>
            <w:r>
              <w:rPr>
                <w:rFonts w:hint="eastAsia" w:ascii="宋体" w:hAnsi="宋体"/>
                <w:b w:val="0"/>
                <w:bCs/>
                <w:iCs/>
                <w:color w:val="000000"/>
                <w:kern w:val="0"/>
                <w:sz w:val="24"/>
                <w:lang w:val="en-US" w:eastAsia="zh-CN"/>
              </w:rPr>
              <w:t>长江证券：王硕；交银施罗德：柳轩。</w:t>
            </w:r>
          </w:p>
          <w:p w14:paraId="0D310BAA">
            <w:pPr>
              <w:rPr>
                <w:rFonts w:hint="eastAsia" w:ascii="宋体" w:hAnsi="宋体"/>
                <w:b w:val="0"/>
                <w:bCs/>
                <w:iCs/>
                <w:color w:val="000000"/>
                <w:kern w:val="0"/>
                <w:sz w:val="24"/>
                <w:lang w:val="en-US" w:eastAsia="zh-CN"/>
              </w:rPr>
            </w:pPr>
            <w:r>
              <w:rPr>
                <w:rFonts w:hint="eastAsia" w:ascii="宋体" w:hAnsi="宋体"/>
                <w:b/>
                <w:bCs w:val="0"/>
                <w:iCs/>
                <w:color w:val="000000"/>
                <w:kern w:val="0"/>
                <w:sz w:val="24"/>
              </w:rPr>
              <w:t>2025年</w:t>
            </w:r>
            <w:r>
              <w:rPr>
                <w:rFonts w:hint="eastAsia" w:ascii="宋体" w:hAnsi="宋体"/>
                <w:b/>
                <w:bCs w:val="0"/>
                <w:iCs/>
                <w:color w:val="000000"/>
                <w:kern w:val="0"/>
                <w:sz w:val="24"/>
                <w:lang w:val="en-US" w:eastAsia="zh-CN"/>
              </w:rPr>
              <w:t>7</w:t>
            </w:r>
            <w:r>
              <w:rPr>
                <w:rFonts w:hint="eastAsia" w:ascii="宋体" w:hAnsi="宋体"/>
                <w:b/>
                <w:bCs w:val="0"/>
                <w:iCs/>
                <w:color w:val="000000"/>
                <w:kern w:val="0"/>
                <w:sz w:val="24"/>
              </w:rPr>
              <w:t>月</w:t>
            </w:r>
            <w:r>
              <w:rPr>
                <w:rFonts w:hint="eastAsia" w:ascii="宋体" w:hAnsi="宋体"/>
                <w:b/>
                <w:bCs w:val="0"/>
                <w:iCs/>
                <w:color w:val="000000"/>
                <w:kern w:val="0"/>
                <w:sz w:val="24"/>
                <w:lang w:val="en-US" w:eastAsia="zh-CN"/>
              </w:rPr>
              <w:t>8</w:t>
            </w:r>
            <w:r>
              <w:rPr>
                <w:rFonts w:hint="eastAsia" w:ascii="宋体" w:hAnsi="宋体"/>
                <w:b/>
                <w:bCs w:val="0"/>
                <w:iCs/>
                <w:color w:val="000000"/>
                <w:kern w:val="0"/>
                <w:sz w:val="24"/>
              </w:rPr>
              <w:t>日</w:t>
            </w:r>
          </w:p>
          <w:p w14:paraId="6931677F">
            <w:pPr>
              <w:rPr>
                <w:rFonts w:hint="eastAsia" w:ascii="宋体" w:hAnsi="宋体"/>
                <w:b w:val="0"/>
                <w:bCs/>
                <w:iCs/>
                <w:color w:val="000000"/>
                <w:kern w:val="0"/>
                <w:sz w:val="24"/>
                <w:lang w:val="en-US" w:eastAsia="zh-CN"/>
              </w:rPr>
            </w:pPr>
            <w:r>
              <w:rPr>
                <w:rFonts w:hint="eastAsia" w:ascii="宋体" w:hAnsi="宋体"/>
                <w:b w:val="0"/>
                <w:bCs/>
                <w:iCs/>
                <w:color w:val="000000"/>
                <w:kern w:val="0"/>
                <w:sz w:val="24"/>
                <w:lang w:val="en-US" w:eastAsia="zh-CN"/>
              </w:rPr>
              <w:t>民生证券：许浚哲；中信证券：杨博钧、郭柯宇；天风证券：敖颖晨、梁晨</w:t>
            </w:r>
          </w:p>
          <w:p w14:paraId="212A3E31">
            <w:pPr>
              <w:rPr>
                <w:rFonts w:hint="eastAsia" w:ascii="宋体" w:hAnsi="宋体" w:eastAsia="宋体"/>
                <w:b/>
                <w:bCs w:val="0"/>
                <w:iCs/>
                <w:color w:val="000000"/>
                <w:kern w:val="0"/>
                <w:sz w:val="24"/>
                <w:lang w:eastAsia="zh-CN"/>
              </w:rPr>
            </w:pPr>
            <w:r>
              <w:rPr>
                <w:rFonts w:hint="eastAsia" w:ascii="宋体" w:hAnsi="宋体"/>
                <w:b/>
                <w:bCs w:val="0"/>
                <w:iCs/>
                <w:color w:val="000000"/>
                <w:kern w:val="0"/>
                <w:sz w:val="24"/>
              </w:rPr>
              <w:t>2025年</w:t>
            </w:r>
            <w:r>
              <w:rPr>
                <w:rFonts w:hint="eastAsia" w:ascii="宋体" w:hAnsi="宋体"/>
                <w:b/>
                <w:bCs w:val="0"/>
                <w:iCs/>
                <w:color w:val="000000"/>
                <w:kern w:val="0"/>
                <w:sz w:val="24"/>
                <w:lang w:val="en-US" w:eastAsia="zh-CN"/>
              </w:rPr>
              <w:t>7</w:t>
            </w:r>
            <w:r>
              <w:rPr>
                <w:rFonts w:hint="eastAsia" w:ascii="宋体" w:hAnsi="宋体"/>
                <w:b/>
                <w:bCs w:val="0"/>
                <w:iCs/>
                <w:color w:val="000000"/>
                <w:kern w:val="0"/>
                <w:sz w:val="24"/>
              </w:rPr>
              <w:t>月</w:t>
            </w:r>
            <w:r>
              <w:rPr>
                <w:rFonts w:hint="eastAsia" w:ascii="宋体" w:hAnsi="宋体"/>
                <w:b/>
                <w:bCs w:val="0"/>
                <w:iCs/>
                <w:color w:val="000000"/>
                <w:kern w:val="0"/>
                <w:sz w:val="24"/>
                <w:lang w:val="en-US" w:eastAsia="zh-CN"/>
              </w:rPr>
              <w:t>11</w:t>
            </w:r>
            <w:r>
              <w:rPr>
                <w:rFonts w:hint="eastAsia" w:ascii="宋体" w:hAnsi="宋体"/>
                <w:b/>
                <w:bCs w:val="0"/>
                <w:iCs/>
                <w:color w:val="000000"/>
                <w:kern w:val="0"/>
                <w:sz w:val="24"/>
              </w:rPr>
              <w:t>日</w:t>
            </w:r>
          </w:p>
          <w:p w14:paraId="274333B3">
            <w:pPr>
              <w:rPr>
                <w:rFonts w:hint="default" w:ascii="宋体" w:hAnsi="宋体"/>
                <w:b w:val="0"/>
                <w:bCs/>
                <w:iCs/>
                <w:color w:val="000000"/>
                <w:kern w:val="0"/>
                <w:sz w:val="24"/>
                <w:lang w:val="en-US" w:eastAsia="zh-CN"/>
              </w:rPr>
            </w:pPr>
            <w:r>
              <w:rPr>
                <w:rFonts w:hint="eastAsia" w:ascii="宋体" w:hAnsi="宋体"/>
                <w:b w:val="0"/>
                <w:bCs/>
                <w:iCs/>
                <w:color w:val="000000"/>
                <w:kern w:val="0"/>
                <w:sz w:val="24"/>
                <w:lang w:val="en-US" w:eastAsia="zh-CN"/>
              </w:rPr>
              <w:t>方正证券：黄凯伦；中金证券：刘婧；财通证券：杨博星；景顺长城：江磊。</w:t>
            </w:r>
          </w:p>
          <w:p w14:paraId="462310F5">
            <w:pPr>
              <w:rPr>
                <w:rFonts w:hint="eastAsia" w:ascii="宋体" w:hAnsi="宋体"/>
                <w:b/>
                <w:bCs w:val="0"/>
                <w:iCs/>
                <w:color w:val="000000"/>
                <w:kern w:val="0"/>
                <w:sz w:val="24"/>
                <w:lang w:val="en-US" w:eastAsia="zh-CN"/>
              </w:rPr>
            </w:pPr>
            <w:r>
              <w:rPr>
                <w:rFonts w:hint="eastAsia" w:ascii="宋体" w:hAnsi="宋体"/>
                <w:b/>
                <w:bCs w:val="0"/>
                <w:iCs/>
                <w:color w:val="000000"/>
                <w:kern w:val="0"/>
                <w:sz w:val="24"/>
                <w:lang w:val="en-US" w:eastAsia="zh-CN"/>
              </w:rPr>
              <w:t>2025年8月14日</w:t>
            </w:r>
          </w:p>
          <w:p w14:paraId="6BA40EAA">
            <w:pPr>
              <w:rPr>
                <w:rFonts w:hint="default" w:ascii="宋体" w:hAnsi="宋体"/>
                <w:bCs/>
                <w:iCs/>
                <w:color w:val="000000"/>
                <w:kern w:val="0"/>
                <w:sz w:val="24"/>
                <w:lang w:val="en-US" w:eastAsia="zh-CN"/>
              </w:rPr>
            </w:pPr>
            <w:r>
              <w:rPr>
                <w:rFonts w:hint="eastAsia" w:ascii="宋体" w:hAnsi="宋体"/>
                <w:bCs/>
                <w:iCs/>
                <w:color w:val="000000"/>
                <w:kern w:val="0"/>
                <w:sz w:val="24"/>
                <w:lang w:val="en-US" w:eastAsia="zh-CN"/>
              </w:rPr>
              <w:t>中信建投：汪正鑫</w:t>
            </w:r>
          </w:p>
          <w:p w14:paraId="2B8EC975">
            <w:pPr>
              <w:rPr>
                <w:rFonts w:hint="eastAsia" w:ascii="宋体" w:hAnsi="宋体"/>
                <w:b/>
                <w:bCs w:val="0"/>
                <w:iCs/>
                <w:color w:val="000000"/>
                <w:kern w:val="0"/>
                <w:sz w:val="24"/>
                <w:lang w:val="en-US" w:eastAsia="zh-CN"/>
              </w:rPr>
            </w:pPr>
            <w:r>
              <w:rPr>
                <w:rFonts w:hint="eastAsia" w:ascii="宋体" w:hAnsi="宋体"/>
                <w:b/>
                <w:bCs w:val="0"/>
                <w:iCs/>
                <w:color w:val="000000"/>
                <w:kern w:val="0"/>
                <w:sz w:val="24"/>
                <w:lang w:val="en-US" w:eastAsia="zh-CN"/>
              </w:rPr>
              <w:t>2025年9月1日</w:t>
            </w:r>
          </w:p>
          <w:p w14:paraId="13FCD500">
            <w:pPr>
              <w:rPr>
                <w:rFonts w:hint="eastAsia" w:ascii="宋体" w:hAnsi="宋体"/>
                <w:b w:val="0"/>
                <w:bCs/>
                <w:iCs/>
                <w:color w:val="000000"/>
                <w:kern w:val="0"/>
                <w:sz w:val="24"/>
                <w:lang w:val="en-US" w:eastAsia="zh-CN"/>
              </w:rPr>
            </w:pPr>
            <w:r>
              <w:rPr>
                <w:rFonts w:hint="eastAsia" w:ascii="宋体" w:hAnsi="宋体"/>
                <w:b w:val="0"/>
                <w:bCs/>
                <w:iCs/>
                <w:color w:val="000000"/>
                <w:kern w:val="0"/>
                <w:sz w:val="24"/>
                <w:lang w:val="en-US" w:eastAsia="zh-CN"/>
              </w:rPr>
              <w:t>国盛证券：乾亮</w:t>
            </w:r>
          </w:p>
          <w:p w14:paraId="0DA85C0A">
            <w:pPr>
              <w:rPr>
                <w:rFonts w:hint="eastAsia" w:ascii="宋体" w:hAnsi="宋体"/>
                <w:b/>
                <w:bCs w:val="0"/>
                <w:iCs/>
                <w:color w:val="000000"/>
                <w:kern w:val="0"/>
                <w:sz w:val="24"/>
                <w:lang w:val="en-US" w:eastAsia="zh-CN"/>
              </w:rPr>
            </w:pPr>
            <w:r>
              <w:rPr>
                <w:rFonts w:hint="eastAsia" w:ascii="宋体" w:hAnsi="宋体"/>
                <w:b/>
                <w:bCs w:val="0"/>
                <w:iCs/>
                <w:color w:val="000000"/>
                <w:kern w:val="0"/>
                <w:sz w:val="24"/>
                <w:lang w:val="en-US" w:eastAsia="zh-CN"/>
              </w:rPr>
              <w:t>2025年9月8日</w:t>
            </w:r>
          </w:p>
          <w:p w14:paraId="27272731">
            <w:pPr>
              <w:rPr>
                <w:rFonts w:hint="default" w:ascii="宋体" w:hAnsi="宋体"/>
                <w:b w:val="0"/>
                <w:bCs/>
                <w:iCs/>
                <w:color w:val="000000"/>
                <w:kern w:val="0"/>
                <w:sz w:val="24"/>
                <w:lang w:val="en-US" w:eastAsia="zh-CN"/>
              </w:rPr>
            </w:pPr>
            <w:r>
              <w:rPr>
                <w:rFonts w:hint="eastAsia" w:ascii="宋体" w:hAnsi="宋体"/>
                <w:b w:val="0"/>
                <w:bCs/>
                <w:iCs/>
                <w:color w:val="000000"/>
                <w:kern w:val="0"/>
                <w:sz w:val="24"/>
                <w:lang w:val="en-US" w:eastAsia="zh-CN"/>
              </w:rPr>
              <w:t>长江证券：王硕、杨继虎；华鑫国际信托：田曜齐；中邮保险资管：李柯宏；兴全基金：姚佳；昱奕资产：马李仪；国泰海通：黄龙、梁琳；紫马资本：鲍灵杨；国元证券：楼珈利；长盛基金：张君平；华福证券：徐丽华。</w:t>
            </w:r>
          </w:p>
          <w:p w14:paraId="265E2DD1">
            <w:pPr>
              <w:rPr>
                <w:rFonts w:hint="eastAsia" w:ascii="宋体" w:hAnsi="宋体"/>
                <w:b/>
                <w:bCs w:val="0"/>
                <w:iCs/>
                <w:color w:val="000000"/>
                <w:kern w:val="0"/>
                <w:sz w:val="24"/>
                <w:lang w:val="en-US" w:eastAsia="zh-CN"/>
              </w:rPr>
            </w:pPr>
            <w:r>
              <w:rPr>
                <w:rFonts w:hint="eastAsia" w:ascii="宋体" w:hAnsi="宋体"/>
                <w:b/>
                <w:bCs w:val="0"/>
                <w:iCs/>
                <w:color w:val="000000"/>
                <w:kern w:val="0"/>
                <w:sz w:val="24"/>
                <w:lang w:val="en-US" w:eastAsia="zh-CN"/>
              </w:rPr>
              <w:t>2025年9月11日</w:t>
            </w:r>
          </w:p>
          <w:p w14:paraId="1CEE2641">
            <w:pPr>
              <w:rPr>
                <w:rFonts w:hint="default" w:ascii="宋体" w:hAnsi="宋体"/>
                <w:b w:val="0"/>
                <w:bCs/>
                <w:iCs/>
                <w:color w:val="000000"/>
                <w:kern w:val="0"/>
                <w:sz w:val="24"/>
                <w:lang w:val="en-US" w:eastAsia="zh-CN"/>
              </w:rPr>
            </w:pPr>
            <w:r>
              <w:rPr>
                <w:rFonts w:hint="eastAsia" w:ascii="宋体" w:hAnsi="宋体"/>
                <w:b w:val="0"/>
                <w:bCs/>
                <w:iCs/>
                <w:color w:val="000000"/>
                <w:kern w:val="0"/>
                <w:sz w:val="24"/>
                <w:lang w:val="en-US" w:eastAsia="zh-CN"/>
              </w:rPr>
              <w:t>国金证券：刘民喆；淡水泉投资：柏杨、刘耀阳。</w:t>
            </w:r>
          </w:p>
        </w:tc>
      </w:tr>
      <w:tr w14:paraId="78D0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4173B8F3">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时  间</w:t>
            </w:r>
          </w:p>
        </w:tc>
        <w:tc>
          <w:tcPr>
            <w:tcW w:w="7580" w:type="dxa"/>
          </w:tcPr>
          <w:p w14:paraId="73AAC894">
            <w:pPr>
              <w:spacing w:line="240" w:lineRule="auto"/>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2025年</w:t>
            </w:r>
            <w:r>
              <w:rPr>
                <w:rFonts w:hint="eastAsia" w:ascii="宋体" w:hAnsi="宋体"/>
                <w:bCs/>
                <w:iCs/>
                <w:color w:val="000000"/>
                <w:kern w:val="0"/>
                <w:sz w:val="24"/>
                <w:lang w:val="en-US" w:eastAsia="zh-CN"/>
              </w:rPr>
              <w:t>7月</w:t>
            </w:r>
            <w:r>
              <w:rPr>
                <w:rFonts w:hint="eastAsia" w:ascii="宋体" w:hAnsi="宋体"/>
                <w:bCs/>
                <w:iCs/>
                <w:color w:val="000000"/>
                <w:kern w:val="0"/>
                <w:sz w:val="24"/>
                <w:lang w:val="en-US" w:eastAsia="zh-CN"/>
              </w:rPr>
              <w:t>2日（</w:t>
            </w:r>
            <w:r>
              <w:rPr>
                <w:rFonts w:hint="eastAsia" w:ascii="宋体" w:hAnsi="宋体"/>
                <w:bCs/>
                <w:iCs/>
                <w:color w:val="000000"/>
                <w:kern w:val="0"/>
                <w:sz w:val="24"/>
                <w:lang w:val="en-US" w:eastAsia="zh-CN"/>
              </w:rPr>
              <w:t>9：</w:t>
            </w:r>
            <w:r>
              <w:rPr>
                <w:rFonts w:hint="eastAsia" w:ascii="宋体" w:hAnsi="宋体"/>
                <w:bCs/>
                <w:iCs/>
                <w:color w:val="000000"/>
                <w:kern w:val="0"/>
                <w:sz w:val="24"/>
                <w:lang w:val="en-US" w:eastAsia="zh-CN"/>
              </w:rPr>
              <w:t>3</w:t>
            </w:r>
            <w:r>
              <w:rPr>
                <w:rFonts w:hint="default" w:ascii="宋体" w:hAnsi="宋体"/>
                <w:bCs/>
                <w:iCs/>
                <w:color w:val="000000"/>
                <w:kern w:val="0"/>
                <w:sz w:val="24"/>
                <w:lang w:val="en-US" w:eastAsia="zh-CN"/>
              </w:rPr>
              <w:t>0</w:t>
            </w:r>
            <w:r>
              <w:rPr>
                <w:rFonts w:hint="eastAsia" w:ascii="宋体" w:hAnsi="宋体"/>
                <w:bCs/>
                <w:iCs/>
                <w:color w:val="000000"/>
                <w:kern w:val="0"/>
                <w:sz w:val="24"/>
                <w:lang w:val="en-US" w:eastAsia="zh-CN"/>
              </w:rPr>
              <w:t>-1</w:t>
            </w:r>
            <w:r>
              <w:rPr>
                <w:rFonts w:hint="eastAsia" w:ascii="宋体" w:hAnsi="宋体"/>
                <w:bCs/>
                <w:iCs/>
                <w:color w:val="000000"/>
                <w:kern w:val="0"/>
                <w:sz w:val="24"/>
                <w:lang w:val="en-US" w:eastAsia="zh-CN"/>
              </w:rPr>
              <w:t>0：</w:t>
            </w:r>
            <w:r>
              <w:rPr>
                <w:rFonts w:hint="eastAsia" w:ascii="宋体" w:hAnsi="宋体"/>
                <w:bCs/>
                <w:iCs/>
                <w:color w:val="000000"/>
                <w:kern w:val="0"/>
                <w:sz w:val="24"/>
                <w:lang w:val="en-US" w:eastAsia="zh-CN"/>
              </w:rPr>
              <w:t>45）（</w:t>
            </w:r>
            <w:r>
              <w:rPr>
                <w:rFonts w:hint="eastAsia" w:ascii="宋体" w:hAnsi="宋体"/>
                <w:bCs/>
                <w:iCs/>
                <w:color w:val="000000"/>
                <w:kern w:val="0"/>
                <w:sz w:val="24"/>
                <w:lang w:val="en-US" w:eastAsia="zh-CN"/>
              </w:rPr>
              <w:t>16：</w:t>
            </w:r>
            <w:r>
              <w:rPr>
                <w:rFonts w:hint="default" w:ascii="宋体" w:hAnsi="宋体"/>
                <w:bCs/>
                <w:iCs/>
                <w:color w:val="000000"/>
                <w:kern w:val="0"/>
                <w:sz w:val="24"/>
                <w:lang w:val="en-US" w:eastAsia="zh-CN"/>
              </w:rPr>
              <w:t>0</w:t>
            </w:r>
            <w:r>
              <w:rPr>
                <w:rFonts w:hint="eastAsia" w:ascii="宋体" w:hAnsi="宋体"/>
                <w:bCs/>
                <w:iCs/>
                <w:color w:val="000000"/>
                <w:kern w:val="0"/>
                <w:sz w:val="24"/>
                <w:lang w:val="en-US" w:eastAsia="zh-CN"/>
              </w:rPr>
              <w:t>0-1</w:t>
            </w:r>
            <w:r>
              <w:rPr>
                <w:rFonts w:hint="eastAsia" w:ascii="宋体" w:hAnsi="宋体"/>
                <w:bCs/>
                <w:iCs/>
                <w:color w:val="000000"/>
                <w:kern w:val="0"/>
                <w:sz w:val="24"/>
                <w:lang w:val="en-US" w:eastAsia="zh-CN"/>
              </w:rPr>
              <w:t>7：</w:t>
            </w:r>
            <w:r>
              <w:rPr>
                <w:rFonts w:hint="eastAsia" w:ascii="宋体" w:hAnsi="宋体"/>
                <w:bCs/>
                <w:iCs/>
                <w:color w:val="000000"/>
                <w:kern w:val="0"/>
                <w:sz w:val="24"/>
                <w:lang w:val="en-US" w:eastAsia="zh-CN"/>
              </w:rPr>
              <w:t>30）</w:t>
            </w:r>
          </w:p>
          <w:p w14:paraId="5DEC58E2">
            <w:pPr>
              <w:spacing w:line="240" w:lineRule="auto"/>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2025年</w:t>
            </w:r>
            <w:r>
              <w:rPr>
                <w:rFonts w:hint="eastAsia" w:ascii="宋体" w:hAnsi="宋体"/>
                <w:bCs/>
                <w:iCs/>
                <w:color w:val="000000"/>
                <w:kern w:val="0"/>
                <w:sz w:val="24"/>
                <w:lang w:val="en-US" w:eastAsia="zh-CN"/>
              </w:rPr>
              <w:t>7月</w:t>
            </w:r>
            <w:r>
              <w:rPr>
                <w:rFonts w:hint="eastAsia" w:ascii="宋体" w:hAnsi="宋体"/>
                <w:bCs/>
                <w:iCs/>
                <w:color w:val="000000"/>
                <w:kern w:val="0"/>
                <w:sz w:val="24"/>
                <w:lang w:val="en-US" w:eastAsia="zh-CN"/>
              </w:rPr>
              <w:t>3日（</w:t>
            </w:r>
            <w:r>
              <w:rPr>
                <w:rFonts w:hint="eastAsia" w:ascii="宋体" w:hAnsi="宋体"/>
                <w:bCs/>
                <w:iCs/>
                <w:color w:val="000000"/>
                <w:kern w:val="0"/>
                <w:sz w:val="24"/>
                <w:lang w:val="en-US" w:eastAsia="zh-CN"/>
              </w:rPr>
              <w:t>14：</w:t>
            </w:r>
            <w:r>
              <w:rPr>
                <w:rFonts w:hint="eastAsia" w:ascii="宋体" w:hAnsi="宋体"/>
                <w:bCs/>
                <w:iCs/>
                <w:color w:val="000000"/>
                <w:kern w:val="0"/>
                <w:sz w:val="24"/>
                <w:lang w:val="en-US" w:eastAsia="zh-CN"/>
              </w:rPr>
              <w:t>3</w:t>
            </w:r>
            <w:r>
              <w:rPr>
                <w:rFonts w:hint="default" w:ascii="宋体" w:hAnsi="宋体"/>
                <w:bCs/>
                <w:iCs/>
                <w:color w:val="000000"/>
                <w:kern w:val="0"/>
                <w:sz w:val="24"/>
                <w:lang w:val="en-US" w:eastAsia="zh-CN"/>
              </w:rPr>
              <w:t>0</w:t>
            </w:r>
            <w:r>
              <w:rPr>
                <w:rFonts w:hint="eastAsia" w:ascii="宋体" w:hAnsi="宋体"/>
                <w:bCs/>
                <w:iCs/>
                <w:color w:val="000000"/>
                <w:kern w:val="0"/>
                <w:sz w:val="24"/>
                <w:lang w:val="en-US" w:eastAsia="zh-CN"/>
              </w:rPr>
              <w:t>-1</w:t>
            </w:r>
            <w:r>
              <w:rPr>
                <w:rFonts w:hint="eastAsia" w:ascii="宋体" w:hAnsi="宋体"/>
                <w:bCs/>
                <w:iCs/>
                <w:color w:val="000000"/>
                <w:kern w:val="0"/>
                <w:sz w:val="24"/>
                <w:lang w:val="en-US" w:eastAsia="zh-CN"/>
              </w:rPr>
              <w:t>6：</w:t>
            </w:r>
            <w:r>
              <w:rPr>
                <w:rFonts w:hint="eastAsia" w:ascii="宋体" w:hAnsi="宋体"/>
                <w:bCs/>
                <w:iCs/>
                <w:color w:val="000000"/>
                <w:kern w:val="0"/>
                <w:sz w:val="24"/>
                <w:lang w:val="en-US" w:eastAsia="zh-CN"/>
              </w:rPr>
              <w:t>00）</w:t>
            </w:r>
          </w:p>
          <w:p w14:paraId="79E002BF">
            <w:pPr>
              <w:spacing w:line="240" w:lineRule="auto"/>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2025年7月8日（</w:t>
            </w:r>
            <w:r>
              <w:rPr>
                <w:rFonts w:hint="eastAsia" w:ascii="宋体" w:hAnsi="宋体"/>
                <w:bCs/>
                <w:iCs/>
                <w:color w:val="000000"/>
                <w:kern w:val="0"/>
                <w:sz w:val="24"/>
                <w:lang w:val="en-US" w:eastAsia="zh-CN"/>
              </w:rPr>
              <w:t>10：00-1</w:t>
            </w:r>
            <w:r>
              <w:rPr>
                <w:rFonts w:hint="eastAsia" w:ascii="宋体" w:hAnsi="宋体"/>
                <w:bCs/>
                <w:iCs/>
                <w:color w:val="000000"/>
                <w:kern w:val="0"/>
                <w:sz w:val="24"/>
                <w:lang w:val="en-US" w:eastAsia="zh-CN"/>
              </w:rPr>
              <w:t>1：</w:t>
            </w:r>
            <w:r>
              <w:rPr>
                <w:rFonts w:hint="eastAsia" w:ascii="宋体" w:hAnsi="宋体"/>
                <w:bCs/>
                <w:iCs/>
                <w:color w:val="000000"/>
                <w:kern w:val="0"/>
                <w:sz w:val="24"/>
                <w:lang w:val="en-US" w:eastAsia="zh-CN"/>
              </w:rPr>
              <w:t>45）</w:t>
            </w:r>
          </w:p>
          <w:p w14:paraId="524CAB64">
            <w:pPr>
              <w:spacing w:line="240" w:lineRule="auto"/>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2025年7月11日（10：45-12：00）</w:t>
            </w:r>
          </w:p>
          <w:p w14:paraId="6089BCD1">
            <w:pPr>
              <w:spacing w:line="240" w:lineRule="auto"/>
              <w:rPr>
                <w:rFonts w:hint="default" w:ascii="宋体" w:hAnsi="宋体" w:eastAsia="宋体"/>
                <w:bCs/>
                <w:iCs/>
                <w:color w:val="000000"/>
                <w:kern w:val="0"/>
                <w:sz w:val="24"/>
                <w:lang w:val="en-US" w:eastAsia="zh-CN"/>
              </w:rPr>
            </w:pPr>
            <w:r>
              <w:rPr>
                <w:rFonts w:hint="eastAsia" w:ascii="宋体" w:hAnsi="宋体"/>
                <w:bCs/>
                <w:iCs/>
                <w:color w:val="000000"/>
                <w:kern w:val="0"/>
                <w:sz w:val="24"/>
                <w:lang w:val="en-US" w:eastAsia="zh-CN"/>
              </w:rPr>
              <w:t>2025年8月14日（15：00-16：00）</w:t>
            </w:r>
          </w:p>
          <w:p w14:paraId="6413E24A">
            <w:pPr>
              <w:spacing w:line="240" w:lineRule="auto"/>
              <w:rPr>
                <w:rFonts w:hint="eastAsia" w:ascii="宋体" w:hAnsi="宋体"/>
                <w:b w:val="0"/>
                <w:bCs/>
                <w:iCs/>
                <w:color w:val="000000"/>
                <w:kern w:val="0"/>
                <w:sz w:val="24"/>
                <w:lang w:val="en-US" w:eastAsia="zh-CN"/>
              </w:rPr>
            </w:pPr>
            <w:r>
              <w:rPr>
                <w:rFonts w:hint="eastAsia" w:ascii="宋体" w:hAnsi="宋体"/>
                <w:b w:val="0"/>
                <w:bCs/>
                <w:iCs/>
                <w:color w:val="000000"/>
                <w:kern w:val="0"/>
                <w:sz w:val="24"/>
                <w:lang w:val="en-US" w:eastAsia="zh-CN"/>
              </w:rPr>
              <w:t>2025年9月1日（10：15-11：30）</w:t>
            </w:r>
          </w:p>
          <w:p w14:paraId="4565EA8E">
            <w:pPr>
              <w:spacing w:line="240" w:lineRule="auto"/>
              <w:rPr>
                <w:rFonts w:hint="eastAsia" w:ascii="宋体" w:hAnsi="宋体"/>
                <w:bCs/>
                <w:iCs/>
                <w:color w:val="000000"/>
                <w:kern w:val="0"/>
                <w:sz w:val="24"/>
                <w:lang w:val="en-US" w:eastAsia="zh-CN"/>
              </w:rPr>
            </w:pPr>
            <w:r>
              <w:rPr>
                <w:rFonts w:hint="eastAsia" w:ascii="宋体" w:hAnsi="宋体"/>
                <w:bCs/>
                <w:iCs/>
                <w:color w:val="000000"/>
                <w:kern w:val="0"/>
                <w:sz w:val="24"/>
                <w:lang w:val="en-US" w:eastAsia="zh-CN"/>
              </w:rPr>
              <w:t>2025年9月8日（16：00-17：50）</w:t>
            </w:r>
          </w:p>
          <w:p w14:paraId="5C6B86C7">
            <w:pPr>
              <w:spacing w:line="240" w:lineRule="auto"/>
              <w:rPr>
                <w:rFonts w:hint="default" w:ascii="宋体" w:hAnsi="宋体"/>
                <w:bCs/>
                <w:iCs/>
                <w:color w:val="000000"/>
                <w:kern w:val="0"/>
                <w:sz w:val="24"/>
                <w:lang w:val="en-US" w:eastAsia="zh-CN"/>
              </w:rPr>
            </w:pPr>
            <w:r>
              <w:rPr>
                <w:rFonts w:hint="eastAsia" w:ascii="宋体" w:hAnsi="宋体"/>
                <w:b w:val="0"/>
                <w:bCs/>
                <w:iCs/>
                <w:color w:val="000000"/>
                <w:kern w:val="0"/>
                <w:sz w:val="24"/>
                <w:lang w:val="en-US" w:eastAsia="zh-CN"/>
              </w:rPr>
              <w:t>2025年9月11日（15：30-17：20）</w:t>
            </w:r>
          </w:p>
        </w:tc>
      </w:tr>
      <w:tr w14:paraId="162D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27C6581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地  点</w:t>
            </w:r>
          </w:p>
        </w:tc>
        <w:tc>
          <w:tcPr>
            <w:tcW w:w="7580" w:type="dxa"/>
          </w:tcPr>
          <w:p w14:paraId="2AD855F6">
            <w:pPr>
              <w:spacing w:line="480" w:lineRule="atLeast"/>
              <w:rPr>
                <w:rFonts w:hint="default" w:ascii="宋体" w:hAnsi="宋体" w:eastAsia="宋体"/>
                <w:bCs/>
                <w:iCs/>
                <w:color w:val="000000"/>
                <w:kern w:val="0"/>
                <w:sz w:val="24"/>
                <w:lang w:val="en-US" w:eastAsia="zh-CN"/>
              </w:rPr>
            </w:pPr>
            <w:r>
              <w:rPr>
                <w:rFonts w:hint="eastAsia" w:ascii="宋体" w:hAnsi="宋体"/>
                <w:bCs/>
                <w:iCs/>
                <w:color w:val="000000"/>
                <w:kern w:val="0"/>
                <w:sz w:val="24"/>
              </w:rPr>
              <w:t>公司展厅、</w:t>
            </w:r>
            <w:r>
              <w:rPr>
                <w:rFonts w:hint="eastAsia" w:ascii="宋体" w:hAnsi="宋体"/>
                <w:bCs/>
                <w:iCs/>
                <w:color w:val="000000"/>
                <w:kern w:val="0"/>
                <w:sz w:val="24"/>
                <w:lang w:val="en-US" w:eastAsia="zh-CN"/>
              </w:rPr>
              <w:t>第二会议室、</w:t>
            </w:r>
            <w:r>
              <w:rPr>
                <w:rFonts w:hint="eastAsia" w:ascii="宋体" w:hAnsi="宋体"/>
                <w:bCs/>
                <w:iCs/>
                <w:color w:val="000000"/>
                <w:kern w:val="0"/>
                <w:sz w:val="24"/>
              </w:rPr>
              <w:t>第</w:t>
            </w:r>
            <w:r>
              <w:rPr>
                <w:rFonts w:hint="eastAsia" w:ascii="宋体" w:hAnsi="宋体"/>
                <w:bCs/>
                <w:iCs/>
                <w:color w:val="000000"/>
                <w:kern w:val="0"/>
                <w:sz w:val="24"/>
                <w:lang w:val="en-US" w:eastAsia="zh-CN"/>
              </w:rPr>
              <w:t>三</w:t>
            </w:r>
            <w:r>
              <w:rPr>
                <w:rFonts w:hint="eastAsia" w:ascii="宋体" w:hAnsi="宋体"/>
                <w:bCs/>
                <w:iCs/>
                <w:color w:val="000000"/>
                <w:kern w:val="0"/>
                <w:sz w:val="24"/>
                <w:lang w:eastAsia="zh-Hans"/>
              </w:rPr>
              <w:t>会议室</w:t>
            </w:r>
            <w:r>
              <w:rPr>
                <w:rFonts w:hint="eastAsia" w:ascii="宋体" w:hAnsi="宋体"/>
                <w:bCs/>
                <w:iCs/>
                <w:color w:val="000000"/>
                <w:kern w:val="0"/>
                <w:sz w:val="24"/>
                <w:lang w:eastAsia="zh-CN"/>
              </w:rPr>
              <w:t>、</w:t>
            </w:r>
            <w:r>
              <w:rPr>
                <w:rFonts w:hint="eastAsia" w:ascii="宋体" w:hAnsi="宋体"/>
                <w:bCs/>
                <w:iCs/>
                <w:color w:val="000000"/>
                <w:kern w:val="0"/>
                <w:sz w:val="24"/>
                <w:lang w:val="en-US" w:eastAsia="zh-CN"/>
              </w:rPr>
              <w:t>第四会议室等</w:t>
            </w:r>
          </w:p>
        </w:tc>
      </w:tr>
      <w:tr w14:paraId="4061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63265B6E">
            <w:pPr>
              <w:spacing w:line="276" w:lineRule="auto"/>
              <w:jc w:val="center"/>
              <w:rPr>
                <w:rFonts w:hint="eastAsia" w:ascii="宋体" w:hAnsi="宋体"/>
                <w:b/>
                <w:bCs/>
                <w:iCs/>
                <w:color w:val="000000"/>
                <w:kern w:val="0"/>
                <w:sz w:val="24"/>
              </w:rPr>
            </w:pPr>
            <w:r>
              <w:rPr>
                <w:rFonts w:hint="eastAsia" w:ascii="宋体" w:hAnsi="宋体"/>
                <w:b/>
                <w:bCs/>
                <w:iCs/>
                <w:color w:val="000000"/>
                <w:kern w:val="0"/>
                <w:sz w:val="24"/>
              </w:rPr>
              <w:t>上市公司</w:t>
            </w:r>
          </w:p>
          <w:p w14:paraId="09A50E06">
            <w:pPr>
              <w:spacing w:line="276" w:lineRule="auto"/>
              <w:jc w:val="center"/>
              <w:rPr>
                <w:rFonts w:hint="eastAsia" w:ascii="宋体" w:hAnsi="宋体"/>
                <w:b/>
                <w:bCs/>
                <w:iCs/>
                <w:color w:val="000000"/>
                <w:kern w:val="0"/>
                <w:sz w:val="24"/>
              </w:rPr>
            </w:pPr>
            <w:r>
              <w:rPr>
                <w:rFonts w:hint="eastAsia" w:ascii="宋体" w:hAnsi="宋体"/>
                <w:b/>
                <w:bCs/>
                <w:iCs/>
                <w:color w:val="000000"/>
                <w:kern w:val="0"/>
                <w:sz w:val="24"/>
              </w:rPr>
              <w:t>接待人员姓名</w:t>
            </w:r>
          </w:p>
        </w:tc>
        <w:tc>
          <w:tcPr>
            <w:tcW w:w="7580" w:type="dxa"/>
            <w:vAlign w:val="center"/>
          </w:tcPr>
          <w:p w14:paraId="32BDBDCA">
            <w:pPr>
              <w:spacing w:line="480" w:lineRule="atLeast"/>
              <w:rPr>
                <w:rFonts w:hint="default" w:ascii="宋体" w:hAnsi="宋体" w:eastAsia="宋体"/>
                <w:bCs/>
                <w:iCs/>
                <w:color w:val="000000"/>
                <w:kern w:val="0"/>
                <w:sz w:val="24"/>
                <w:lang w:val="en-US" w:eastAsia="zh-CN"/>
              </w:rPr>
            </w:pPr>
            <w:r>
              <w:rPr>
                <w:rFonts w:hint="eastAsia" w:ascii="宋体" w:hAnsi="宋体"/>
                <w:bCs/>
                <w:iCs/>
                <w:color w:val="000000"/>
                <w:kern w:val="0"/>
                <w:sz w:val="24"/>
              </w:rPr>
              <w:t>证券事务代表</w:t>
            </w:r>
            <w:r>
              <w:rPr>
                <w:rFonts w:hint="eastAsia" w:ascii="宋体" w:hAnsi="宋体"/>
                <w:bCs/>
                <w:iCs/>
                <w:color w:val="000000"/>
                <w:kern w:val="0"/>
                <w:sz w:val="24"/>
                <w:lang w:eastAsia="zh-CN"/>
              </w:rPr>
              <w:t>、</w:t>
            </w:r>
            <w:r>
              <w:rPr>
                <w:rFonts w:hint="eastAsia" w:ascii="宋体" w:hAnsi="宋体"/>
                <w:bCs/>
                <w:iCs/>
                <w:color w:val="000000"/>
                <w:kern w:val="0"/>
                <w:sz w:val="24"/>
              </w:rPr>
              <w:t>证券投资部副主任：梁建</w:t>
            </w:r>
          </w:p>
        </w:tc>
      </w:tr>
      <w:tr w14:paraId="4EE3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01" w:type="dxa"/>
            <w:vAlign w:val="center"/>
          </w:tcPr>
          <w:p w14:paraId="12FABC7C">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投资者关系活动主要内容介绍</w:t>
            </w:r>
          </w:p>
        </w:tc>
        <w:tc>
          <w:tcPr>
            <w:tcW w:w="7580" w:type="dxa"/>
          </w:tcPr>
          <w:p w14:paraId="05EE9B5B">
            <w:pPr>
              <w:spacing w:line="276" w:lineRule="auto"/>
              <w:ind w:firstLine="484" w:firstLineChars="201"/>
              <w:rPr>
                <w:rFonts w:hint="eastAsia" w:ascii="宋体" w:hAnsi="宋体"/>
                <w:b/>
                <w:bCs/>
                <w:sz w:val="24"/>
              </w:rPr>
            </w:pPr>
            <w:r>
              <w:rPr>
                <w:rFonts w:hint="eastAsia" w:ascii="宋体" w:hAnsi="宋体"/>
                <w:b/>
                <w:bCs/>
                <w:sz w:val="24"/>
              </w:rPr>
              <w:t>线下投资者关系活动主要包括：</w:t>
            </w:r>
          </w:p>
          <w:p w14:paraId="57AECD5E">
            <w:pPr>
              <w:spacing w:line="276" w:lineRule="auto"/>
              <w:ind w:firstLine="484" w:firstLineChars="201"/>
              <w:rPr>
                <w:rFonts w:hint="eastAsia" w:ascii="宋体" w:hAnsi="宋体"/>
                <w:b/>
                <w:bCs/>
                <w:sz w:val="24"/>
              </w:rPr>
            </w:pPr>
            <w:r>
              <w:rPr>
                <w:rFonts w:hint="eastAsia" w:ascii="宋体" w:hAnsi="宋体"/>
                <w:b/>
                <w:bCs/>
                <w:sz w:val="24"/>
              </w:rPr>
              <w:t>（1）参观公司展厅，观看38所和公司宣传片；</w:t>
            </w:r>
          </w:p>
          <w:p w14:paraId="1C9EF2B0">
            <w:pPr>
              <w:spacing w:line="276" w:lineRule="auto"/>
              <w:ind w:firstLine="484" w:firstLineChars="201"/>
              <w:rPr>
                <w:rFonts w:hint="eastAsia" w:ascii="宋体" w:hAnsi="宋体"/>
                <w:b/>
                <w:bCs/>
                <w:sz w:val="24"/>
              </w:rPr>
            </w:pPr>
            <w:r>
              <w:rPr>
                <w:rFonts w:hint="eastAsia" w:ascii="宋体" w:hAnsi="宋体"/>
                <w:b/>
                <w:bCs/>
                <w:sz w:val="24"/>
              </w:rPr>
              <w:t>（2）公司接待人员与来访投资者在会议室进行互动交流。</w:t>
            </w:r>
          </w:p>
          <w:p w14:paraId="6B994115">
            <w:pPr>
              <w:spacing w:line="276" w:lineRule="auto"/>
              <w:ind w:firstLine="484" w:firstLineChars="201"/>
              <w:rPr>
                <w:rFonts w:hint="eastAsia" w:ascii="宋体" w:hAnsi="宋体"/>
                <w:b/>
                <w:bCs/>
                <w:sz w:val="24"/>
              </w:rPr>
            </w:pPr>
            <w:r>
              <w:rPr>
                <w:rFonts w:hint="eastAsia" w:ascii="宋体" w:hAnsi="宋体"/>
                <w:b/>
                <w:bCs/>
                <w:sz w:val="24"/>
              </w:rPr>
              <w:t>一、公司基本情况介绍</w:t>
            </w:r>
          </w:p>
          <w:p w14:paraId="0CCBF7D0">
            <w:pPr>
              <w:widowControl/>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eastAsia="zh-Hans"/>
              </w:rPr>
              <w:t>四创电子2000年8月</w:t>
            </w:r>
            <w:r>
              <w:rPr>
                <w:rFonts w:hint="eastAsia" w:ascii="楷体" w:hAnsi="楷体" w:eastAsia="楷体" w:cs="宋体"/>
                <w:kern w:val="0"/>
                <w:szCs w:val="21"/>
              </w:rPr>
              <w:t>成立</w:t>
            </w:r>
            <w:r>
              <w:rPr>
                <w:rFonts w:hint="eastAsia" w:ascii="楷体" w:hAnsi="楷体" w:eastAsia="楷体" w:cs="宋体"/>
                <w:kern w:val="0"/>
                <w:szCs w:val="21"/>
                <w:lang w:eastAsia="zh-Hans"/>
              </w:rPr>
              <w:t>，</w:t>
            </w:r>
            <w:r>
              <w:rPr>
                <w:rFonts w:hint="eastAsia" w:ascii="楷体" w:hAnsi="楷体" w:eastAsia="楷体" w:cs="宋体"/>
                <w:kern w:val="0"/>
                <w:szCs w:val="21"/>
              </w:rPr>
              <w:t>2004年5月在上海证券交易所上市，</w:t>
            </w:r>
            <w:r>
              <w:rPr>
                <w:rFonts w:hint="eastAsia" w:ascii="楷体" w:hAnsi="楷体" w:eastAsia="楷体" w:cs="宋体"/>
                <w:kern w:val="0"/>
                <w:szCs w:val="21"/>
                <w:lang w:eastAsia="zh-Hans"/>
              </w:rPr>
              <w:t>业务</w:t>
            </w:r>
            <w:r>
              <w:rPr>
                <w:rFonts w:hint="eastAsia" w:ascii="楷体" w:hAnsi="楷体" w:eastAsia="楷体" w:cs="宋体"/>
                <w:kern w:val="0"/>
                <w:szCs w:val="21"/>
              </w:rPr>
              <w:t>方向主要</w:t>
            </w:r>
            <w:r>
              <w:rPr>
                <w:rFonts w:hint="eastAsia" w:ascii="楷体" w:hAnsi="楷体" w:eastAsia="楷体" w:cs="宋体"/>
                <w:kern w:val="0"/>
                <w:szCs w:val="21"/>
                <w:lang w:eastAsia="zh-Hans"/>
              </w:rPr>
              <w:t>包括</w:t>
            </w:r>
            <w:r>
              <w:rPr>
                <w:rFonts w:hint="eastAsia" w:ascii="楷体" w:hAnsi="楷体" w:eastAsia="楷体" w:cs="宋体"/>
                <w:kern w:val="0"/>
                <w:szCs w:val="21"/>
              </w:rPr>
              <w:t>以</w:t>
            </w:r>
            <w:r>
              <w:rPr>
                <w:rFonts w:hint="eastAsia" w:ascii="楷体" w:hAnsi="楷体" w:eastAsia="楷体" w:cs="宋体"/>
                <w:kern w:val="0"/>
                <w:szCs w:val="21"/>
                <w:lang w:eastAsia="zh-Hans"/>
              </w:rPr>
              <w:t>气象</w:t>
            </w:r>
            <w:r>
              <w:rPr>
                <w:rFonts w:hint="eastAsia" w:ascii="楷体" w:hAnsi="楷体" w:eastAsia="楷体" w:cs="宋体"/>
                <w:kern w:val="0"/>
                <w:szCs w:val="21"/>
              </w:rPr>
              <w:t>、</w:t>
            </w:r>
            <w:r>
              <w:rPr>
                <w:rFonts w:hint="eastAsia" w:ascii="楷体" w:hAnsi="楷体" w:eastAsia="楷体" w:cs="宋体"/>
                <w:kern w:val="0"/>
                <w:szCs w:val="21"/>
                <w:lang w:eastAsia="zh-Hans"/>
              </w:rPr>
              <w:t>空管</w:t>
            </w:r>
            <w:r>
              <w:rPr>
                <w:rFonts w:hint="eastAsia" w:ascii="楷体" w:hAnsi="楷体" w:eastAsia="楷体" w:cs="宋体"/>
                <w:kern w:val="0"/>
                <w:szCs w:val="21"/>
              </w:rPr>
              <w:t>和</w:t>
            </w:r>
            <w:r>
              <w:rPr>
                <w:rFonts w:hint="eastAsia" w:ascii="楷体" w:hAnsi="楷体" w:eastAsia="楷体" w:cs="宋体"/>
                <w:kern w:val="0"/>
                <w:szCs w:val="21"/>
                <w:lang w:eastAsia="zh-Hans"/>
              </w:rPr>
              <w:t>低空</w:t>
            </w:r>
            <w:r>
              <w:rPr>
                <w:rFonts w:hint="eastAsia" w:ascii="楷体" w:hAnsi="楷体" w:eastAsia="楷体" w:cs="宋体"/>
                <w:kern w:val="0"/>
                <w:szCs w:val="21"/>
              </w:rPr>
              <w:t>警戒</w:t>
            </w:r>
            <w:r>
              <w:rPr>
                <w:rFonts w:hint="eastAsia" w:ascii="楷体" w:hAnsi="楷体" w:eastAsia="楷体" w:cs="宋体"/>
                <w:kern w:val="0"/>
                <w:szCs w:val="21"/>
                <w:lang w:eastAsia="zh-Hans"/>
              </w:rPr>
              <w:t>雷达</w:t>
            </w:r>
            <w:r>
              <w:rPr>
                <w:rFonts w:hint="eastAsia" w:ascii="楷体" w:hAnsi="楷体" w:eastAsia="楷体" w:cs="宋体"/>
                <w:kern w:val="0"/>
                <w:szCs w:val="21"/>
              </w:rPr>
              <w:t>为核心的感知</w:t>
            </w:r>
            <w:r>
              <w:rPr>
                <w:rFonts w:hint="eastAsia" w:ascii="楷体" w:hAnsi="楷体" w:eastAsia="楷体" w:cs="宋体"/>
                <w:kern w:val="0"/>
                <w:szCs w:val="21"/>
                <w:lang w:val="en-US" w:eastAsia="zh-CN"/>
              </w:rPr>
              <w:t>产品</w:t>
            </w:r>
            <w:r>
              <w:rPr>
                <w:rFonts w:hint="eastAsia" w:ascii="楷体" w:hAnsi="楷体" w:eastAsia="楷体" w:cs="宋体"/>
                <w:kern w:val="0"/>
                <w:szCs w:val="21"/>
              </w:rPr>
              <w:t>，以</w:t>
            </w:r>
            <w:r>
              <w:rPr>
                <w:rFonts w:hint="eastAsia" w:ascii="楷体" w:hAnsi="楷体" w:eastAsia="楷体" w:cs="宋体"/>
                <w:kern w:val="0"/>
                <w:szCs w:val="21"/>
                <w:lang w:eastAsia="zh-Hans"/>
              </w:rPr>
              <w:t>印制电路板</w:t>
            </w:r>
            <w:r>
              <w:rPr>
                <w:rFonts w:hint="eastAsia" w:ascii="楷体" w:hAnsi="楷体" w:eastAsia="楷体" w:cs="宋体"/>
                <w:kern w:val="0"/>
                <w:szCs w:val="21"/>
              </w:rPr>
              <w:t>、</w:t>
            </w:r>
            <w:r>
              <w:rPr>
                <w:rFonts w:hint="eastAsia" w:ascii="楷体" w:hAnsi="楷体" w:eastAsia="楷体" w:cs="宋体"/>
                <w:kern w:val="0"/>
                <w:szCs w:val="21"/>
                <w:lang w:eastAsia="zh-Hans"/>
              </w:rPr>
              <w:t>电源</w:t>
            </w:r>
            <w:r>
              <w:rPr>
                <w:rFonts w:hint="eastAsia" w:ascii="楷体" w:hAnsi="楷体" w:eastAsia="楷体" w:cs="宋体"/>
                <w:kern w:val="0"/>
                <w:szCs w:val="21"/>
              </w:rPr>
              <w:t>、</w:t>
            </w:r>
            <w:r>
              <w:rPr>
                <w:rFonts w:hint="eastAsia" w:ascii="楷体" w:hAnsi="楷体" w:eastAsia="楷体" w:cs="宋体"/>
                <w:kern w:val="0"/>
                <w:szCs w:val="21"/>
                <w:lang w:eastAsia="zh-Hans"/>
              </w:rPr>
              <w:t>微波器件</w:t>
            </w:r>
            <w:r>
              <w:rPr>
                <w:rFonts w:hint="eastAsia" w:ascii="楷体" w:hAnsi="楷体" w:eastAsia="楷体" w:cs="宋体"/>
                <w:kern w:val="0"/>
                <w:szCs w:val="21"/>
              </w:rPr>
              <w:t>为核心的感知基础，以</w:t>
            </w:r>
            <w:r>
              <w:rPr>
                <w:rFonts w:hint="eastAsia" w:ascii="楷体" w:hAnsi="楷体" w:eastAsia="楷体" w:cs="宋体"/>
                <w:kern w:val="0"/>
                <w:szCs w:val="21"/>
                <w:lang w:eastAsia="zh-Hans"/>
              </w:rPr>
              <w:t>安防</w:t>
            </w:r>
            <w:r>
              <w:rPr>
                <w:rFonts w:hint="eastAsia" w:ascii="楷体" w:hAnsi="楷体" w:eastAsia="楷体" w:cs="宋体"/>
                <w:kern w:val="0"/>
                <w:szCs w:val="21"/>
              </w:rPr>
              <w:t>、</w:t>
            </w:r>
            <w:r>
              <w:rPr>
                <w:rFonts w:hint="eastAsia" w:ascii="楷体" w:hAnsi="楷体" w:eastAsia="楷体" w:cs="宋体"/>
                <w:kern w:val="0"/>
                <w:szCs w:val="21"/>
                <w:lang w:eastAsia="zh-Hans"/>
              </w:rPr>
              <w:t>人防信息系统</w:t>
            </w:r>
            <w:r>
              <w:rPr>
                <w:rFonts w:hint="eastAsia" w:ascii="楷体" w:hAnsi="楷体" w:eastAsia="楷体" w:cs="宋体"/>
                <w:kern w:val="0"/>
                <w:szCs w:val="21"/>
              </w:rPr>
              <w:t>为核心的感知应用</w:t>
            </w:r>
            <w:r>
              <w:rPr>
                <w:rFonts w:hint="eastAsia" w:ascii="楷体" w:hAnsi="楷体" w:eastAsia="楷体" w:cs="宋体"/>
                <w:kern w:val="0"/>
                <w:szCs w:val="21"/>
                <w:lang w:val="en-US" w:eastAsia="zh-CN"/>
              </w:rPr>
              <w:t>以及低空经济等新动能业务。</w:t>
            </w:r>
          </w:p>
          <w:p w14:paraId="0600598B">
            <w:pPr>
              <w:spacing w:line="276" w:lineRule="auto"/>
              <w:ind w:firstLine="484" w:firstLineChars="201"/>
              <w:rPr>
                <w:rFonts w:hint="eastAsia" w:ascii="宋体" w:hAnsi="宋体"/>
                <w:b/>
                <w:bCs/>
                <w:sz w:val="24"/>
              </w:rPr>
            </w:pPr>
            <w:r>
              <w:rPr>
                <w:rFonts w:hint="eastAsia" w:ascii="宋体" w:hAnsi="宋体"/>
                <w:b/>
                <w:bCs/>
                <w:sz w:val="24"/>
              </w:rPr>
              <w:t>二、互动问答</w:t>
            </w:r>
          </w:p>
          <w:p w14:paraId="7BB69049">
            <w:pPr>
              <w:widowControl/>
              <w:ind w:firstLine="422" w:firstLineChars="200"/>
              <w:jc w:val="left"/>
              <w:rPr>
                <w:rFonts w:hint="eastAsia" w:ascii="楷体" w:hAnsi="楷体" w:eastAsia="楷体" w:cs="宋体"/>
                <w:b/>
                <w:bCs/>
                <w:kern w:val="0"/>
                <w:szCs w:val="21"/>
                <w:lang w:eastAsia="zh-CN"/>
              </w:rPr>
            </w:pPr>
            <w:r>
              <w:rPr>
                <w:rFonts w:hint="eastAsia" w:ascii="楷体" w:hAnsi="楷体" w:eastAsia="楷体" w:cs="宋体"/>
                <w:b/>
                <w:bCs/>
                <w:kern w:val="0"/>
                <w:szCs w:val="21"/>
              </w:rPr>
              <w:t>1、</w:t>
            </w:r>
            <w:r>
              <w:rPr>
                <w:rFonts w:hint="eastAsia" w:ascii="楷体" w:hAnsi="楷体" w:eastAsia="楷体" w:cs="宋体"/>
                <w:b/>
                <w:bCs/>
                <w:kern w:val="0"/>
                <w:szCs w:val="21"/>
                <w:lang w:val="en-US" w:eastAsia="zh-CN"/>
              </w:rPr>
              <w:t>怎么看公司半年度经营情况？</w:t>
            </w:r>
          </w:p>
          <w:p w14:paraId="59672656">
            <w:pPr>
              <w:widowControl/>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rPr>
              <w:t>答：</w:t>
            </w:r>
            <w:r>
              <w:rPr>
                <w:rFonts w:hint="eastAsia" w:ascii="楷体" w:hAnsi="楷体" w:eastAsia="楷体" w:cs="宋体"/>
                <w:kern w:val="0"/>
                <w:szCs w:val="21"/>
                <w:lang w:val="en-US" w:eastAsia="zh-CN"/>
              </w:rPr>
              <w:t>公司2025年半年度营业收入较上年同期增长5.6%，主要来源于雷达整机、数智安全业务收入的增加，研发投入较上年同期有较大幅度增加，主要聚焦在感知产品和低空经济领域，归母净利润虽较上年亏损加剧，主要是上年同期有房产处置事项，因此公司扣非归母净利润较上年亏损减少，来源于销售费用、管理费用的下降以及整体毛利率的提升。公司将继续努力做好经营管理工作，力争实现年度经营目标。</w:t>
            </w:r>
          </w:p>
          <w:p w14:paraId="6DCAAAE5">
            <w:pPr>
              <w:widowControl/>
              <w:ind w:firstLine="422" w:firstLineChars="200"/>
              <w:jc w:val="left"/>
              <w:rPr>
                <w:rFonts w:hint="default" w:ascii="楷体" w:hAnsi="楷体" w:eastAsia="楷体" w:cs="宋体"/>
                <w:b/>
                <w:bCs/>
                <w:kern w:val="0"/>
                <w:szCs w:val="21"/>
                <w:lang w:val="en-US"/>
              </w:rPr>
            </w:pPr>
            <w:r>
              <w:rPr>
                <w:rFonts w:hint="eastAsia" w:ascii="楷体" w:hAnsi="楷体" w:eastAsia="楷体" w:cs="宋体"/>
                <w:b/>
                <w:bCs/>
                <w:kern w:val="0"/>
                <w:szCs w:val="21"/>
              </w:rPr>
              <w:t>2、</w:t>
            </w:r>
            <w:r>
              <w:rPr>
                <w:rFonts w:hint="eastAsia" w:ascii="楷体" w:hAnsi="楷体" w:eastAsia="楷体" w:cs="宋体"/>
                <w:b/>
                <w:bCs/>
                <w:kern w:val="0"/>
                <w:szCs w:val="21"/>
                <w:lang w:val="en-US" w:eastAsia="zh-CN"/>
              </w:rPr>
              <w:t>能否简单介绍下公司参加的第四届低空经济发展大会情况？</w:t>
            </w:r>
          </w:p>
          <w:p w14:paraId="4384BF72">
            <w:pPr>
              <w:widowControl/>
              <w:ind w:firstLine="420" w:firstLineChars="200"/>
              <w:jc w:val="left"/>
              <w:rPr>
                <w:rFonts w:hint="default" w:ascii="楷体" w:hAnsi="楷体" w:eastAsia="楷体" w:cs="宋体"/>
                <w:kern w:val="0"/>
                <w:szCs w:val="21"/>
                <w:lang w:val="en-US"/>
              </w:rPr>
            </w:pPr>
            <w:r>
              <w:rPr>
                <w:rFonts w:hint="eastAsia" w:ascii="楷体" w:hAnsi="楷体" w:eastAsia="楷体" w:cs="宋体"/>
                <w:kern w:val="0"/>
                <w:szCs w:val="21"/>
              </w:rPr>
              <w:t>答：</w:t>
            </w:r>
            <w:r>
              <w:rPr>
                <w:rFonts w:hint="eastAsia" w:ascii="楷体" w:hAnsi="楷体" w:eastAsia="楷体" w:cs="宋体"/>
                <w:kern w:val="0"/>
                <w:szCs w:val="21"/>
                <w:lang w:val="en-US" w:eastAsia="zh-CN"/>
              </w:rPr>
              <w:t>第四届低空经济发展大会于9月5日在安徽芜湖开幕，大会的主题是“场景创新引领，安全有序发展”，公司也携低空经济系列产品及系统解决发展参加了展会，展示公司在低空领域的创新成果。同时，公司在“中央企业低空经济报告会”上作了《城市立体安全防控体系的探索与实践》专题汇报，发布“低空雪亮”安全监管系统解决方案及核心产品。在解决方案方面，公司除了展示“低空雪亮”，还展示了低空试验验证基地、重要目标防护系统以及“悟空”低空大模型，展示了城市安全监管的“智慧大脑”。在目标探测领域，公司展出了从百米级到20km探测距离的多维立体、主被动协同的低空监视系列产品，包括空中警察、“萤火虫”超近程雷达、X波段相控阵雷达、微波辐射计、3G网眼雷达等。</w:t>
            </w:r>
          </w:p>
          <w:p w14:paraId="267E6040">
            <w:pPr>
              <w:widowControl/>
              <w:numPr>
                <w:ilvl w:val="0"/>
                <w:numId w:val="0"/>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3、请重点介绍下重要目标防护系统？</w:t>
            </w:r>
          </w:p>
          <w:p w14:paraId="7809481A">
            <w:pPr>
              <w:widowControl/>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答：针对不同场景的重要目标防护需求，公司打造覆盖机动式、点位级、区域级和城市级的4大场景重要目标防护整体解决方案，具体包括区域级防护半径达20公里，适用于大型机场、港口等要地场景；点位级防护半径约5公里，为监狱监所、政府大楼、能源单位等提供“探测-识别-取证-处置”闭环综合防控；机动伴随式防护半径8公里，专门针对要人出行、大型活动安保等场景，展现出色的灵活性和适应性。城市级防护半径50公里，针对核心区、人口密集区，首创“低空雪亮”城市立体防控体系。</w:t>
            </w:r>
          </w:p>
          <w:p w14:paraId="49120BD4">
            <w:pPr>
              <w:widowControl/>
              <w:numPr>
                <w:numId w:val="0"/>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4、请介绍下合肥低空专项债具体情况？</w:t>
            </w:r>
          </w:p>
          <w:p w14:paraId="42F82CEE">
            <w:pPr>
              <w:widowControl/>
              <w:numPr>
                <w:ilvl w:val="0"/>
                <w:numId w:val="0"/>
              </w:numPr>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据了解，8月26日，安徽省财政厅正式发行部分专项债券，其中合肥市低空经济基础设施建设项目获批18.6亿元，此次获批的低空经济领域专项债项目区别于其他基建产业园项目，重点聚焦低空安全监管的顶层设计，具体包括低空智联网基础设施、地面基础设施体系、低空飞行支撑体系、低空飞行保障体系、低空飞行服务与一网统飞指挥中信和安全防护体系，共计6大模块。目前项目正在开展详细设计等工作。后续根据具体进展情况，落地相关业务。</w:t>
            </w:r>
          </w:p>
          <w:p w14:paraId="7F6719A3">
            <w:pPr>
              <w:widowControl/>
              <w:ind w:firstLine="422" w:firstLineChars="200"/>
              <w:jc w:val="left"/>
              <w:rPr>
                <w:rFonts w:hint="default" w:ascii="楷体" w:hAnsi="楷体" w:eastAsia="楷体" w:cs="宋体"/>
                <w:b/>
                <w:bCs/>
                <w:kern w:val="0"/>
                <w:szCs w:val="21"/>
                <w:lang w:val="en-US" w:eastAsia="zh-CN"/>
              </w:rPr>
            </w:pPr>
            <w:r>
              <w:rPr>
                <w:rFonts w:hint="eastAsia" w:ascii="楷体" w:hAnsi="楷体" w:eastAsia="楷体" w:cs="宋体"/>
                <w:b/>
                <w:bCs/>
                <w:kern w:val="0"/>
                <w:szCs w:val="21"/>
                <w:lang w:val="en-US" w:eastAsia="zh-CN"/>
              </w:rPr>
              <w:t>5、公司针对低空领域，开发了哪些重点核心产品？</w:t>
            </w:r>
          </w:p>
          <w:p w14:paraId="61F1D947">
            <w:pPr>
              <w:widowControl/>
              <w:ind w:firstLine="420" w:firstLineChars="200"/>
              <w:jc w:val="left"/>
              <w:rPr>
                <w:rFonts w:hint="eastAsia" w:ascii="楷体" w:hAnsi="楷体" w:eastAsia="楷体" w:cs="宋体"/>
                <w:kern w:val="0"/>
                <w:szCs w:val="21"/>
                <w:lang w:val="en-US" w:eastAsia="zh-CN"/>
              </w:rPr>
            </w:pPr>
            <w:r>
              <w:rPr>
                <w:rFonts w:hint="eastAsia" w:ascii="楷体" w:hAnsi="楷体" w:eastAsia="楷体" w:cs="宋体"/>
                <w:kern w:val="0"/>
                <w:szCs w:val="21"/>
                <w:lang w:val="en-US" w:eastAsia="zh-CN"/>
              </w:rPr>
              <w:t>答：围绕当前行业内安全不托底的技术难题，对标低空安全市场需求，公司体系化布局了多款单装级低成本低空安全核心产品，主要包括低空监视产品和低空气象产品等。低空监视产品包括超近程低空监视雷达、近程低空监视雷达、中程低空监视雷达和远程低空监视雷达。低空气象产品包括地基辐射计、低成本相控阵天气雷达和激光测风雷达等。</w:t>
            </w:r>
          </w:p>
          <w:p w14:paraId="54EBDA5F">
            <w:pPr>
              <w:widowControl/>
              <w:numPr>
                <w:numId w:val="0"/>
              </w:numPr>
              <w:ind w:firstLine="422" w:firstLine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6、您提到的这些产品未来重点应用在哪些领域，市场规模如何？</w:t>
            </w:r>
          </w:p>
          <w:p w14:paraId="192F37CA">
            <w:pPr>
              <w:widowControl/>
              <w:numPr>
                <w:numId w:val="0"/>
              </w:numPr>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答：这些产品主要聚焦在城市空中交通、机场重防、其他要地防护等业务领域，“管的住才能放得开”随着低空经济的发展，各业务领域均有良好的市场前景。针对城市空中交通领域（包括公安城市治理），主要应用到超近程监视雷达、近程监视雷达和低空气象设备；在机场重防领域，重点需求超近程监视雷达、中程监视雷达和远程监视雷达，相关产品也在某机场开展比测；在其他要地涉及低空管控区域，主要包括涉密单位、要害设施、基础设施、特殊设施、重要场所等，重点需求中程监视雷达和远程监视雷达。</w:t>
            </w:r>
          </w:p>
          <w:p w14:paraId="0218B06A">
            <w:pPr>
              <w:widowControl/>
              <w:numPr>
                <w:numId w:val="0"/>
              </w:numPr>
              <w:ind w:leftChars="200"/>
              <w:jc w:val="left"/>
              <w:rPr>
                <w:rFonts w:hint="eastAsia" w:ascii="楷体" w:hAnsi="楷体" w:eastAsia="楷体" w:cs="宋体"/>
                <w:b/>
                <w:bCs/>
                <w:kern w:val="0"/>
                <w:szCs w:val="21"/>
                <w:lang w:val="en-US" w:eastAsia="zh-CN"/>
              </w:rPr>
            </w:pPr>
            <w:r>
              <w:rPr>
                <w:rFonts w:hint="eastAsia" w:ascii="楷体" w:hAnsi="楷体" w:eastAsia="楷体" w:cs="宋体"/>
                <w:b/>
                <w:bCs/>
                <w:kern w:val="0"/>
                <w:szCs w:val="21"/>
                <w:lang w:val="en-US" w:eastAsia="zh-CN"/>
              </w:rPr>
              <w:t>7、最近核聚变领域的电源是否有最新进展？</w:t>
            </w:r>
          </w:p>
          <w:p w14:paraId="5DA01648">
            <w:pPr>
              <w:widowControl/>
              <w:numPr>
                <w:ilvl w:val="0"/>
                <w:numId w:val="0"/>
              </w:numPr>
              <w:ind w:firstLine="420" w:firstLineChars="200"/>
              <w:jc w:val="left"/>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答：据了解，聚变新能最近针对BES</w:t>
            </w:r>
            <w:bookmarkStart w:id="0" w:name="_GoBack"/>
            <w:bookmarkEnd w:id="0"/>
            <w:r>
              <w:rPr>
                <w:rFonts w:hint="eastAsia" w:ascii="楷体" w:hAnsi="楷体" w:eastAsia="楷体" w:cs="宋体"/>
                <w:kern w:val="0"/>
                <w:szCs w:val="21"/>
                <w:lang w:val="en-US" w:eastAsia="zh-CN"/>
              </w:rPr>
              <w:t>T项目中的离子回旋加热系统需求的高压模块批产产品向多家单位进行了询价，以编制项目预算，预计年内可能会开展招投标工作。BEST项目的中心束加热系统项目和EAST改造项目尚无最新进展。</w:t>
            </w:r>
          </w:p>
        </w:tc>
      </w:tr>
      <w:tr w14:paraId="78DC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EB382A0">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附件清单</w:t>
            </w:r>
          </w:p>
          <w:p w14:paraId="48E8AA11">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（如有）</w:t>
            </w:r>
          </w:p>
        </w:tc>
        <w:tc>
          <w:tcPr>
            <w:tcW w:w="7580" w:type="dxa"/>
          </w:tcPr>
          <w:p w14:paraId="55614DB4">
            <w:pPr>
              <w:spacing w:line="480" w:lineRule="atLeast"/>
              <w:rPr>
                <w:rFonts w:hint="eastAsia" w:ascii="宋体" w:hAnsi="宋体"/>
                <w:bCs/>
                <w:iCs/>
                <w:color w:val="000000"/>
                <w:kern w:val="0"/>
                <w:sz w:val="24"/>
              </w:rPr>
            </w:pPr>
            <w:r>
              <w:rPr>
                <w:rFonts w:hint="eastAsia" w:ascii="宋体" w:hAnsi="宋体"/>
                <w:bCs/>
                <w:iCs/>
                <w:color w:val="000000"/>
                <w:kern w:val="0"/>
                <w:sz w:val="24"/>
              </w:rPr>
              <w:t>无</w:t>
            </w:r>
          </w:p>
        </w:tc>
      </w:tr>
      <w:tr w14:paraId="449A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2F839F84">
            <w:pPr>
              <w:spacing w:line="480" w:lineRule="atLeast"/>
              <w:jc w:val="center"/>
              <w:rPr>
                <w:rFonts w:hint="eastAsia" w:ascii="宋体" w:hAnsi="宋体"/>
                <w:b/>
                <w:bCs/>
                <w:iCs/>
                <w:color w:val="000000"/>
                <w:kern w:val="0"/>
                <w:sz w:val="24"/>
              </w:rPr>
            </w:pPr>
            <w:r>
              <w:rPr>
                <w:rFonts w:hint="eastAsia" w:ascii="宋体" w:hAnsi="宋体"/>
                <w:b/>
                <w:bCs/>
                <w:iCs/>
                <w:color w:val="000000"/>
                <w:kern w:val="0"/>
                <w:sz w:val="24"/>
              </w:rPr>
              <w:t>日  期</w:t>
            </w:r>
          </w:p>
        </w:tc>
        <w:tc>
          <w:tcPr>
            <w:tcW w:w="7580" w:type="dxa"/>
          </w:tcPr>
          <w:p w14:paraId="55AE9635">
            <w:pPr>
              <w:spacing w:line="240" w:lineRule="auto"/>
              <w:rPr>
                <w:rFonts w:hint="eastAsia" w:ascii="宋体" w:hAnsi="宋体"/>
                <w:bCs/>
                <w:iCs/>
                <w:color w:val="000000"/>
                <w:kern w:val="0"/>
                <w:sz w:val="24"/>
              </w:rPr>
            </w:pPr>
            <w:r>
              <w:rPr>
                <w:rFonts w:hint="eastAsia" w:ascii="宋体" w:hAnsi="宋体"/>
                <w:bCs/>
                <w:iCs/>
                <w:color w:val="000000"/>
                <w:kern w:val="0"/>
                <w:sz w:val="24"/>
                <w:lang w:val="en-US" w:eastAsia="zh-CN"/>
              </w:rPr>
              <w:t>2025年7月2日；2025年7月3日；2025年7月8日；2025年7月11日；2025年8月14日；</w:t>
            </w:r>
            <w:r>
              <w:rPr>
                <w:rFonts w:hint="eastAsia" w:ascii="宋体" w:hAnsi="宋体"/>
                <w:b w:val="0"/>
                <w:bCs/>
                <w:iCs/>
                <w:color w:val="000000"/>
                <w:kern w:val="0"/>
                <w:sz w:val="24"/>
                <w:lang w:val="en-US" w:eastAsia="zh-CN"/>
              </w:rPr>
              <w:t>2025年9月1日；</w:t>
            </w:r>
            <w:r>
              <w:rPr>
                <w:rFonts w:hint="eastAsia" w:ascii="宋体" w:hAnsi="宋体"/>
                <w:bCs/>
                <w:iCs/>
                <w:color w:val="000000"/>
                <w:kern w:val="0"/>
                <w:sz w:val="24"/>
                <w:lang w:val="en-US" w:eastAsia="zh-CN"/>
              </w:rPr>
              <w:t>2025年9月8日；</w:t>
            </w:r>
            <w:r>
              <w:rPr>
                <w:rFonts w:hint="eastAsia" w:ascii="宋体" w:hAnsi="宋体"/>
                <w:b w:val="0"/>
                <w:bCs/>
                <w:iCs/>
                <w:color w:val="000000"/>
                <w:kern w:val="0"/>
                <w:sz w:val="24"/>
                <w:lang w:val="en-US" w:eastAsia="zh-CN"/>
              </w:rPr>
              <w:t>2025年9月11日</w:t>
            </w:r>
          </w:p>
        </w:tc>
      </w:tr>
    </w:tbl>
    <w:p w14:paraId="097566C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YTA0MjYzYWNlYjMwNmNiMWZlNjE2NDY1ODZlOWUifQ=="/>
  </w:docVars>
  <w:rsids>
    <w:rsidRoot w:val="00172A27"/>
    <w:rsid w:val="00000461"/>
    <w:rsid w:val="00000635"/>
    <w:rsid w:val="000013EE"/>
    <w:rsid w:val="00001494"/>
    <w:rsid w:val="00001DFE"/>
    <w:rsid w:val="00005A6F"/>
    <w:rsid w:val="00006009"/>
    <w:rsid w:val="00016F7D"/>
    <w:rsid w:val="000236D4"/>
    <w:rsid w:val="000239E2"/>
    <w:rsid w:val="00026951"/>
    <w:rsid w:val="00027685"/>
    <w:rsid w:val="000279A4"/>
    <w:rsid w:val="000304FB"/>
    <w:rsid w:val="00030AF1"/>
    <w:rsid w:val="0003423E"/>
    <w:rsid w:val="00035517"/>
    <w:rsid w:val="00036DE6"/>
    <w:rsid w:val="000408C2"/>
    <w:rsid w:val="00045105"/>
    <w:rsid w:val="000471DE"/>
    <w:rsid w:val="000523CC"/>
    <w:rsid w:val="00052E92"/>
    <w:rsid w:val="00054351"/>
    <w:rsid w:val="00054AEC"/>
    <w:rsid w:val="00054FD1"/>
    <w:rsid w:val="000567D2"/>
    <w:rsid w:val="00057653"/>
    <w:rsid w:val="00061234"/>
    <w:rsid w:val="0006365F"/>
    <w:rsid w:val="0006609D"/>
    <w:rsid w:val="00067EF7"/>
    <w:rsid w:val="00075743"/>
    <w:rsid w:val="00075E45"/>
    <w:rsid w:val="000770BE"/>
    <w:rsid w:val="00082578"/>
    <w:rsid w:val="00085169"/>
    <w:rsid w:val="0008547E"/>
    <w:rsid w:val="00086284"/>
    <w:rsid w:val="00086CB1"/>
    <w:rsid w:val="00087362"/>
    <w:rsid w:val="000901D0"/>
    <w:rsid w:val="0009202B"/>
    <w:rsid w:val="0009385E"/>
    <w:rsid w:val="00094905"/>
    <w:rsid w:val="00095222"/>
    <w:rsid w:val="00097B2A"/>
    <w:rsid w:val="000A0DD6"/>
    <w:rsid w:val="000A1EAA"/>
    <w:rsid w:val="000A79A8"/>
    <w:rsid w:val="000B0162"/>
    <w:rsid w:val="000B0943"/>
    <w:rsid w:val="000B2850"/>
    <w:rsid w:val="000B378A"/>
    <w:rsid w:val="000B650F"/>
    <w:rsid w:val="000C14D7"/>
    <w:rsid w:val="000C1DCF"/>
    <w:rsid w:val="000C357E"/>
    <w:rsid w:val="000C50A4"/>
    <w:rsid w:val="000C5832"/>
    <w:rsid w:val="000C60FA"/>
    <w:rsid w:val="000C625B"/>
    <w:rsid w:val="000D24FB"/>
    <w:rsid w:val="000D5585"/>
    <w:rsid w:val="000E00CA"/>
    <w:rsid w:val="000E08CA"/>
    <w:rsid w:val="000F0604"/>
    <w:rsid w:val="000F06B3"/>
    <w:rsid w:val="000F411A"/>
    <w:rsid w:val="000F513D"/>
    <w:rsid w:val="000F5EB0"/>
    <w:rsid w:val="000F772F"/>
    <w:rsid w:val="00104330"/>
    <w:rsid w:val="00107909"/>
    <w:rsid w:val="00110525"/>
    <w:rsid w:val="00111A15"/>
    <w:rsid w:val="00114FB2"/>
    <w:rsid w:val="0011537F"/>
    <w:rsid w:val="001154A8"/>
    <w:rsid w:val="00117132"/>
    <w:rsid w:val="00117899"/>
    <w:rsid w:val="00122708"/>
    <w:rsid w:val="00124080"/>
    <w:rsid w:val="00124AEE"/>
    <w:rsid w:val="00124AFF"/>
    <w:rsid w:val="00124F8E"/>
    <w:rsid w:val="00127269"/>
    <w:rsid w:val="00127499"/>
    <w:rsid w:val="00130039"/>
    <w:rsid w:val="00130390"/>
    <w:rsid w:val="00131200"/>
    <w:rsid w:val="00131FE0"/>
    <w:rsid w:val="001329D5"/>
    <w:rsid w:val="00136819"/>
    <w:rsid w:val="00141E32"/>
    <w:rsid w:val="0014228B"/>
    <w:rsid w:val="0014312A"/>
    <w:rsid w:val="00143FB3"/>
    <w:rsid w:val="00151FC6"/>
    <w:rsid w:val="00154BD1"/>
    <w:rsid w:val="001550DE"/>
    <w:rsid w:val="00155C56"/>
    <w:rsid w:val="00160016"/>
    <w:rsid w:val="00162CFA"/>
    <w:rsid w:val="001630EA"/>
    <w:rsid w:val="00165BA2"/>
    <w:rsid w:val="001711F9"/>
    <w:rsid w:val="00171AA7"/>
    <w:rsid w:val="00172A27"/>
    <w:rsid w:val="001734E9"/>
    <w:rsid w:val="00175A5C"/>
    <w:rsid w:val="00177CD1"/>
    <w:rsid w:val="00177D31"/>
    <w:rsid w:val="0018182B"/>
    <w:rsid w:val="0018339E"/>
    <w:rsid w:val="00185779"/>
    <w:rsid w:val="001870BB"/>
    <w:rsid w:val="00187150"/>
    <w:rsid w:val="001912B1"/>
    <w:rsid w:val="0019195C"/>
    <w:rsid w:val="001931C1"/>
    <w:rsid w:val="00194142"/>
    <w:rsid w:val="00197EA3"/>
    <w:rsid w:val="00197FE1"/>
    <w:rsid w:val="001A1152"/>
    <w:rsid w:val="001A23D7"/>
    <w:rsid w:val="001A7246"/>
    <w:rsid w:val="001A72B7"/>
    <w:rsid w:val="001A7EE6"/>
    <w:rsid w:val="001B3F69"/>
    <w:rsid w:val="001B3FD6"/>
    <w:rsid w:val="001B4CB3"/>
    <w:rsid w:val="001B6480"/>
    <w:rsid w:val="001B768C"/>
    <w:rsid w:val="001C0AFC"/>
    <w:rsid w:val="001C698A"/>
    <w:rsid w:val="001C711F"/>
    <w:rsid w:val="001D1568"/>
    <w:rsid w:val="001D26BB"/>
    <w:rsid w:val="001D3655"/>
    <w:rsid w:val="001D3C8B"/>
    <w:rsid w:val="001E2198"/>
    <w:rsid w:val="001E24FA"/>
    <w:rsid w:val="001E2DA2"/>
    <w:rsid w:val="001E4799"/>
    <w:rsid w:val="001E5F40"/>
    <w:rsid w:val="001E5F6D"/>
    <w:rsid w:val="001E652B"/>
    <w:rsid w:val="001E73F1"/>
    <w:rsid w:val="001F039A"/>
    <w:rsid w:val="001F0FB5"/>
    <w:rsid w:val="001F2C5B"/>
    <w:rsid w:val="001F4B68"/>
    <w:rsid w:val="002022F6"/>
    <w:rsid w:val="0020324E"/>
    <w:rsid w:val="002072A2"/>
    <w:rsid w:val="00210DC3"/>
    <w:rsid w:val="00212280"/>
    <w:rsid w:val="00212D78"/>
    <w:rsid w:val="0021373F"/>
    <w:rsid w:val="00213943"/>
    <w:rsid w:val="002168EC"/>
    <w:rsid w:val="002207F6"/>
    <w:rsid w:val="002253F6"/>
    <w:rsid w:val="00225422"/>
    <w:rsid w:val="00227BE6"/>
    <w:rsid w:val="00230D26"/>
    <w:rsid w:val="00230E92"/>
    <w:rsid w:val="002324EF"/>
    <w:rsid w:val="0024410A"/>
    <w:rsid w:val="0025308F"/>
    <w:rsid w:val="00255D58"/>
    <w:rsid w:val="00261231"/>
    <w:rsid w:val="00263163"/>
    <w:rsid w:val="002639BA"/>
    <w:rsid w:val="00264684"/>
    <w:rsid w:val="002706C9"/>
    <w:rsid w:val="00272952"/>
    <w:rsid w:val="00273CAE"/>
    <w:rsid w:val="00276869"/>
    <w:rsid w:val="002811CB"/>
    <w:rsid w:val="00281E05"/>
    <w:rsid w:val="00284387"/>
    <w:rsid w:val="00285661"/>
    <w:rsid w:val="00290001"/>
    <w:rsid w:val="00290638"/>
    <w:rsid w:val="002940BD"/>
    <w:rsid w:val="00294F7A"/>
    <w:rsid w:val="002A1414"/>
    <w:rsid w:val="002A2A16"/>
    <w:rsid w:val="002A5AFC"/>
    <w:rsid w:val="002A5F78"/>
    <w:rsid w:val="002A642D"/>
    <w:rsid w:val="002A7C48"/>
    <w:rsid w:val="002B1746"/>
    <w:rsid w:val="002B5580"/>
    <w:rsid w:val="002B5EA0"/>
    <w:rsid w:val="002B65E2"/>
    <w:rsid w:val="002C0900"/>
    <w:rsid w:val="002C25A9"/>
    <w:rsid w:val="002C2AD4"/>
    <w:rsid w:val="002C38DE"/>
    <w:rsid w:val="002C4CB1"/>
    <w:rsid w:val="002C4F9F"/>
    <w:rsid w:val="002C5FBE"/>
    <w:rsid w:val="002C6A92"/>
    <w:rsid w:val="002C78C5"/>
    <w:rsid w:val="002D2364"/>
    <w:rsid w:val="002D5495"/>
    <w:rsid w:val="002D6976"/>
    <w:rsid w:val="002E0F4A"/>
    <w:rsid w:val="002E26B0"/>
    <w:rsid w:val="002E5C90"/>
    <w:rsid w:val="002E6091"/>
    <w:rsid w:val="002E742A"/>
    <w:rsid w:val="002F1246"/>
    <w:rsid w:val="002F19B9"/>
    <w:rsid w:val="002F609A"/>
    <w:rsid w:val="002F793A"/>
    <w:rsid w:val="00300239"/>
    <w:rsid w:val="00301211"/>
    <w:rsid w:val="003039EA"/>
    <w:rsid w:val="00306749"/>
    <w:rsid w:val="00310F66"/>
    <w:rsid w:val="003161B4"/>
    <w:rsid w:val="0032182E"/>
    <w:rsid w:val="00323AAF"/>
    <w:rsid w:val="00323ACD"/>
    <w:rsid w:val="0032576E"/>
    <w:rsid w:val="00332638"/>
    <w:rsid w:val="003326D3"/>
    <w:rsid w:val="00334CB7"/>
    <w:rsid w:val="00335DD2"/>
    <w:rsid w:val="00337939"/>
    <w:rsid w:val="00340909"/>
    <w:rsid w:val="00340EC1"/>
    <w:rsid w:val="003414DB"/>
    <w:rsid w:val="003426D9"/>
    <w:rsid w:val="00342B66"/>
    <w:rsid w:val="00343EC1"/>
    <w:rsid w:val="0034402E"/>
    <w:rsid w:val="0034506F"/>
    <w:rsid w:val="00345ABA"/>
    <w:rsid w:val="003466F2"/>
    <w:rsid w:val="00350DD8"/>
    <w:rsid w:val="00352BAC"/>
    <w:rsid w:val="00355BA2"/>
    <w:rsid w:val="00357960"/>
    <w:rsid w:val="00357E3E"/>
    <w:rsid w:val="00361F1A"/>
    <w:rsid w:val="0036252D"/>
    <w:rsid w:val="00363FF3"/>
    <w:rsid w:val="0036404E"/>
    <w:rsid w:val="0036486B"/>
    <w:rsid w:val="00364E47"/>
    <w:rsid w:val="00370547"/>
    <w:rsid w:val="00370AFB"/>
    <w:rsid w:val="0037189E"/>
    <w:rsid w:val="00373AAE"/>
    <w:rsid w:val="003742FA"/>
    <w:rsid w:val="0037509D"/>
    <w:rsid w:val="00376964"/>
    <w:rsid w:val="00377157"/>
    <w:rsid w:val="0038003A"/>
    <w:rsid w:val="0038257D"/>
    <w:rsid w:val="00385B95"/>
    <w:rsid w:val="00385C0A"/>
    <w:rsid w:val="00385F00"/>
    <w:rsid w:val="00387EEB"/>
    <w:rsid w:val="00391AE9"/>
    <w:rsid w:val="00395B76"/>
    <w:rsid w:val="003A06E6"/>
    <w:rsid w:val="003A39B2"/>
    <w:rsid w:val="003A64A4"/>
    <w:rsid w:val="003A7BD0"/>
    <w:rsid w:val="003B25DF"/>
    <w:rsid w:val="003B39E4"/>
    <w:rsid w:val="003B4127"/>
    <w:rsid w:val="003B6CB3"/>
    <w:rsid w:val="003B7399"/>
    <w:rsid w:val="003B7BDF"/>
    <w:rsid w:val="003C2F47"/>
    <w:rsid w:val="003C32DF"/>
    <w:rsid w:val="003C4831"/>
    <w:rsid w:val="003C7D29"/>
    <w:rsid w:val="003D219C"/>
    <w:rsid w:val="003D4A0E"/>
    <w:rsid w:val="003E0116"/>
    <w:rsid w:val="003E0F26"/>
    <w:rsid w:val="003E2ACB"/>
    <w:rsid w:val="003E2C22"/>
    <w:rsid w:val="003E337A"/>
    <w:rsid w:val="003E3684"/>
    <w:rsid w:val="003E5A18"/>
    <w:rsid w:val="003E5DB1"/>
    <w:rsid w:val="003E653A"/>
    <w:rsid w:val="003E694B"/>
    <w:rsid w:val="003E7CC0"/>
    <w:rsid w:val="003F45AA"/>
    <w:rsid w:val="004026E6"/>
    <w:rsid w:val="00402AC8"/>
    <w:rsid w:val="00405C98"/>
    <w:rsid w:val="00406BAF"/>
    <w:rsid w:val="00407C92"/>
    <w:rsid w:val="004148CA"/>
    <w:rsid w:val="00414F60"/>
    <w:rsid w:val="00415A3F"/>
    <w:rsid w:val="00416185"/>
    <w:rsid w:val="004203C9"/>
    <w:rsid w:val="00420E7A"/>
    <w:rsid w:val="0043060A"/>
    <w:rsid w:val="00431522"/>
    <w:rsid w:val="00431594"/>
    <w:rsid w:val="004315F0"/>
    <w:rsid w:val="00432125"/>
    <w:rsid w:val="00434403"/>
    <w:rsid w:val="0043643F"/>
    <w:rsid w:val="00442AED"/>
    <w:rsid w:val="0044655E"/>
    <w:rsid w:val="0045148D"/>
    <w:rsid w:val="0045344E"/>
    <w:rsid w:val="00453C2D"/>
    <w:rsid w:val="00464814"/>
    <w:rsid w:val="0046747A"/>
    <w:rsid w:val="0046790C"/>
    <w:rsid w:val="00470396"/>
    <w:rsid w:val="00470D95"/>
    <w:rsid w:val="004737C4"/>
    <w:rsid w:val="00475050"/>
    <w:rsid w:val="0047773D"/>
    <w:rsid w:val="004804B0"/>
    <w:rsid w:val="004835E5"/>
    <w:rsid w:val="00484191"/>
    <w:rsid w:val="00485FA5"/>
    <w:rsid w:val="0049032C"/>
    <w:rsid w:val="00490404"/>
    <w:rsid w:val="00491AAD"/>
    <w:rsid w:val="004920B9"/>
    <w:rsid w:val="00492DE0"/>
    <w:rsid w:val="0049419F"/>
    <w:rsid w:val="00496A41"/>
    <w:rsid w:val="00497326"/>
    <w:rsid w:val="004A1B91"/>
    <w:rsid w:val="004A1DE3"/>
    <w:rsid w:val="004A2399"/>
    <w:rsid w:val="004A2B70"/>
    <w:rsid w:val="004A345F"/>
    <w:rsid w:val="004A5DE0"/>
    <w:rsid w:val="004A6BFB"/>
    <w:rsid w:val="004A769F"/>
    <w:rsid w:val="004A7B63"/>
    <w:rsid w:val="004A7C1F"/>
    <w:rsid w:val="004B48B0"/>
    <w:rsid w:val="004C2946"/>
    <w:rsid w:val="004C41C1"/>
    <w:rsid w:val="004D2B14"/>
    <w:rsid w:val="004D7B31"/>
    <w:rsid w:val="004E09CE"/>
    <w:rsid w:val="004E31A0"/>
    <w:rsid w:val="004E62DF"/>
    <w:rsid w:val="004E6AFD"/>
    <w:rsid w:val="004E7DC0"/>
    <w:rsid w:val="004F170E"/>
    <w:rsid w:val="004F385A"/>
    <w:rsid w:val="005046D8"/>
    <w:rsid w:val="00505ABA"/>
    <w:rsid w:val="005060FD"/>
    <w:rsid w:val="005073E7"/>
    <w:rsid w:val="005078D2"/>
    <w:rsid w:val="00510E45"/>
    <w:rsid w:val="005128B1"/>
    <w:rsid w:val="005141BF"/>
    <w:rsid w:val="00516D4B"/>
    <w:rsid w:val="005227B4"/>
    <w:rsid w:val="00527569"/>
    <w:rsid w:val="0053265E"/>
    <w:rsid w:val="00535AFD"/>
    <w:rsid w:val="00535D69"/>
    <w:rsid w:val="005362E1"/>
    <w:rsid w:val="00537DA9"/>
    <w:rsid w:val="00540D2A"/>
    <w:rsid w:val="0054506E"/>
    <w:rsid w:val="00545833"/>
    <w:rsid w:val="0054732A"/>
    <w:rsid w:val="0055177D"/>
    <w:rsid w:val="0055191B"/>
    <w:rsid w:val="005539DF"/>
    <w:rsid w:val="00553DAD"/>
    <w:rsid w:val="005546A6"/>
    <w:rsid w:val="005624CB"/>
    <w:rsid w:val="00562D7A"/>
    <w:rsid w:val="00564B51"/>
    <w:rsid w:val="00565753"/>
    <w:rsid w:val="00570C99"/>
    <w:rsid w:val="005773B6"/>
    <w:rsid w:val="00577464"/>
    <w:rsid w:val="00580DE9"/>
    <w:rsid w:val="00581537"/>
    <w:rsid w:val="005853C9"/>
    <w:rsid w:val="00585C64"/>
    <w:rsid w:val="00585EAC"/>
    <w:rsid w:val="0059068F"/>
    <w:rsid w:val="00595321"/>
    <w:rsid w:val="00595459"/>
    <w:rsid w:val="00596AE7"/>
    <w:rsid w:val="00597480"/>
    <w:rsid w:val="005A160F"/>
    <w:rsid w:val="005A53E1"/>
    <w:rsid w:val="005A5808"/>
    <w:rsid w:val="005A7060"/>
    <w:rsid w:val="005B0863"/>
    <w:rsid w:val="005B2C6D"/>
    <w:rsid w:val="005B4782"/>
    <w:rsid w:val="005B7659"/>
    <w:rsid w:val="005B77C9"/>
    <w:rsid w:val="005C2B1F"/>
    <w:rsid w:val="005C3AEC"/>
    <w:rsid w:val="005C4CC8"/>
    <w:rsid w:val="005C77C3"/>
    <w:rsid w:val="005D03D9"/>
    <w:rsid w:val="005D0A86"/>
    <w:rsid w:val="005D1C21"/>
    <w:rsid w:val="005D3654"/>
    <w:rsid w:val="005D38F1"/>
    <w:rsid w:val="005D5071"/>
    <w:rsid w:val="005D514E"/>
    <w:rsid w:val="005D57C4"/>
    <w:rsid w:val="005E262D"/>
    <w:rsid w:val="005E2E51"/>
    <w:rsid w:val="005E3970"/>
    <w:rsid w:val="005E3EF0"/>
    <w:rsid w:val="005E4285"/>
    <w:rsid w:val="005E462A"/>
    <w:rsid w:val="005E4820"/>
    <w:rsid w:val="005E4958"/>
    <w:rsid w:val="005E5E91"/>
    <w:rsid w:val="005E6FC8"/>
    <w:rsid w:val="005F06B0"/>
    <w:rsid w:val="005F27EE"/>
    <w:rsid w:val="005F3E73"/>
    <w:rsid w:val="005F448E"/>
    <w:rsid w:val="005F457C"/>
    <w:rsid w:val="005F5A10"/>
    <w:rsid w:val="005F5C15"/>
    <w:rsid w:val="005F6B4B"/>
    <w:rsid w:val="005F7B7D"/>
    <w:rsid w:val="005F7DB4"/>
    <w:rsid w:val="005F7F0C"/>
    <w:rsid w:val="006024C7"/>
    <w:rsid w:val="006030CC"/>
    <w:rsid w:val="00606433"/>
    <w:rsid w:val="006077CA"/>
    <w:rsid w:val="00610BEC"/>
    <w:rsid w:val="006110B3"/>
    <w:rsid w:val="00612270"/>
    <w:rsid w:val="00612E96"/>
    <w:rsid w:val="00616043"/>
    <w:rsid w:val="00616763"/>
    <w:rsid w:val="00616E05"/>
    <w:rsid w:val="006177BC"/>
    <w:rsid w:val="00623403"/>
    <w:rsid w:val="00624BA5"/>
    <w:rsid w:val="00624C9F"/>
    <w:rsid w:val="00630DF6"/>
    <w:rsid w:val="006349DD"/>
    <w:rsid w:val="0064199A"/>
    <w:rsid w:val="00641FA1"/>
    <w:rsid w:val="00642030"/>
    <w:rsid w:val="0064276F"/>
    <w:rsid w:val="00645769"/>
    <w:rsid w:val="006533B9"/>
    <w:rsid w:val="00657BCB"/>
    <w:rsid w:val="00657D3A"/>
    <w:rsid w:val="006631FC"/>
    <w:rsid w:val="0066377E"/>
    <w:rsid w:val="00670FA5"/>
    <w:rsid w:val="00671B4C"/>
    <w:rsid w:val="00672C95"/>
    <w:rsid w:val="00672E5F"/>
    <w:rsid w:val="0067421D"/>
    <w:rsid w:val="0067454F"/>
    <w:rsid w:val="0067569E"/>
    <w:rsid w:val="0068151B"/>
    <w:rsid w:val="00682EC4"/>
    <w:rsid w:val="00685380"/>
    <w:rsid w:val="00686B68"/>
    <w:rsid w:val="006909CA"/>
    <w:rsid w:val="00692A7B"/>
    <w:rsid w:val="00693EF5"/>
    <w:rsid w:val="006952A7"/>
    <w:rsid w:val="006962F4"/>
    <w:rsid w:val="00696589"/>
    <w:rsid w:val="006A08BE"/>
    <w:rsid w:val="006A0912"/>
    <w:rsid w:val="006A0C17"/>
    <w:rsid w:val="006A5505"/>
    <w:rsid w:val="006A6911"/>
    <w:rsid w:val="006B0DE2"/>
    <w:rsid w:val="006B3002"/>
    <w:rsid w:val="006B64A8"/>
    <w:rsid w:val="006B6FBB"/>
    <w:rsid w:val="006C2097"/>
    <w:rsid w:val="006C3789"/>
    <w:rsid w:val="006C40FC"/>
    <w:rsid w:val="006C795B"/>
    <w:rsid w:val="006D01D9"/>
    <w:rsid w:val="006D0D28"/>
    <w:rsid w:val="006D1B6E"/>
    <w:rsid w:val="006D5C0D"/>
    <w:rsid w:val="006E1DB8"/>
    <w:rsid w:val="006E1E7A"/>
    <w:rsid w:val="006E277B"/>
    <w:rsid w:val="006E408D"/>
    <w:rsid w:val="00700C8C"/>
    <w:rsid w:val="007050B7"/>
    <w:rsid w:val="00705EBA"/>
    <w:rsid w:val="007076D3"/>
    <w:rsid w:val="0071060D"/>
    <w:rsid w:val="00712202"/>
    <w:rsid w:val="007133F5"/>
    <w:rsid w:val="00715D01"/>
    <w:rsid w:val="007164E2"/>
    <w:rsid w:val="0071791D"/>
    <w:rsid w:val="00721F35"/>
    <w:rsid w:val="00722CDF"/>
    <w:rsid w:val="007231BD"/>
    <w:rsid w:val="00724895"/>
    <w:rsid w:val="00726216"/>
    <w:rsid w:val="0073072F"/>
    <w:rsid w:val="00733629"/>
    <w:rsid w:val="00736B11"/>
    <w:rsid w:val="00736E62"/>
    <w:rsid w:val="00737067"/>
    <w:rsid w:val="00737088"/>
    <w:rsid w:val="007401CF"/>
    <w:rsid w:val="00742E22"/>
    <w:rsid w:val="0074322E"/>
    <w:rsid w:val="007448E4"/>
    <w:rsid w:val="0074539D"/>
    <w:rsid w:val="00750516"/>
    <w:rsid w:val="0075184B"/>
    <w:rsid w:val="00752622"/>
    <w:rsid w:val="007552B3"/>
    <w:rsid w:val="0075544E"/>
    <w:rsid w:val="007634A9"/>
    <w:rsid w:val="00763B5E"/>
    <w:rsid w:val="00766342"/>
    <w:rsid w:val="00766C6B"/>
    <w:rsid w:val="007710AE"/>
    <w:rsid w:val="007722E1"/>
    <w:rsid w:val="0077315E"/>
    <w:rsid w:val="0077405C"/>
    <w:rsid w:val="0077680F"/>
    <w:rsid w:val="00784DA8"/>
    <w:rsid w:val="00787A2B"/>
    <w:rsid w:val="00792ABC"/>
    <w:rsid w:val="00793444"/>
    <w:rsid w:val="00795916"/>
    <w:rsid w:val="00795A46"/>
    <w:rsid w:val="00796FF9"/>
    <w:rsid w:val="007A4EA8"/>
    <w:rsid w:val="007B1274"/>
    <w:rsid w:val="007B17E1"/>
    <w:rsid w:val="007B19C2"/>
    <w:rsid w:val="007B1A10"/>
    <w:rsid w:val="007B22AC"/>
    <w:rsid w:val="007B2E49"/>
    <w:rsid w:val="007B3642"/>
    <w:rsid w:val="007B387C"/>
    <w:rsid w:val="007B43A1"/>
    <w:rsid w:val="007B5E5D"/>
    <w:rsid w:val="007B602D"/>
    <w:rsid w:val="007C0167"/>
    <w:rsid w:val="007C4B7D"/>
    <w:rsid w:val="007C4CA5"/>
    <w:rsid w:val="007C536C"/>
    <w:rsid w:val="007C7AB5"/>
    <w:rsid w:val="007D029F"/>
    <w:rsid w:val="007D0FAB"/>
    <w:rsid w:val="007D2B50"/>
    <w:rsid w:val="007D366D"/>
    <w:rsid w:val="007D4818"/>
    <w:rsid w:val="007D5882"/>
    <w:rsid w:val="007D692C"/>
    <w:rsid w:val="007E0150"/>
    <w:rsid w:val="007E134A"/>
    <w:rsid w:val="007E2207"/>
    <w:rsid w:val="007E3551"/>
    <w:rsid w:val="007E360D"/>
    <w:rsid w:val="007E7636"/>
    <w:rsid w:val="007F102E"/>
    <w:rsid w:val="007F35DA"/>
    <w:rsid w:val="007F3818"/>
    <w:rsid w:val="007F61C3"/>
    <w:rsid w:val="007F6B9B"/>
    <w:rsid w:val="00800058"/>
    <w:rsid w:val="008006B4"/>
    <w:rsid w:val="008068D1"/>
    <w:rsid w:val="008069E8"/>
    <w:rsid w:val="0081707C"/>
    <w:rsid w:val="008171AA"/>
    <w:rsid w:val="00817EF1"/>
    <w:rsid w:val="008217E2"/>
    <w:rsid w:val="00822B68"/>
    <w:rsid w:val="00822CC4"/>
    <w:rsid w:val="008239A4"/>
    <w:rsid w:val="00826FEC"/>
    <w:rsid w:val="008270D3"/>
    <w:rsid w:val="00830C5E"/>
    <w:rsid w:val="00830D1B"/>
    <w:rsid w:val="008334FC"/>
    <w:rsid w:val="00835AFA"/>
    <w:rsid w:val="0084319C"/>
    <w:rsid w:val="008451E5"/>
    <w:rsid w:val="00851A59"/>
    <w:rsid w:val="00851E0A"/>
    <w:rsid w:val="00853300"/>
    <w:rsid w:val="00856F02"/>
    <w:rsid w:val="00857D25"/>
    <w:rsid w:val="008607F5"/>
    <w:rsid w:val="00861DEF"/>
    <w:rsid w:val="00863392"/>
    <w:rsid w:val="00865EB4"/>
    <w:rsid w:val="00870538"/>
    <w:rsid w:val="008736C4"/>
    <w:rsid w:val="00873784"/>
    <w:rsid w:val="0087386F"/>
    <w:rsid w:val="00875F31"/>
    <w:rsid w:val="00876BD0"/>
    <w:rsid w:val="00877592"/>
    <w:rsid w:val="00877A33"/>
    <w:rsid w:val="008807DC"/>
    <w:rsid w:val="00880B54"/>
    <w:rsid w:val="0088201B"/>
    <w:rsid w:val="00883014"/>
    <w:rsid w:val="0088596E"/>
    <w:rsid w:val="00885F76"/>
    <w:rsid w:val="008878C4"/>
    <w:rsid w:val="00891CBE"/>
    <w:rsid w:val="008927BE"/>
    <w:rsid w:val="0089405E"/>
    <w:rsid w:val="00894B0A"/>
    <w:rsid w:val="0089650F"/>
    <w:rsid w:val="008974D3"/>
    <w:rsid w:val="008A04E0"/>
    <w:rsid w:val="008A1A1C"/>
    <w:rsid w:val="008A26B5"/>
    <w:rsid w:val="008A2B97"/>
    <w:rsid w:val="008A3E30"/>
    <w:rsid w:val="008A6D62"/>
    <w:rsid w:val="008A7B40"/>
    <w:rsid w:val="008B0209"/>
    <w:rsid w:val="008B1359"/>
    <w:rsid w:val="008B4E82"/>
    <w:rsid w:val="008C0542"/>
    <w:rsid w:val="008C11E9"/>
    <w:rsid w:val="008C1D2E"/>
    <w:rsid w:val="008C1F0C"/>
    <w:rsid w:val="008C2231"/>
    <w:rsid w:val="008C518C"/>
    <w:rsid w:val="008C6BE3"/>
    <w:rsid w:val="008D6C81"/>
    <w:rsid w:val="008D6F0B"/>
    <w:rsid w:val="008E1D31"/>
    <w:rsid w:val="008E2FB5"/>
    <w:rsid w:val="008E3931"/>
    <w:rsid w:val="008F14A4"/>
    <w:rsid w:val="008F1CA7"/>
    <w:rsid w:val="008F1F71"/>
    <w:rsid w:val="008F3519"/>
    <w:rsid w:val="008F6391"/>
    <w:rsid w:val="00900207"/>
    <w:rsid w:val="0090092E"/>
    <w:rsid w:val="00906D7F"/>
    <w:rsid w:val="00907477"/>
    <w:rsid w:val="009123B0"/>
    <w:rsid w:val="00912D90"/>
    <w:rsid w:val="00912DA4"/>
    <w:rsid w:val="00922D26"/>
    <w:rsid w:val="00925A70"/>
    <w:rsid w:val="009304E4"/>
    <w:rsid w:val="00932A2D"/>
    <w:rsid w:val="0093673E"/>
    <w:rsid w:val="00940FB0"/>
    <w:rsid w:val="00941922"/>
    <w:rsid w:val="009426C1"/>
    <w:rsid w:val="009434D5"/>
    <w:rsid w:val="009442AE"/>
    <w:rsid w:val="00944DD7"/>
    <w:rsid w:val="00945BD4"/>
    <w:rsid w:val="009576FC"/>
    <w:rsid w:val="009577E0"/>
    <w:rsid w:val="00961A35"/>
    <w:rsid w:val="00965ADE"/>
    <w:rsid w:val="00967720"/>
    <w:rsid w:val="009736FC"/>
    <w:rsid w:val="0097391C"/>
    <w:rsid w:val="009747DB"/>
    <w:rsid w:val="00975588"/>
    <w:rsid w:val="00976A86"/>
    <w:rsid w:val="00980EC8"/>
    <w:rsid w:val="00982007"/>
    <w:rsid w:val="00982E17"/>
    <w:rsid w:val="00982E89"/>
    <w:rsid w:val="009831C7"/>
    <w:rsid w:val="00984DB9"/>
    <w:rsid w:val="009868E8"/>
    <w:rsid w:val="00986B27"/>
    <w:rsid w:val="009875A7"/>
    <w:rsid w:val="00991379"/>
    <w:rsid w:val="00996051"/>
    <w:rsid w:val="00997109"/>
    <w:rsid w:val="00997CC1"/>
    <w:rsid w:val="009A0D38"/>
    <w:rsid w:val="009A3251"/>
    <w:rsid w:val="009A7412"/>
    <w:rsid w:val="009B072A"/>
    <w:rsid w:val="009B221B"/>
    <w:rsid w:val="009B782D"/>
    <w:rsid w:val="009C122B"/>
    <w:rsid w:val="009C2EE3"/>
    <w:rsid w:val="009C38E4"/>
    <w:rsid w:val="009C489E"/>
    <w:rsid w:val="009C6D20"/>
    <w:rsid w:val="009C73D6"/>
    <w:rsid w:val="009D16B3"/>
    <w:rsid w:val="009D2B0B"/>
    <w:rsid w:val="009D7C06"/>
    <w:rsid w:val="009E0FD2"/>
    <w:rsid w:val="009E37BB"/>
    <w:rsid w:val="009E56FF"/>
    <w:rsid w:val="009E7A40"/>
    <w:rsid w:val="009F3589"/>
    <w:rsid w:val="009F4388"/>
    <w:rsid w:val="009F6164"/>
    <w:rsid w:val="00A003C0"/>
    <w:rsid w:val="00A02B92"/>
    <w:rsid w:val="00A077F1"/>
    <w:rsid w:val="00A10B41"/>
    <w:rsid w:val="00A11F14"/>
    <w:rsid w:val="00A14D22"/>
    <w:rsid w:val="00A158D3"/>
    <w:rsid w:val="00A16646"/>
    <w:rsid w:val="00A2035F"/>
    <w:rsid w:val="00A24D9A"/>
    <w:rsid w:val="00A25395"/>
    <w:rsid w:val="00A26D8C"/>
    <w:rsid w:val="00A27599"/>
    <w:rsid w:val="00A304A7"/>
    <w:rsid w:val="00A34663"/>
    <w:rsid w:val="00A371E6"/>
    <w:rsid w:val="00A40129"/>
    <w:rsid w:val="00A41D70"/>
    <w:rsid w:val="00A42E45"/>
    <w:rsid w:val="00A439FD"/>
    <w:rsid w:val="00A43EAD"/>
    <w:rsid w:val="00A4622C"/>
    <w:rsid w:val="00A46D29"/>
    <w:rsid w:val="00A504CF"/>
    <w:rsid w:val="00A53A86"/>
    <w:rsid w:val="00A56954"/>
    <w:rsid w:val="00A60564"/>
    <w:rsid w:val="00A61436"/>
    <w:rsid w:val="00A62AB3"/>
    <w:rsid w:val="00A64F9B"/>
    <w:rsid w:val="00A651D7"/>
    <w:rsid w:val="00A6545C"/>
    <w:rsid w:val="00A70BA9"/>
    <w:rsid w:val="00A71B06"/>
    <w:rsid w:val="00A72195"/>
    <w:rsid w:val="00A73435"/>
    <w:rsid w:val="00A74396"/>
    <w:rsid w:val="00A74DDA"/>
    <w:rsid w:val="00A75204"/>
    <w:rsid w:val="00A75EC4"/>
    <w:rsid w:val="00A83361"/>
    <w:rsid w:val="00A83DBB"/>
    <w:rsid w:val="00A8420A"/>
    <w:rsid w:val="00A92B3A"/>
    <w:rsid w:val="00A96F0B"/>
    <w:rsid w:val="00A97D9F"/>
    <w:rsid w:val="00AA2389"/>
    <w:rsid w:val="00AA263D"/>
    <w:rsid w:val="00AA5B26"/>
    <w:rsid w:val="00AB4467"/>
    <w:rsid w:val="00AB53AD"/>
    <w:rsid w:val="00AC40FE"/>
    <w:rsid w:val="00AC448F"/>
    <w:rsid w:val="00AC6FD3"/>
    <w:rsid w:val="00AC74D0"/>
    <w:rsid w:val="00AD00F4"/>
    <w:rsid w:val="00AD0B14"/>
    <w:rsid w:val="00AD17EB"/>
    <w:rsid w:val="00AD3F89"/>
    <w:rsid w:val="00AD6ABC"/>
    <w:rsid w:val="00AE1611"/>
    <w:rsid w:val="00AE1D6A"/>
    <w:rsid w:val="00AF06E4"/>
    <w:rsid w:val="00AF203C"/>
    <w:rsid w:val="00AF27EA"/>
    <w:rsid w:val="00AF573C"/>
    <w:rsid w:val="00AF6008"/>
    <w:rsid w:val="00B0037F"/>
    <w:rsid w:val="00B01132"/>
    <w:rsid w:val="00B02FD1"/>
    <w:rsid w:val="00B0397D"/>
    <w:rsid w:val="00B068CC"/>
    <w:rsid w:val="00B1077B"/>
    <w:rsid w:val="00B14843"/>
    <w:rsid w:val="00B174BD"/>
    <w:rsid w:val="00B17AD5"/>
    <w:rsid w:val="00B214B3"/>
    <w:rsid w:val="00B21AC1"/>
    <w:rsid w:val="00B22977"/>
    <w:rsid w:val="00B270E8"/>
    <w:rsid w:val="00B31705"/>
    <w:rsid w:val="00B32160"/>
    <w:rsid w:val="00B33053"/>
    <w:rsid w:val="00B34D2A"/>
    <w:rsid w:val="00B34DDB"/>
    <w:rsid w:val="00B3697D"/>
    <w:rsid w:val="00B37E37"/>
    <w:rsid w:val="00B4087B"/>
    <w:rsid w:val="00B419F2"/>
    <w:rsid w:val="00B443C3"/>
    <w:rsid w:val="00B46C23"/>
    <w:rsid w:val="00B47BF4"/>
    <w:rsid w:val="00B47F75"/>
    <w:rsid w:val="00B50215"/>
    <w:rsid w:val="00B50279"/>
    <w:rsid w:val="00B504F2"/>
    <w:rsid w:val="00B50E87"/>
    <w:rsid w:val="00B51F6A"/>
    <w:rsid w:val="00B54A56"/>
    <w:rsid w:val="00B56AC4"/>
    <w:rsid w:val="00B57F69"/>
    <w:rsid w:val="00B6139A"/>
    <w:rsid w:val="00B62323"/>
    <w:rsid w:val="00B64630"/>
    <w:rsid w:val="00B65B15"/>
    <w:rsid w:val="00B719D0"/>
    <w:rsid w:val="00B71CCD"/>
    <w:rsid w:val="00B72FFC"/>
    <w:rsid w:val="00B742D5"/>
    <w:rsid w:val="00B74FD2"/>
    <w:rsid w:val="00B76025"/>
    <w:rsid w:val="00B76CE7"/>
    <w:rsid w:val="00B76EE8"/>
    <w:rsid w:val="00B811F8"/>
    <w:rsid w:val="00B81A7E"/>
    <w:rsid w:val="00B876E1"/>
    <w:rsid w:val="00B87AB5"/>
    <w:rsid w:val="00B907A0"/>
    <w:rsid w:val="00B9123A"/>
    <w:rsid w:val="00B9450B"/>
    <w:rsid w:val="00BA072D"/>
    <w:rsid w:val="00BA1D3F"/>
    <w:rsid w:val="00BA51DD"/>
    <w:rsid w:val="00BB0D30"/>
    <w:rsid w:val="00BB16B5"/>
    <w:rsid w:val="00BB1CAD"/>
    <w:rsid w:val="00BB3CB4"/>
    <w:rsid w:val="00BB3F65"/>
    <w:rsid w:val="00BB524E"/>
    <w:rsid w:val="00BB554D"/>
    <w:rsid w:val="00BB55C0"/>
    <w:rsid w:val="00BC3B3C"/>
    <w:rsid w:val="00BC4040"/>
    <w:rsid w:val="00BC474B"/>
    <w:rsid w:val="00BC4954"/>
    <w:rsid w:val="00BC49D3"/>
    <w:rsid w:val="00BC4FA1"/>
    <w:rsid w:val="00BC6A80"/>
    <w:rsid w:val="00BD0C6D"/>
    <w:rsid w:val="00BD1098"/>
    <w:rsid w:val="00BD1BCB"/>
    <w:rsid w:val="00BD2E8F"/>
    <w:rsid w:val="00BE2C99"/>
    <w:rsid w:val="00BE2E99"/>
    <w:rsid w:val="00BE4648"/>
    <w:rsid w:val="00BE66DB"/>
    <w:rsid w:val="00BE6ADC"/>
    <w:rsid w:val="00BF3156"/>
    <w:rsid w:val="00BF35A5"/>
    <w:rsid w:val="00BF4EE6"/>
    <w:rsid w:val="00C0129F"/>
    <w:rsid w:val="00C020E3"/>
    <w:rsid w:val="00C031BF"/>
    <w:rsid w:val="00C0362D"/>
    <w:rsid w:val="00C109FB"/>
    <w:rsid w:val="00C147A1"/>
    <w:rsid w:val="00C2247A"/>
    <w:rsid w:val="00C247DA"/>
    <w:rsid w:val="00C3222F"/>
    <w:rsid w:val="00C33706"/>
    <w:rsid w:val="00C46E83"/>
    <w:rsid w:val="00C47F65"/>
    <w:rsid w:val="00C5164B"/>
    <w:rsid w:val="00C51FDB"/>
    <w:rsid w:val="00C54309"/>
    <w:rsid w:val="00C5452C"/>
    <w:rsid w:val="00C54613"/>
    <w:rsid w:val="00C546E7"/>
    <w:rsid w:val="00C55BDF"/>
    <w:rsid w:val="00C55C70"/>
    <w:rsid w:val="00C61332"/>
    <w:rsid w:val="00C613D1"/>
    <w:rsid w:val="00C6308B"/>
    <w:rsid w:val="00C65FDB"/>
    <w:rsid w:val="00C663AC"/>
    <w:rsid w:val="00C67D9C"/>
    <w:rsid w:val="00C70B8C"/>
    <w:rsid w:val="00C75809"/>
    <w:rsid w:val="00C76545"/>
    <w:rsid w:val="00C803D8"/>
    <w:rsid w:val="00C8131A"/>
    <w:rsid w:val="00C8157E"/>
    <w:rsid w:val="00C858F3"/>
    <w:rsid w:val="00C918F7"/>
    <w:rsid w:val="00C91912"/>
    <w:rsid w:val="00C91E5D"/>
    <w:rsid w:val="00C95002"/>
    <w:rsid w:val="00C95AFA"/>
    <w:rsid w:val="00C95BE0"/>
    <w:rsid w:val="00CA014B"/>
    <w:rsid w:val="00CA23EC"/>
    <w:rsid w:val="00CA662A"/>
    <w:rsid w:val="00CB167E"/>
    <w:rsid w:val="00CB55C7"/>
    <w:rsid w:val="00CB75A8"/>
    <w:rsid w:val="00CC01A1"/>
    <w:rsid w:val="00CC1568"/>
    <w:rsid w:val="00CD1907"/>
    <w:rsid w:val="00CD533B"/>
    <w:rsid w:val="00CD6D80"/>
    <w:rsid w:val="00CE087E"/>
    <w:rsid w:val="00CE2BE8"/>
    <w:rsid w:val="00CE34F2"/>
    <w:rsid w:val="00CE5E2E"/>
    <w:rsid w:val="00CE7C47"/>
    <w:rsid w:val="00CF5A1D"/>
    <w:rsid w:val="00D009FC"/>
    <w:rsid w:val="00D010E9"/>
    <w:rsid w:val="00D03EBF"/>
    <w:rsid w:val="00D05BDD"/>
    <w:rsid w:val="00D073BB"/>
    <w:rsid w:val="00D10CA0"/>
    <w:rsid w:val="00D10F92"/>
    <w:rsid w:val="00D11B9E"/>
    <w:rsid w:val="00D121FD"/>
    <w:rsid w:val="00D123F0"/>
    <w:rsid w:val="00D12887"/>
    <w:rsid w:val="00D1398A"/>
    <w:rsid w:val="00D14395"/>
    <w:rsid w:val="00D14ACF"/>
    <w:rsid w:val="00D15EB0"/>
    <w:rsid w:val="00D16916"/>
    <w:rsid w:val="00D20629"/>
    <w:rsid w:val="00D24004"/>
    <w:rsid w:val="00D24D61"/>
    <w:rsid w:val="00D2547B"/>
    <w:rsid w:val="00D2564B"/>
    <w:rsid w:val="00D2650E"/>
    <w:rsid w:val="00D311E4"/>
    <w:rsid w:val="00D3205B"/>
    <w:rsid w:val="00D33D53"/>
    <w:rsid w:val="00D345B5"/>
    <w:rsid w:val="00D37097"/>
    <w:rsid w:val="00D42976"/>
    <w:rsid w:val="00D429E0"/>
    <w:rsid w:val="00D43415"/>
    <w:rsid w:val="00D43A7B"/>
    <w:rsid w:val="00D43D55"/>
    <w:rsid w:val="00D4406F"/>
    <w:rsid w:val="00D52E0B"/>
    <w:rsid w:val="00D54DDA"/>
    <w:rsid w:val="00D551FC"/>
    <w:rsid w:val="00D562AA"/>
    <w:rsid w:val="00D56B57"/>
    <w:rsid w:val="00D612F4"/>
    <w:rsid w:val="00D61FB7"/>
    <w:rsid w:val="00D64EFB"/>
    <w:rsid w:val="00D65BBB"/>
    <w:rsid w:val="00D6662B"/>
    <w:rsid w:val="00D67479"/>
    <w:rsid w:val="00D678A5"/>
    <w:rsid w:val="00D67E5B"/>
    <w:rsid w:val="00D7072C"/>
    <w:rsid w:val="00D70BD8"/>
    <w:rsid w:val="00D724A4"/>
    <w:rsid w:val="00D726A4"/>
    <w:rsid w:val="00D72B42"/>
    <w:rsid w:val="00D7544C"/>
    <w:rsid w:val="00D77C66"/>
    <w:rsid w:val="00D81388"/>
    <w:rsid w:val="00D81B54"/>
    <w:rsid w:val="00D82200"/>
    <w:rsid w:val="00D83DB8"/>
    <w:rsid w:val="00D84FC7"/>
    <w:rsid w:val="00D84FD3"/>
    <w:rsid w:val="00D8565C"/>
    <w:rsid w:val="00D9008D"/>
    <w:rsid w:val="00D90149"/>
    <w:rsid w:val="00D90353"/>
    <w:rsid w:val="00D91EB9"/>
    <w:rsid w:val="00D95B3D"/>
    <w:rsid w:val="00D95D5C"/>
    <w:rsid w:val="00D9602E"/>
    <w:rsid w:val="00DA4603"/>
    <w:rsid w:val="00DA59F8"/>
    <w:rsid w:val="00DB079B"/>
    <w:rsid w:val="00DB0A43"/>
    <w:rsid w:val="00DB0E79"/>
    <w:rsid w:val="00DB204F"/>
    <w:rsid w:val="00DB2DFB"/>
    <w:rsid w:val="00DC0D42"/>
    <w:rsid w:val="00DC12F4"/>
    <w:rsid w:val="00DC429B"/>
    <w:rsid w:val="00DC4B47"/>
    <w:rsid w:val="00DC7251"/>
    <w:rsid w:val="00DD1BF8"/>
    <w:rsid w:val="00DD3F2C"/>
    <w:rsid w:val="00DD5278"/>
    <w:rsid w:val="00DD52A8"/>
    <w:rsid w:val="00DD75B1"/>
    <w:rsid w:val="00DE2415"/>
    <w:rsid w:val="00DE394B"/>
    <w:rsid w:val="00DE66AF"/>
    <w:rsid w:val="00DE6E19"/>
    <w:rsid w:val="00DE7002"/>
    <w:rsid w:val="00DE7286"/>
    <w:rsid w:val="00DF0861"/>
    <w:rsid w:val="00DF09AD"/>
    <w:rsid w:val="00DF0E92"/>
    <w:rsid w:val="00DF22B5"/>
    <w:rsid w:val="00DF2E77"/>
    <w:rsid w:val="00DF5025"/>
    <w:rsid w:val="00DF6E77"/>
    <w:rsid w:val="00DF75B9"/>
    <w:rsid w:val="00E0257A"/>
    <w:rsid w:val="00E038ED"/>
    <w:rsid w:val="00E06A26"/>
    <w:rsid w:val="00E07B91"/>
    <w:rsid w:val="00E10B78"/>
    <w:rsid w:val="00E12555"/>
    <w:rsid w:val="00E12AFE"/>
    <w:rsid w:val="00E12CA6"/>
    <w:rsid w:val="00E12E8C"/>
    <w:rsid w:val="00E13C60"/>
    <w:rsid w:val="00E144B6"/>
    <w:rsid w:val="00E172CC"/>
    <w:rsid w:val="00E20BB1"/>
    <w:rsid w:val="00E21A5B"/>
    <w:rsid w:val="00E24641"/>
    <w:rsid w:val="00E25D70"/>
    <w:rsid w:val="00E26052"/>
    <w:rsid w:val="00E275D4"/>
    <w:rsid w:val="00E339B5"/>
    <w:rsid w:val="00E34A06"/>
    <w:rsid w:val="00E35797"/>
    <w:rsid w:val="00E41EC4"/>
    <w:rsid w:val="00E43DDE"/>
    <w:rsid w:val="00E44A3E"/>
    <w:rsid w:val="00E45B9F"/>
    <w:rsid w:val="00E46ACA"/>
    <w:rsid w:val="00E50097"/>
    <w:rsid w:val="00E51F63"/>
    <w:rsid w:val="00E52766"/>
    <w:rsid w:val="00E52EBB"/>
    <w:rsid w:val="00E6091F"/>
    <w:rsid w:val="00E62AFA"/>
    <w:rsid w:val="00E651E0"/>
    <w:rsid w:val="00E71793"/>
    <w:rsid w:val="00E76EBD"/>
    <w:rsid w:val="00E83F2D"/>
    <w:rsid w:val="00E85A9F"/>
    <w:rsid w:val="00E869BE"/>
    <w:rsid w:val="00E90307"/>
    <w:rsid w:val="00E91116"/>
    <w:rsid w:val="00E93D43"/>
    <w:rsid w:val="00E96F7C"/>
    <w:rsid w:val="00EA10A2"/>
    <w:rsid w:val="00EA2B47"/>
    <w:rsid w:val="00EA3B1E"/>
    <w:rsid w:val="00EA5518"/>
    <w:rsid w:val="00EA7C0F"/>
    <w:rsid w:val="00EB00D3"/>
    <w:rsid w:val="00EB48BE"/>
    <w:rsid w:val="00EB4B66"/>
    <w:rsid w:val="00EB4CAE"/>
    <w:rsid w:val="00EB7A82"/>
    <w:rsid w:val="00EC48A4"/>
    <w:rsid w:val="00EC4F46"/>
    <w:rsid w:val="00EC57A2"/>
    <w:rsid w:val="00EC5EAA"/>
    <w:rsid w:val="00ED1623"/>
    <w:rsid w:val="00ED306D"/>
    <w:rsid w:val="00ED45C3"/>
    <w:rsid w:val="00ED6296"/>
    <w:rsid w:val="00EE17DA"/>
    <w:rsid w:val="00EE2909"/>
    <w:rsid w:val="00EE2D04"/>
    <w:rsid w:val="00EE30CD"/>
    <w:rsid w:val="00EE342C"/>
    <w:rsid w:val="00EE371E"/>
    <w:rsid w:val="00EE4332"/>
    <w:rsid w:val="00EE4D99"/>
    <w:rsid w:val="00EE5087"/>
    <w:rsid w:val="00EE7952"/>
    <w:rsid w:val="00EF1A94"/>
    <w:rsid w:val="00EF2759"/>
    <w:rsid w:val="00EF3177"/>
    <w:rsid w:val="00F010CF"/>
    <w:rsid w:val="00F02294"/>
    <w:rsid w:val="00F04B89"/>
    <w:rsid w:val="00F05E16"/>
    <w:rsid w:val="00F14950"/>
    <w:rsid w:val="00F17CDF"/>
    <w:rsid w:val="00F23A29"/>
    <w:rsid w:val="00F23C13"/>
    <w:rsid w:val="00F2478C"/>
    <w:rsid w:val="00F2651F"/>
    <w:rsid w:val="00F31797"/>
    <w:rsid w:val="00F31E53"/>
    <w:rsid w:val="00F326B1"/>
    <w:rsid w:val="00F364B4"/>
    <w:rsid w:val="00F364F3"/>
    <w:rsid w:val="00F3712A"/>
    <w:rsid w:val="00F404C4"/>
    <w:rsid w:val="00F408B4"/>
    <w:rsid w:val="00F40F6F"/>
    <w:rsid w:val="00F41D90"/>
    <w:rsid w:val="00F42F71"/>
    <w:rsid w:val="00F4385D"/>
    <w:rsid w:val="00F45583"/>
    <w:rsid w:val="00F47603"/>
    <w:rsid w:val="00F50EA0"/>
    <w:rsid w:val="00F55FA4"/>
    <w:rsid w:val="00F604F2"/>
    <w:rsid w:val="00F63F89"/>
    <w:rsid w:val="00F66056"/>
    <w:rsid w:val="00F66D40"/>
    <w:rsid w:val="00F66E75"/>
    <w:rsid w:val="00F67E21"/>
    <w:rsid w:val="00F7009E"/>
    <w:rsid w:val="00F710B0"/>
    <w:rsid w:val="00F72203"/>
    <w:rsid w:val="00F75BF6"/>
    <w:rsid w:val="00F76158"/>
    <w:rsid w:val="00F765BE"/>
    <w:rsid w:val="00F76A79"/>
    <w:rsid w:val="00F87B64"/>
    <w:rsid w:val="00F92213"/>
    <w:rsid w:val="00F93070"/>
    <w:rsid w:val="00F93CE9"/>
    <w:rsid w:val="00F95D29"/>
    <w:rsid w:val="00FA2075"/>
    <w:rsid w:val="00FA2374"/>
    <w:rsid w:val="00FA7AA0"/>
    <w:rsid w:val="00FB24BF"/>
    <w:rsid w:val="00FB3D39"/>
    <w:rsid w:val="00FB524F"/>
    <w:rsid w:val="00FB56AC"/>
    <w:rsid w:val="00FB7424"/>
    <w:rsid w:val="00FB75C2"/>
    <w:rsid w:val="00FC0CC2"/>
    <w:rsid w:val="00FC2559"/>
    <w:rsid w:val="00FC37DF"/>
    <w:rsid w:val="00FC6ED9"/>
    <w:rsid w:val="00FC6F24"/>
    <w:rsid w:val="00FC725F"/>
    <w:rsid w:val="00FD0527"/>
    <w:rsid w:val="00FD1F81"/>
    <w:rsid w:val="00FD58A2"/>
    <w:rsid w:val="00FD6263"/>
    <w:rsid w:val="00FD7284"/>
    <w:rsid w:val="00FD751A"/>
    <w:rsid w:val="00FD797D"/>
    <w:rsid w:val="00FE03FF"/>
    <w:rsid w:val="00FE10E9"/>
    <w:rsid w:val="00FE13DF"/>
    <w:rsid w:val="00FE1804"/>
    <w:rsid w:val="00FE57E3"/>
    <w:rsid w:val="00FE5E68"/>
    <w:rsid w:val="00FE651E"/>
    <w:rsid w:val="00FE7329"/>
    <w:rsid w:val="00FF0622"/>
    <w:rsid w:val="00FF0B29"/>
    <w:rsid w:val="00FF0F24"/>
    <w:rsid w:val="00FF5337"/>
    <w:rsid w:val="00FF72D2"/>
    <w:rsid w:val="00FF7F47"/>
    <w:rsid w:val="0161447B"/>
    <w:rsid w:val="064C75F3"/>
    <w:rsid w:val="0D9BC521"/>
    <w:rsid w:val="0E0878A8"/>
    <w:rsid w:val="0E6B132A"/>
    <w:rsid w:val="0F5D1F32"/>
    <w:rsid w:val="142F1167"/>
    <w:rsid w:val="14B13533"/>
    <w:rsid w:val="157FAB4C"/>
    <w:rsid w:val="173B61C6"/>
    <w:rsid w:val="17D7062F"/>
    <w:rsid w:val="1912584B"/>
    <w:rsid w:val="19D9C4FE"/>
    <w:rsid w:val="1B8F39F9"/>
    <w:rsid w:val="1BCF41AF"/>
    <w:rsid w:val="1C103B5D"/>
    <w:rsid w:val="1CCB5FFA"/>
    <w:rsid w:val="1ECB276E"/>
    <w:rsid w:val="1FBC2E81"/>
    <w:rsid w:val="1FDEE4EF"/>
    <w:rsid w:val="1FF96C60"/>
    <w:rsid w:val="23D63FF3"/>
    <w:rsid w:val="24EF070A"/>
    <w:rsid w:val="2593390D"/>
    <w:rsid w:val="25BA00DE"/>
    <w:rsid w:val="25F3B68A"/>
    <w:rsid w:val="262F577E"/>
    <w:rsid w:val="26783E77"/>
    <w:rsid w:val="293B50E9"/>
    <w:rsid w:val="2F3AEBD6"/>
    <w:rsid w:val="2FA00202"/>
    <w:rsid w:val="30121CBF"/>
    <w:rsid w:val="31B43443"/>
    <w:rsid w:val="32670BB9"/>
    <w:rsid w:val="333710D3"/>
    <w:rsid w:val="33FC14D2"/>
    <w:rsid w:val="3537726B"/>
    <w:rsid w:val="35590EB3"/>
    <w:rsid w:val="360F36CE"/>
    <w:rsid w:val="366A0A92"/>
    <w:rsid w:val="37534DDA"/>
    <w:rsid w:val="37B62D5E"/>
    <w:rsid w:val="38464A2A"/>
    <w:rsid w:val="39440949"/>
    <w:rsid w:val="395D7FC3"/>
    <w:rsid w:val="3B9DA3BA"/>
    <w:rsid w:val="3CD613E9"/>
    <w:rsid w:val="3CD780B2"/>
    <w:rsid w:val="3DEDC04A"/>
    <w:rsid w:val="3DFF0B3A"/>
    <w:rsid w:val="3E8B9DC5"/>
    <w:rsid w:val="3F2FA229"/>
    <w:rsid w:val="3F4348FA"/>
    <w:rsid w:val="3F9EAEF0"/>
    <w:rsid w:val="3FDFE2FC"/>
    <w:rsid w:val="3FEEF2A9"/>
    <w:rsid w:val="3FEF910E"/>
    <w:rsid w:val="3FF7DE95"/>
    <w:rsid w:val="40B7105D"/>
    <w:rsid w:val="41CA2070"/>
    <w:rsid w:val="43BEED3D"/>
    <w:rsid w:val="4849367D"/>
    <w:rsid w:val="4D0D298A"/>
    <w:rsid w:val="50C01D3C"/>
    <w:rsid w:val="54400F4F"/>
    <w:rsid w:val="55AA423F"/>
    <w:rsid w:val="579BAB39"/>
    <w:rsid w:val="5B864B76"/>
    <w:rsid w:val="5BBE33C7"/>
    <w:rsid w:val="5CCF1892"/>
    <w:rsid w:val="5CDC6630"/>
    <w:rsid w:val="5CEF07DD"/>
    <w:rsid w:val="5DA6181D"/>
    <w:rsid w:val="5DDA19FD"/>
    <w:rsid w:val="5E5B2C85"/>
    <w:rsid w:val="5E5D4D81"/>
    <w:rsid w:val="5EB76D3F"/>
    <w:rsid w:val="5FBFBBE3"/>
    <w:rsid w:val="5FDFD5C7"/>
    <w:rsid w:val="5FF5C1E7"/>
    <w:rsid w:val="5FFB09CB"/>
    <w:rsid w:val="5FFFA6C3"/>
    <w:rsid w:val="63326574"/>
    <w:rsid w:val="655A3479"/>
    <w:rsid w:val="65FC4833"/>
    <w:rsid w:val="66601E51"/>
    <w:rsid w:val="69E682D3"/>
    <w:rsid w:val="6ADF2E76"/>
    <w:rsid w:val="6BCD3D8E"/>
    <w:rsid w:val="6BEBF769"/>
    <w:rsid w:val="6BEBFDDB"/>
    <w:rsid w:val="6DFDFA7E"/>
    <w:rsid w:val="6E6A2D3F"/>
    <w:rsid w:val="6E6B62E0"/>
    <w:rsid w:val="6EE7C719"/>
    <w:rsid w:val="6F770826"/>
    <w:rsid w:val="6F9FD237"/>
    <w:rsid w:val="6FBF8949"/>
    <w:rsid w:val="6FEF7AF1"/>
    <w:rsid w:val="6FEFADB9"/>
    <w:rsid w:val="70687813"/>
    <w:rsid w:val="70DE69E9"/>
    <w:rsid w:val="71E8319D"/>
    <w:rsid w:val="71FBDB15"/>
    <w:rsid w:val="72146E61"/>
    <w:rsid w:val="7301505A"/>
    <w:rsid w:val="731B8652"/>
    <w:rsid w:val="73B7655F"/>
    <w:rsid w:val="73EB77E7"/>
    <w:rsid w:val="741B5345"/>
    <w:rsid w:val="74527E14"/>
    <w:rsid w:val="766E2067"/>
    <w:rsid w:val="76FF8029"/>
    <w:rsid w:val="77EF8C23"/>
    <w:rsid w:val="77FFBB05"/>
    <w:rsid w:val="7804209D"/>
    <w:rsid w:val="7B0A57DF"/>
    <w:rsid w:val="7B8D2DAB"/>
    <w:rsid w:val="7BBC48A1"/>
    <w:rsid w:val="7BFF68B5"/>
    <w:rsid w:val="7C5B7C2C"/>
    <w:rsid w:val="7CDBC869"/>
    <w:rsid w:val="7CFF3438"/>
    <w:rsid w:val="7D616528"/>
    <w:rsid w:val="7DE9DF54"/>
    <w:rsid w:val="7DEC6A2C"/>
    <w:rsid w:val="7DF7E3AC"/>
    <w:rsid w:val="7DF9B664"/>
    <w:rsid w:val="7E8E631A"/>
    <w:rsid w:val="7EBFCCF1"/>
    <w:rsid w:val="7EFF2813"/>
    <w:rsid w:val="7F0F1364"/>
    <w:rsid w:val="7F3F5D22"/>
    <w:rsid w:val="7F5CDA81"/>
    <w:rsid w:val="7FB2ADC5"/>
    <w:rsid w:val="7FBAC795"/>
    <w:rsid w:val="7FBFC3D1"/>
    <w:rsid w:val="7FC79136"/>
    <w:rsid w:val="7FCFF746"/>
    <w:rsid w:val="7FD929D8"/>
    <w:rsid w:val="7FDE0D35"/>
    <w:rsid w:val="7FEB7B56"/>
    <w:rsid w:val="7FFFD296"/>
    <w:rsid w:val="7FFFD436"/>
    <w:rsid w:val="91EE77DA"/>
    <w:rsid w:val="A7FF785B"/>
    <w:rsid w:val="ADFB6B2E"/>
    <w:rsid w:val="AFE1001A"/>
    <w:rsid w:val="B21FA53E"/>
    <w:rsid w:val="B9FFFAE0"/>
    <w:rsid w:val="BB0D1C28"/>
    <w:rsid w:val="BDEB7ACE"/>
    <w:rsid w:val="BEFFEF8B"/>
    <w:rsid w:val="BFFE3FA6"/>
    <w:rsid w:val="BFFF9175"/>
    <w:rsid w:val="BFFFB0FD"/>
    <w:rsid w:val="CB4F35C7"/>
    <w:rsid w:val="CDFFF835"/>
    <w:rsid w:val="CEEDB5D0"/>
    <w:rsid w:val="CF9A0C83"/>
    <w:rsid w:val="CFDB21F9"/>
    <w:rsid w:val="D33F8158"/>
    <w:rsid w:val="D7FF05A9"/>
    <w:rsid w:val="D8FFC288"/>
    <w:rsid w:val="DDED33C5"/>
    <w:rsid w:val="DDF56154"/>
    <w:rsid w:val="DDF9AF7B"/>
    <w:rsid w:val="DE1F3ADE"/>
    <w:rsid w:val="DEE9A1A7"/>
    <w:rsid w:val="DFB76B6D"/>
    <w:rsid w:val="DFDF0E50"/>
    <w:rsid w:val="DFF3CDC2"/>
    <w:rsid w:val="E7FF9BD9"/>
    <w:rsid w:val="EA2B5370"/>
    <w:rsid w:val="EBEECC51"/>
    <w:rsid w:val="EEFBCAB3"/>
    <w:rsid w:val="EFBFADAE"/>
    <w:rsid w:val="EFEF2FF6"/>
    <w:rsid w:val="F3FD0AE6"/>
    <w:rsid w:val="F7BF670E"/>
    <w:rsid w:val="F7FF4EF5"/>
    <w:rsid w:val="F97FA24F"/>
    <w:rsid w:val="FAB5311F"/>
    <w:rsid w:val="FABE56E9"/>
    <w:rsid w:val="FABF5577"/>
    <w:rsid w:val="FAFBF977"/>
    <w:rsid w:val="FAFE6134"/>
    <w:rsid w:val="FB7CD294"/>
    <w:rsid w:val="FBDEA5C7"/>
    <w:rsid w:val="FC3B69B3"/>
    <w:rsid w:val="FD4A084C"/>
    <w:rsid w:val="FE4E68C3"/>
    <w:rsid w:val="FEA3FA2E"/>
    <w:rsid w:val="FED3B6C3"/>
    <w:rsid w:val="FED68B33"/>
    <w:rsid w:val="FED9D0E3"/>
    <w:rsid w:val="FEF311A6"/>
    <w:rsid w:val="FEFE234D"/>
    <w:rsid w:val="FEFEBE60"/>
    <w:rsid w:val="FEFFC977"/>
    <w:rsid w:val="FF5D7D95"/>
    <w:rsid w:val="FF7E2886"/>
    <w:rsid w:val="FFA74487"/>
    <w:rsid w:val="FFAC752D"/>
    <w:rsid w:val="FFAF8895"/>
    <w:rsid w:val="FFF78818"/>
    <w:rsid w:val="FFF7DAA6"/>
    <w:rsid w:val="FFFB7A15"/>
    <w:rsid w:val="FFFF53DB"/>
    <w:rsid w:val="FFFF6CE7"/>
    <w:rsid w:val="FFFF81E4"/>
    <w:rsid w:val="FFFFA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Plain Text"/>
    <w:basedOn w:val="1"/>
    <w:qFormat/>
    <w:uiPriority w:val="0"/>
    <w:rPr>
      <w:rFonts w:ascii="宋体" w:hAnsi="Courier New"/>
    </w:rPr>
  </w:style>
  <w:style w:type="paragraph" w:styleId="4">
    <w:name w:val="Balloon Text"/>
    <w:basedOn w:val="1"/>
    <w:link w:val="15"/>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paragraph" w:styleId="8">
    <w:name w:val="annotation subject"/>
    <w:basedOn w:val="2"/>
    <w:next w:val="2"/>
    <w:link w:val="18"/>
    <w:unhideWhenUsed/>
    <w:qFormat/>
    <w:uiPriority w:val="99"/>
    <w:rPr>
      <w:b/>
      <w:bCs/>
    </w:rPr>
  </w:style>
  <w:style w:type="character" w:styleId="11">
    <w:name w:val="Strong"/>
    <w:basedOn w:val="10"/>
    <w:qFormat/>
    <w:uiPriority w:val="22"/>
    <w:rPr>
      <w:b/>
    </w:rPr>
  </w:style>
  <w:style w:type="character" w:styleId="12">
    <w:name w:val="Hyperlink"/>
    <w:qFormat/>
    <w:uiPriority w:val="0"/>
    <w:rPr>
      <w:color w:val="0000FF"/>
      <w:u w:val="single"/>
    </w:rPr>
  </w:style>
  <w:style w:type="character" w:styleId="13">
    <w:name w:val="annotation reference"/>
    <w:unhideWhenUsed/>
    <w:qFormat/>
    <w:uiPriority w:val="99"/>
    <w:rPr>
      <w:sz w:val="21"/>
      <w:szCs w:val="21"/>
    </w:rPr>
  </w:style>
  <w:style w:type="character" w:customStyle="1" w:styleId="14">
    <w:name w:val="批注文字 字符"/>
    <w:link w:val="2"/>
    <w:semiHidden/>
    <w:qFormat/>
    <w:uiPriority w:val="99"/>
    <w:rPr>
      <w:rFonts w:ascii="Times New Roman" w:hAnsi="Times New Roman"/>
      <w:kern w:val="2"/>
      <w:sz w:val="21"/>
      <w:szCs w:val="24"/>
    </w:rPr>
  </w:style>
  <w:style w:type="character" w:customStyle="1" w:styleId="15">
    <w:name w:val="批注框文本 字符"/>
    <w:link w:val="4"/>
    <w:semiHidden/>
    <w:qFormat/>
    <w:uiPriority w:val="99"/>
    <w:rPr>
      <w:rFonts w:ascii="Times New Roman" w:hAnsi="Times New Roman"/>
      <w:kern w:val="2"/>
      <w:sz w:val="18"/>
      <w:szCs w:val="18"/>
    </w:rPr>
  </w:style>
  <w:style w:type="character" w:customStyle="1" w:styleId="16">
    <w:name w:val="页脚 字符"/>
    <w:link w:val="5"/>
    <w:qFormat/>
    <w:uiPriority w:val="99"/>
    <w:rPr>
      <w:sz w:val="18"/>
      <w:szCs w:val="18"/>
    </w:rPr>
  </w:style>
  <w:style w:type="character" w:customStyle="1" w:styleId="17">
    <w:name w:val="页眉 字符"/>
    <w:link w:val="6"/>
    <w:qFormat/>
    <w:uiPriority w:val="0"/>
    <w:rPr>
      <w:sz w:val="18"/>
      <w:szCs w:val="18"/>
    </w:rPr>
  </w:style>
  <w:style w:type="character" w:customStyle="1" w:styleId="18">
    <w:name w:val="批注主题 字符"/>
    <w:link w:val="8"/>
    <w:semiHidden/>
    <w:qFormat/>
    <w:uiPriority w:val="99"/>
    <w:rPr>
      <w:rFonts w:ascii="Times New Roman" w:hAnsi="Times New Roman"/>
      <w:b/>
      <w:bCs/>
      <w:kern w:val="2"/>
      <w:sz w:val="21"/>
      <w:szCs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fontstyle01"/>
    <w:qFormat/>
    <w:uiPriority w:val="0"/>
    <w:rPr>
      <w:rFonts w:hint="eastAsia" w:ascii="楷体" w:hAnsi="楷体" w:eastAsia="楷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PRC</Company>
  <Pages>3</Pages>
  <Words>1539</Words>
  <Characters>1609</Characters>
  <Lines>20</Lines>
  <Paragraphs>5</Paragraphs>
  <TotalTime>114</TotalTime>
  <ScaleCrop>false</ScaleCrop>
  <LinksUpToDate>false</LinksUpToDate>
  <CharactersWithSpaces>1731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2022-03-13T00:36:00Z</dcterms:created>
  <dc:creator>Admin</dc:creator>
  <cp:lastModifiedBy>YUKI范</cp:lastModifiedBy>
  <cp:lastPrinted>2024-12-17T06:38:00Z</cp:lastPrinted>
  <dcterms:modified xsi:type="dcterms:W3CDTF">2025-09-12T10:23:09Z</dcterms:modified>
  <dc:title>证券代码：002544                                  证券简称：杰赛科技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4253D2907D7042988851BE4EB3C293AE_13</vt:lpwstr>
  </property>
  <property fmtid="{D5CDD505-2E9C-101B-9397-08002B2CF9AE}" pid="4" name="KSOTemplateDocerSaveRecord">
    <vt:lpwstr>eyJoZGlkIjoiY2JhMGM3OTI0YmIxOGFkMzEzYmE0MTRhNGQ4ZTY1ZjMiLCJ1c2VySWQiOiIyMTc0NTczNjQifQ==</vt:lpwstr>
  </property>
</Properties>
</file>