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437D9">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rPr>
        <w:t>证券代码：</w:t>
      </w:r>
      <w:r>
        <w:rPr>
          <w:rFonts w:hint="eastAsia" w:ascii="宋体" w:hAnsi="宋体" w:eastAsia="宋体" w:cs="宋体"/>
          <w:sz w:val="20"/>
          <w:szCs w:val="20"/>
          <w:lang w:val="en-US" w:eastAsia="zh-CN"/>
        </w:rPr>
        <w:t>600734</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实达集团</w:t>
      </w:r>
    </w:p>
    <w:p w14:paraId="026416FA">
      <w:pPr>
        <w:spacing w:line="360" w:lineRule="auto"/>
        <w:jc w:val="center"/>
        <w:rPr>
          <w:rFonts w:ascii="宋体" w:hAnsi="宋体" w:eastAsia="宋体" w:cs="宋体"/>
          <w:b/>
          <w:bCs/>
          <w:sz w:val="44"/>
          <w:szCs w:val="44"/>
        </w:rPr>
      </w:pPr>
    </w:p>
    <w:p w14:paraId="20A3FAD4">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福建实达集团股份有限公司</w:t>
      </w:r>
    </w:p>
    <w:p w14:paraId="22B785BD">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2680F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4E40088D">
            <w:pPr>
              <w:pStyle w:val="12"/>
              <w:spacing w:before="7"/>
              <w:rPr>
                <w:rFonts w:hint="default" w:ascii="Times New Roman" w:hAnsi="Times New Roman" w:eastAsia="宋体" w:cs="Times New Roman"/>
                <w:b/>
                <w:bCs/>
                <w:sz w:val="20"/>
                <w:szCs w:val="20"/>
              </w:rPr>
            </w:pPr>
          </w:p>
          <w:p w14:paraId="5EB36290">
            <w:pPr>
              <w:pStyle w:val="12"/>
              <w:spacing w:before="1"/>
              <w:ind w:left="107"/>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投资者关系活动类别</w:t>
            </w:r>
          </w:p>
        </w:tc>
        <w:tc>
          <w:tcPr>
            <w:tcW w:w="5945" w:type="dxa"/>
          </w:tcPr>
          <w:p w14:paraId="25DFE77E">
            <w:pPr>
              <w:pStyle w:val="12"/>
              <w:spacing w:before="7"/>
              <w:rPr>
                <w:rFonts w:hint="default" w:ascii="Times New Roman" w:hAnsi="Times New Roman" w:eastAsia="宋体" w:cs="Times New Roman"/>
                <w:sz w:val="20"/>
                <w:szCs w:val="20"/>
              </w:rPr>
            </w:pPr>
          </w:p>
          <w:p w14:paraId="0643DAFA">
            <w:pPr>
              <w:pStyle w:val="12"/>
              <w:tabs>
                <w:tab w:val="left" w:pos="2418"/>
              </w:tabs>
              <w:spacing w:before="1"/>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249780449"/>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特</w:t>
            </w:r>
            <w:r>
              <w:rPr>
                <w:rFonts w:hint="default" w:ascii="Times New Roman" w:hAnsi="Times New Roman" w:eastAsia="宋体" w:cs="Times New Roman"/>
                <w:spacing w:val="-3"/>
                <w:sz w:val="20"/>
                <w:szCs w:val="20"/>
              </w:rPr>
              <w:t>定</w:t>
            </w:r>
            <w:r>
              <w:rPr>
                <w:rFonts w:hint="default" w:ascii="Times New Roman" w:hAnsi="Times New Roman" w:eastAsia="宋体" w:cs="Times New Roman"/>
                <w:sz w:val="20"/>
                <w:szCs w:val="20"/>
              </w:rPr>
              <w:t>对</w:t>
            </w:r>
            <w:r>
              <w:rPr>
                <w:rFonts w:hint="default" w:ascii="Times New Roman" w:hAnsi="Times New Roman" w:eastAsia="宋体" w:cs="Times New Roman"/>
                <w:spacing w:val="-3"/>
                <w:sz w:val="20"/>
                <w:szCs w:val="20"/>
              </w:rPr>
              <w:t>象</w:t>
            </w:r>
            <w:r>
              <w:rPr>
                <w:rFonts w:hint="default" w:ascii="Times New Roman" w:hAnsi="Times New Roman" w:eastAsia="宋体" w:cs="Times New Roman"/>
                <w:sz w:val="20"/>
                <w:szCs w:val="20"/>
              </w:rPr>
              <w:t>调研</w:t>
            </w:r>
            <w:r>
              <w:rPr>
                <w:rFonts w:hint="default" w:ascii="Times New Roman" w:hAnsi="Times New Roman" w:eastAsia="宋体" w:cs="Times New Roman"/>
                <w:sz w:val="20"/>
                <w:szCs w:val="20"/>
              </w:rPr>
              <w:tab/>
            </w:r>
            <w:sdt>
              <w:sdtPr>
                <w:rPr>
                  <w:rFonts w:hint="default" w:ascii="Times New Roman" w:hAnsi="Times New Roman" w:eastAsia="宋体" w:cs="Times New Roman"/>
                  <w:sz w:val="20"/>
                  <w:szCs w:val="20"/>
                </w:rPr>
                <w:id w:val="-416875725"/>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分</w:t>
            </w:r>
            <w:r>
              <w:rPr>
                <w:rFonts w:hint="default" w:ascii="Times New Roman" w:hAnsi="Times New Roman" w:eastAsia="宋体" w:cs="Times New Roman"/>
                <w:spacing w:val="-3"/>
                <w:sz w:val="20"/>
                <w:szCs w:val="20"/>
              </w:rPr>
              <w:t>析</w:t>
            </w:r>
            <w:r>
              <w:rPr>
                <w:rFonts w:hint="default" w:ascii="Times New Roman" w:hAnsi="Times New Roman" w:eastAsia="宋体" w:cs="Times New Roman"/>
                <w:sz w:val="20"/>
                <w:szCs w:val="20"/>
              </w:rPr>
              <w:t>师</w:t>
            </w:r>
            <w:r>
              <w:rPr>
                <w:rFonts w:hint="default" w:ascii="Times New Roman" w:hAnsi="Times New Roman" w:eastAsia="宋体" w:cs="Times New Roman"/>
                <w:spacing w:val="-3"/>
                <w:sz w:val="20"/>
                <w:szCs w:val="20"/>
              </w:rPr>
              <w:t>会</w:t>
            </w:r>
            <w:r>
              <w:rPr>
                <w:rFonts w:hint="default" w:ascii="Times New Roman" w:hAnsi="Times New Roman" w:eastAsia="宋体" w:cs="Times New Roman"/>
                <w:sz w:val="20"/>
                <w:szCs w:val="20"/>
              </w:rPr>
              <w:t>议</w:t>
            </w:r>
          </w:p>
          <w:p w14:paraId="2FE3A655">
            <w:pPr>
              <w:pStyle w:val="12"/>
              <w:spacing w:before="11"/>
              <w:rPr>
                <w:rFonts w:hint="default" w:ascii="Times New Roman" w:hAnsi="Times New Roman" w:eastAsia="宋体" w:cs="Times New Roman"/>
                <w:sz w:val="20"/>
                <w:szCs w:val="20"/>
              </w:rPr>
            </w:pPr>
          </w:p>
          <w:p w14:paraId="4432F530">
            <w:pPr>
              <w:pStyle w:val="12"/>
              <w:tabs>
                <w:tab w:val="left" w:pos="2418"/>
              </w:tabs>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1206906014"/>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媒</w:t>
            </w:r>
            <w:r>
              <w:rPr>
                <w:rFonts w:hint="default" w:ascii="Times New Roman" w:hAnsi="Times New Roman" w:eastAsia="宋体" w:cs="Times New Roman"/>
                <w:spacing w:val="-3"/>
                <w:sz w:val="20"/>
                <w:szCs w:val="20"/>
              </w:rPr>
              <w:t>体</w:t>
            </w:r>
            <w:r>
              <w:rPr>
                <w:rFonts w:hint="default" w:ascii="Times New Roman" w:hAnsi="Times New Roman" w:eastAsia="宋体" w:cs="Times New Roman"/>
                <w:sz w:val="20"/>
                <w:szCs w:val="20"/>
              </w:rPr>
              <w:t>采访</w:t>
            </w:r>
            <w:r>
              <w:rPr>
                <w:rFonts w:hint="default" w:ascii="Times New Roman" w:hAnsi="Times New Roman" w:eastAsia="宋体" w:cs="Times New Roman"/>
                <w:sz w:val="20"/>
                <w:szCs w:val="20"/>
              </w:rPr>
              <w:tab/>
            </w:r>
            <w:sdt>
              <w:sdtPr>
                <w:rPr>
                  <w:rFonts w:hint="default" w:ascii="Times New Roman" w:hAnsi="Times New Roman" w:eastAsia="宋体" w:cs="Times New Roman"/>
                  <w:sz w:val="20"/>
                  <w:szCs w:val="20"/>
                </w:rPr>
                <w:id w:val="-66658901"/>
                <w14:checkbox>
                  <w14:checked w14:val="1"/>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Wingdings 2" w:hAnsi="Wingdings 2" w:eastAsia="MS Gothic" w:cs="Times New Roman"/>
                    <w:sz w:val="20"/>
                    <w:szCs w:val="20"/>
                    <w:lang w:val="zh-CN" w:eastAsia="zh-CN" w:bidi="zh-CN"/>
                  </w:rPr>
                  <w:t>R</w:t>
                </w:r>
              </w:sdtContent>
            </w:sdt>
            <w:r>
              <w:rPr>
                <w:rFonts w:hint="default" w:ascii="Times New Roman" w:hAnsi="Times New Roman" w:eastAsia="宋体" w:cs="Times New Roman"/>
                <w:sz w:val="20"/>
                <w:szCs w:val="20"/>
              </w:rPr>
              <w:t>业</w:t>
            </w:r>
            <w:r>
              <w:rPr>
                <w:rFonts w:hint="default" w:ascii="Times New Roman" w:hAnsi="Times New Roman" w:eastAsia="宋体" w:cs="Times New Roman"/>
                <w:spacing w:val="-3"/>
                <w:sz w:val="20"/>
                <w:szCs w:val="20"/>
              </w:rPr>
              <w:t>绩</w:t>
            </w:r>
            <w:r>
              <w:rPr>
                <w:rFonts w:hint="default" w:ascii="Times New Roman" w:hAnsi="Times New Roman" w:eastAsia="宋体" w:cs="Times New Roman"/>
                <w:sz w:val="20"/>
                <w:szCs w:val="20"/>
              </w:rPr>
              <w:t>说</w:t>
            </w:r>
            <w:r>
              <w:rPr>
                <w:rFonts w:hint="default" w:ascii="Times New Roman" w:hAnsi="Times New Roman" w:eastAsia="宋体" w:cs="Times New Roman"/>
                <w:spacing w:val="-3"/>
                <w:sz w:val="20"/>
                <w:szCs w:val="20"/>
              </w:rPr>
              <w:t>明</w:t>
            </w:r>
            <w:r>
              <w:rPr>
                <w:rFonts w:hint="default" w:ascii="Times New Roman" w:hAnsi="Times New Roman" w:eastAsia="宋体" w:cs="Times New Roman"/>
                <w:sz w:val="20"/>
                <w:szCs w:val="20"/>
              </w:rPr>
              <w:t>会</w:t>
            </w:r>
          </w:p>
          <w:p w14:paraId="77AD25B6">
            <w:pPr>
              <w:pStyle w:val="12"/>
              <w:spacing w:before="8"/>
              <w:rPr>
                <w:rFonts w:hint="default" w:ascii="Times New Roman" w:hAnsi="Times New Roman" w:eastAsia="宋体" w:cs="Times New Roman"/>
                <w:sz w:val="20"/>
                <w:szCs w:val="20"/>
              </w:rPr>
            </w:pPr>
          </w:p>
          <w:p w14:paraId="5E19AB34">
            <w:pPr>
              <w:pStyle w:val="12"/>
              <w:tabs>
                <w:tab w:val="left" w:pos="2418"/>
              </w:tabs>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1848167434"/>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新</w:t>
            </w:r>
            <w:r>
              <w:rPr>
                <w:rFonts w:hint="default" w:ascii="Times New Roman" w:hAnsi="Times New Roman" w:eastAsia="宋体" w:cs="Times New Roman"/>
                <w:spacing w:val="-3"/>
                <w:sz w:val="20"/>
                <w:szCs w:val="20"/>
              </w:rPr>
              <w:t>闻</w:t>
            </w:r>
            <w:r>
              <w:rPr>
                <w:rFonts w:hint="default" w:ascii="Times New Roman" w:hAnsi="Times New Roman" w:eastAsia="宋体" w:cs="Times New Roman"/>
                <w:sz w:val="20"/>
                <w:szCs w:val="20"/>
              </w:rPr>
              <w:t>发</w:t>
            </w:r>
            <w:r>
              <w:rPr>
                <w:rFonts w:hint="default" w:ascii="Times New Roman" w:hAnsi="Times New Roman" w:eastAsia="宋体" w:cs="Times New Roman"/>
                <w:spacing w:val="-3"/>
                <w:sz w:val="20"/>
                <w:szCs w:val="20"/>
              </w:rPr>
              <w:t>布</w:t>
            </w:r>
            <w:r>
              <w:rPr>
                <w:rFonts w:hint="default" w:ascii="Times New Roman" w:hAnsi="Times New Roman" w:eastAsia="宋体" w:cs="Times New Roman"/>
                <w:sz w:val="20"/>
                <w:szCs w:val="20"/>
              </w:rPr>
              <w:t>会</w:t>
            </w:r>
            <w:r>
              <w:rPr>
                <w:rFonts w:hint="default" w:ascii="Times New Roman" w:hAnsi="Times New Roman" w:eastAsia="宋体" w:cs="Times New Roman"/>
                <w:sz w:val="20"/>
                <w:szCs w:val="20"/>
              </w:rPr>
              <w:tab/>
            </w:r>
            <w:sdt>
              <w:sdtPr>
                <w:rPr>
                  <w:rFonts w:hint="default" w:ascii="Times New Roman" w:hAnsi="Times New Roman" w:eastAsia="宋体" w:cs="Times New Roman"/>
                  <w:sz w:val="20"/>
                  <w:szCs w:val="20"/>
                </w:rPr>
                <w:id w:val="412049691"/>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路</w:t>
            </w:r>
            <w:r>
              <w:rPr>
                <w:rFonts w:hint="default" w:ascii="Times New Roman" w:hAnsi="Times New Roman" w:eastAsia="宋体" w:cs="Times New Roman"/>
                <w:spacing w:val="-3"/>
                <w:sz w:val="20"/>
                <w:szCs w:val="20"/>
              </w:rPr>
              <w:t>演</w:t>
            </w:r>
            <w:r>
              <w:rPr>
                <w:rFonts w:hint="default" w:ascii="Times New Roman" w:hAnsi="Times New Roman" w:eastAsia="宋体" w:cs="Times New Roman"/>
                <w:sz w:val="20"/>
                <w:szCs w:val="20"/>
              </w:rPr>
              <w:t>活动</w:t>
            </w:r>
          </w:p>
          <w:p w14:paraId="0D3CBEA3">
            <w:pPr>
              <w:pStyle w:val="12"/>
              <w:spacing w:before="8"/>
              <w:rPr>
                <w:rFonts w:hint="default" w:ascii="Times New Roman" w:hAnsi="Times New Roman" w:eastAsia="宋体" w:cs="Times New Roman"/>
                <w:sz w:val="20"/>
                <w:szCs w:val="20"/>
              </w:rPr>
            </w:pPr>
          </w:p>
          <w:p w14:paraId="38968E1E">
            <w:pPr>
              <w:pStyle w:val="12"/>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1333366911"/>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现场参观</w:t>
            </w:r>
          </w:p>
          <w:p w14:paraId="248EF166">
            <w:pPr>
              <w:pStyle w:val="12"/>
              <w:spacing w:before="11"/>
              <w:rPr>
                <w:rFonts w:hint="default" w:ascii="Times New Roman" w:hAnsi="Times New Roman" w:eastAsia="宋体" w:cs="Times New Roman"/>
                <w:sz w:val="20"/>
                <w:szCs w:val="20"/>
              </w:rPr>
            </w:pPr>
          </w:p>
          <w:p w14:paraId="5D5ABA15">
            <w:pPr>
              <w:pStyle w:val="12"/>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400885218"/>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其他（</w:t>
            </w:r>
            <w:r>
              <w:rPr>
                <w:rFonts w:hint="default" w:ascii="Times New Roman" w:hAnsi="Times New Roman" w:eastAsia="宋体" w:cs="Times New Roman"/>
                <w:sz w:val="20"/>
                <w:szCs w:val="20"/>
                <w:u w:val="single"/>
              </w:rPr>
              <w:t>请文字说明其他活动内容）</w:t>
            </w:r>
          </w:p>
        </w:tc>
      </w:tr>
      <w:tr w14:paraId="09DB1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0" w:hRule="atLeast"/>
          <w:jc w:val="center"/>
        </w:trPr>
        <w:tc>
          <w:tcPr>
            <w:tcW w:w="2580" w:type="dxa"/>
            <w:vAlign w:val="center"/>
          </w:tcPr>
          <w:p w14:paraId="7DD34D94">
            <w:pPr>
              <w:pStyle w:val="12"/>
              <w:spacing w:line="560" w:lineRule="exact"/>
              <w:ind w:left="107" w:right="96"/>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参与单位名称及人员姓名</w:t>
            </w:r>
          </w:p>
        </w:tc>
        <w:tc>
          <w:tcPr>
            <w:tcW w:w="5945" w:type="dxa"/>
            <w:vAlign w:val="bottom"/>
          </w:tcPr>
          <w:p w14:paraId="28699035">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both"/>
              <w:textAlignment w:val="auto"/>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lang w:val="en-US" w:eastAsia="zh-CN"/>
              </w:rPr>
              <w:t>线上参与公司2025年半年度业绩说明会的投资者</w:t>
            </w:r>
          </w:p>
        </w:tc>
      </w:tr>
      <w:tr w14:paraId="32B26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405B7974">
            <w:pPr>
              <w:pStyle w:val="12"/>
              <w:ind w:left="107"/>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时间</w:t>
            </w:r>
          </w:p>
        </w:tc>
        <w:tc>
          <w:tcPr>
            <w:tcW w:w="5945" w:type="dxa"/>
            <w:vAlign w:val="bottom"/>
          </w:tcPr>
          <w:p w14:paraId="7F67C730">
            <w:pPr>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both"/>
              <w:textAlignment w:val="auto"/>
              <w:rPr>
                <w:rFonts w:hint="default" w:ascii="Times New Roman" w:hAnsi="Times New Roman" w:cs="Times New Roman"/>
                <w:sz w:val="20"/>
                <w:szCs w:val="20"/>
              </w:rPr>
            </w:pPr>
            <w:r>
              <w:rPr>
                <w:rFonts w:hint="default" w:ascii="Times New Roman" w:hAnsi="Times New Roman" w:cs="Times New Roman" w:eastAsiaTheme="minorEastAsia"/>
                <w:sz w:val="20"/>
                <w:szCs w:val="20"/>
              </w:rPr>
              <w:t>2025年9月15日 15:00-16:00</w:t>
            </w:r>
          </w:p>
        </w:tc>
      </w:tr>
      <w:tr w14:paraId="4A1FB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0D841A63">
            <w:pPr>
              <w:pStyle w:val="12"/>
              <w:ind w:left="107"/>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地点</w:t>
            </w:r>
          </w:p>
        </w:tc>
        <w:tc>
          <w:tcPr>
            <w:tcW w:w="5945" w:type="dxa"/>
            <w:vAlign w:val="bottom"/>
          </w:tcPr>
          <w:p w14:paraId="7E3E22D4">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both"/>
              <w:textAlignment w:val="auto"/>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价值在线（https://www.ir-online.cn</w:t>
            </w:r>
            <w:r>
              <w:rPr>
                <w:rFonts w:hint="eastAsia" w:ascii="Times New Roman" w:hAnsi="Times New Roman" w:cs="Times New Roman" w:eastAsiaTheme="minorEastAsia"/>
                <w:sz w:val="20"/>
                <w:szCs w:val="20"/>
                <w:lang w:eastAsia="zh-CN"/>
              </w:rPr>
              <w:t>）</w:t>
            </w:r>
            <w:r>
              <w:rPr>
                <w:rFonts w:hint="default" w:ascii="Times New Roman" w:hAnsi="Times New Roman" w:cs="Times New Roman" w:eastAsiaTheme="minorEastAsia"/>
                <w:sz w:val="20"/>
                <w:szCs w:val="20"/>
              </w:rPr>
              <w:t>网络互动</w:t>
            </w:r>
          </w:p>
        </w:tc>
      </w:tr>
      <w:tr w14:paraId="4B1E8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05E70CDC">
            <w:pPr>
              <w:pStyle w:val="12"/>
              <w:spacing w:before="1"/>
              <w:ind w:left="107"/>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上市公司接待人员姓名</w:t>
            </w:r>
          </w:p>
        </w:tc>
        <w:tc>
          <w:tcPr>
            <w:tcW w:w="5945" w:type="dxa"/>
            <w:vAlign w:val="center"/>
          </w:tcPr>
          <w:p w14:paraId="2194E35E">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总裁 朱向东</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独立董事 许萍</w:t>
            </w:r>
            <w:bookmarkStart w:id="0" w:name="_GoBack"/>
            <w:bookmarkEnd w:id="0"/>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财务总监 李莉丽</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董事会秘书 戴晓燕</w:t>
            </w:r>
          </w:p>
        </w:tc>
      </w:tr>
      <w:tr w14:paraId="18E98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14:paraId="2E9DE3C0">
            <w:pPr>
              <w:pStyle w:val="12"/>
              <w:rPr>
                <w:rFonts w:hint="default" w:ascii="Times New Roman" w:hAnsi="Times New Roman" w:eastAsia="宋体" w:cs="Times New Roman"/>
                <w:b/>
                <w:bCs/>
                <w:sz w:val="20"/>
                <w:szCs w:val="20"/>
              </w:rPr>
            </w:pPr>
          </w:p>
          <w:p w14:paraId="7B057F96">
            <w:pPr>
              <w:pStyle w:val="12"/>
              <w:rPr>
                <w:rFonts w:hint="default" w:ascii="Times New Roman" w:hAnsi="Times New Roman" w:eastAsia="宋体" w:cs="Times New Roman"/>
                <w:b/>
                <w:bCs/>
                <w:sz w:val="20"/>
                <w:szCs w:val="20"/>
              </w:rPr>
            </w:pPr>
          </w:p>
          <w:p w14:paraId="7D06A6E5">
            <w:pPr>
              <w:pStyle w:val="12"/>
              <w:spacing w:before="5"/>
              <w:rPr>
                <w:rFonts w:hint="default" w:ascii="Times New Roman" w:hAnsi="Times New Roman" w:eastAsia="宋体" w:cs="Times New Roman"/>
                <w:b/>
                <w:bCs/>
                <w:sz w:val="20"/>
                <w:szCs w:val="20"/>
              </w:rPr>
            </w:pPr>
          </w:p>
          <w:p w14:paraId="0E3D0B28">
            <w:pPr>
              <w:pStyle w:val="12"/>
              <w:spacing w:before="1" w:line="499" w:lineRule="auto"/>
              <w:ind w:left="107" w:right="96"/>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投资者关系活动主要内容介绍</w:t>
            </w:r>
          </w:p>
        </w:tc>
        <w:tc>
          <w:tcPr>
            <w:tcW w:w="5945" w:type="dxa"/>
          </w:tcPr>
          <w:p w14:paraId="3A455AC4">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eastAsia="宋体" w:cs="Times New Roman"/>
                <w:sz w:val="20"/>
                <w:szCs w:val="20"/>
              </w:rPr>
            </w:pPr>
            <w:r>
              <w:rPr>
                <w:rFonts w:hint="default" w:ascii="Times New Roman" w:hAnsi="Times New Roman" w:eastAsia="宋体" w:cs="Times New Roman"/>
                <w:b/>
                <w:sz w:val="20"/>
              </w:rPr>
              <w:t xml:space="preserve">    1.你好朱总，近期公司回复投资者提问中提到，公司将择机进行市值管理。请问公司对市值管理，将会通过哪些方式？有无时间表和具体计划？是否包含回购股份？</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公司根据证监会《市值管理10号指引》和国务院《关于改进和加强中央企业控股上市公司市值管理工作的若干意见》持续推进市值管理工作。具体的市值管理方式包括但不限于提升经营业绩、优化资本结构、建立市值评估体系、提升信息披露质量以及常态化举办投资者交流活动等。关于是否包含回购股份等具体计划和时间表，公司将根据市场情况和公司实际经营状况，按照相关法律法规的要求，制定相应的策略。目前没有具体的回购股份计划。相关事项敬请关注公司公告。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2.你好朱总，请介绍下公司现有员工数及学历情况。另外，研发人员占比多少？公司未来对研发的投入有什么计划。谢谢！</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截至2025年8月公司在职员工112人，研究生学历占比16%，本科学历占比73%，本科以下学历占比11%。其中，研发人员占比21%。关于公司未来对研发的投入计划，实达集团将保持年均营收8%以上的投入，重点突破人工智能业务化、算力服务、教育数字化、数据流动等核心技术。一方面，公司计划在数字教育领域推出基于公司自研的教育行业大模型的“智能教育AI助手</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作业试卷批改”和“学情分析”等应用产品。其次，公司全力打造算力一体化服务平台，整合省内外算力服务资源，为中小企业提供融合算力、模型、数据以及生态行业应用解决方案的一站式服务。同时，公司设立AI工业视觉专项技术攻关团队，联合生态伙伴共建实验室，聚焦工业视觉领域关键核心技术，开展高精度视觉识别算法、复杂场景缺陷检测技术等研发，搭建工业视觉共性技术平台，培育工业视觉应用示范项目。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3.朱总，你好！公司收购标的公司数产名商前三季度经营业绩如何？是否属于会计上同一控制下的企业合并？收购完成后根据企业会计准则是否会调整可比期间的会计利润？谢谢！</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根据公司披露的信息，数产名商在2024年的财务数据（未经审计）显示，其总资产为52,811.74万元，总负债为34,415.60万元，净资产为18,396.14万元，营业收入为3,411.03万元，净利润为396.14万元。关于其2025年的经营业绩，请您关注后续的公告信息。
实达集团与数产名商同为控股股东大数据集团下属企业，本次交易属于同一控制下的企业合并。根据准则，同一控制下的企业合并后需对合并财务报表的期初数以及前期比较报表进行相应重述，将被合并方在可比期间的收入、费用和利润纳入合并范围，同时抵消内部交易的影响，同一控制下合并以账面价值为基础合并对价与净资产账面价值的差额调整所有者权益（资本公积/留存收益），不确认商誉，且合并交易本身不影响合并当期利润。具体会计处理还需根据实际情况和审计结果进行确定。</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4.朱总，你好！公司未来的定位是施工类企业还是提供数据服务的高新技术企业？</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公司以“数据赋能、智创未来”为核心理念，持续聚焦数字政府、数智教育、智能算力和数据流动四大核心业务领域，构建覆盖顶层设计、技术研发、场景落地的全链条服务体系。公司致力于为政府与企业提供数字化转型的标准化产品与深度运营服务，推动“数字应用-产业升级-社会发展”的良性循环。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5.朱总，你好！近期公司是否关注到公司股价情况？对公司目前股价认为是否合理？</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公司管理层始终高度重视全体股东利益，对股价表现保持密切关注。股价受市场、行业政策等多重复杂因素的影响，公司目前经营情况一切正常，不存在应披露而未披露的信息。公司将持续做好市值管理工作，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6.朱总，你好！公司对于中标的项目经常不公布，能否在符合证监会要求下，提高自愿披露的信息情况？</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公司高度重视信息披露工作，严格按照有关法律法规及公司制定的《信息披露管理制度》要求，遵循“公平、公正、公开”的原则，真实、准确、及时、完整地披露公司定期报告和临时公告等相关信息，并确保所有股东有平等的权利和机会获得公司应披露的信息。关于中标项目，公司今年已中标项目未达到《上海证券交易所股票上市规则》规定的披露标准，后续如有重大项目达到信披标准，公司将根据相关法律法规要求及时履行披露义务。公司理解投资者对公司中标项目的关注，也会在符合监管要求的前提下，考虑适当增加自愿性信息披露，以便更好地与投资者沟通。同时，您可关注公司公众号，以便获取更多相关信息。感谢您对公司的关注和建议。</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7.现在整个市场走牛市，你们公司股票走的是熊市给我们投资者带来了重大的损失，请问你们的资产注入何时兑现，已经快一年了还没有下文，公司的业绩何时能够改善。</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关于您关心的资产注入问题，公司与各方正在积极推进资产注入计划，交易的审计、尽调、评估工作已完成，现阶段正在履行有权国有资产监督管理机构备案程序。由于交易方案仍需进一步论证和沟通协商，具体交易价格等要素均未最终确定，公司将按照相关法律法规及《公司章程》的有关规定履行必要的决策和审批程序，并及时公告，请您关注后续的公告信息。同时，公司也在持续聚焦于数字政府、数智教育、智能算力和数据流动等领域，努力改善公司的业绩。公司将持续密切关注该事项进展，严格遵循信息披露准则，及时、准确、完整地向市场传递最新动态。若有重大进展，将第一时间通过法定信息披露渠道公告。
关于公司业绩改善的问题，公司管理层始终高度重视全体股东利益，对股价表现保持密切关注，并正通过各种措施努力来改善公司业绩。再次感谢您的监督与支持！</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8.公司1月份重大资产重组预计是6个月完成，现在不涉及重大资产重组，应该手续更快捷 为什么现在已经过去8个月了，还遥遥无期，能否说明一下什么时间能完成收购。3月份大盘3000点，实达集团股价5块左右，最高5块5，现在大盘快3900了，实达集团股价3块8，公司股价长期和大盘倒挂，请问公司管理层做了哪些提升股价的事情，是不是应该给实达集团的众多小股东一个说法！</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公司与各方正在积极推进资产注入计划，交易的审计、尽调、评估工作已完成，现阶段正在履行有权国有资产监督管理机构备案程序。由于交易方案仍需进一步论证和沟通协商，具体交易价格等要素均未最终确定，公司将按照相关法律法规及《公司章程》的有关规定履行必要的决策和审批程序，并及时公告，请您关注后续的公告信息。公司管理层始终高度重视全体股东利益，对股价表现保持密切关注。股价受市场、行业政策等多重复杂因素的影响，公司目前经营情况一切正常，不存在应披露而未披露的信息。公司将持续修炼好内功，保持稳定健康的发展，保护投资者权益。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9.公司人形俱身机器人工厂进展情况</w:t>
            </w:r>
            <w:r>
              <w:rPr>
                <w:rFonts w:hint="default" w:ascii="Times New Roman" w:hAnsi="Times New Roman" w:eastAsia="宋体" w:cs="Times New Roman"/>
                <w:b/>
                <w:sz w:val="20"/>
                <w:lang w:eastAsia="zh-CN"/>
              </w:rPr>
              <w:t>？</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尊敬的投资者，您好！公司基于战略调整，具身机器人项目暂缓，感谢您对公司的关注。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10.当下数字经济发展政策持续推进，请问公司在《“十四五”数字经济发展规划》指引下，后续有哪些具体举措进一步深度融入数字经济发展浪潮，尤其是在智能算力和数据要素领域？</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在《“十四五”数字经济发展规划》指引下，公司将继续深度融入数字经济发展浪潮，在智能算力和数据要素等领域积极采取举措：1.推动数据要素赋能：公司积极响应国家数据战略，聚焦数据治理，构建数据全生命周期的一体化数据产品体系，创新数据应用场景，涵盖数据分析、数据挖掘、可视化展示等领域。公司积极探索数据跨境领域，打造行业标杆产品，承接数据跨境流动服务平台建设，促进数据流动协同服务和创新监管。公司将继续探索数据产品运营方向和盈利模式，推动“数字应用-产业升级-社会发展”的良性循环，以实现对广大投资者的回报。2.强化智能算力领域的布局：公司将围绕“算力+数据+教育+AI”四位一体战略，持续强化在技术研发、场景落地及生态协同的竞争优势。公司在智能算力业务方面，紧跟AI大模型对算力需求的增长趋势，加大投入与布局。公司已开发算力调度平台，为企业提供融合算力、模型、数据以及生态行业应用解决方案的一站式服务，提升产品易用性，降低用户使用成本，并实现对CPU、GPU等算力的多集群管理和调度。目前公司已参与克融云、鼓楼等多个智算中心的建设项目。3.加速技术研发和场景落地：公司将持续聚焦大数据产业，积极推进市场化业务拓展，并助力政企数字化转型。在技术研发方面，公司将通过整合大数据、人工智能、隐私计算等前沿技术，构建覆盖顶层设计、技术研发、场景落地的全链条服务体系，为政府与企业提供数字化转型的标准化产品与深度运营服务。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11.在数据跨境服务方面，目前有没有取得哪些阶段性成果</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在数据跨境领域，公司自2022年起积极探索数据跨境业务，并于2023年成功构建了国内首个全流程、一站式、智能化的数据跨境合作服务平台。2024年，基于该平台进一步建设了平潭国际互联网数据专用通道。建设该平台已累计为公司带来营业收入1.8亿。目前，该平台已圆满完成建设并顺利投入运营。该平台面向跨境企业、科研机构等多元客户群体，提供数据跨境全流程合规服务。凭借专业的服务能力和对政策的精准把握，公司不断积累客户资源，持续拓展服务场景，未来有望依托政策优势实现业务的稳步增长。感谢您对公司的关注。实达集团将持续深化数据跨境服务能力，探索数据跨境流动的创新路径与实践模式，助力构建合法有序的跨境数据流动环境。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12.2025年2月7月，公司公告投资建设具身智能机器人数据采集工厂，项目进展如何，工厂建在哪里，有没有停止建设？</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尊敬的投资者，您好！公司基于战略调整，具身机器人项目暂缓，感谢您对公司的关注。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13.在拓展多元化经营方面，除现有业务外未来还考虑涉足哪些相关领域</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公司以“数据赋能、智创未来”为核心理念，持续聚焦数字政府、数智教育、智能算力和数据流动四大核心业务领域，构建覆盖顶层设计、技术研发、场景落地的全链条服务体系。公司致力于为政府与企业提供数字化转型的标准化产品与深度运营服务，推动“数字应用-产业升级-社会发展”的良性循环。公司定位是提供数据服务和数字化解决方案的高新技术企业。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14.公司业绩不好，我想知道领导是怎么想的，不想听大话空话，来点实际的。</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2025年上半年业绩虽然仍然处于亏损状态，但是公司正在通过各种措施努力改善经营状况。公司管理层对公司的未来发展和盈利能力持积极态度，并将持续努力提升公司核心竞争力。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15.公司研发投入领域主要在哪些业务板块？</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尊敬的投资者，您好！关于公司未来对研发的投入计划，实达集团将保持年均营收8%以上的投入，重点突破人工智能业务化、算力服务、教育数字化、数据流动等核心技术。感谢您对公司的关注。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16.请问20205年数产名商半年营收和利润各多少，是否符合集团预期，对公司未来收购数产后的业绩是否有足够信心</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根据公司披露的信息，数产名商在2024年的财务数据（未经审计）显示，其总资产为52,811.74万元，总负债为34,415.60万元，净资产为18,396.14万元，营业收入为3,411.03万元，净利润为396.14万元。关于其2025年的经营业绩，请您关注后续的公告信息。数产名商与公司现有的人工智能算力基础设施建设与运营业务高度契合，能够与现有业务形成互补和协同，有效提升公司的主营业务收入和利润规模，从而提升公司的核心竞争力。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17.上半年归母净利润为同比下降了208.15%，请问导致利润大幅下降的主要原因是什么？</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尊敬的投资者，您好！2025年上半年利润下降的主要因承接部分项目的成本有所上升，及上年同期处置长期股权投资产生的投资收益8,069.57万元，本期投资收益同比大幅减少。感谢您对公司的关注。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18.报告期内存货较期初增长2321.82%，远高于营业收入增速，请问产生这一现象的原因是什么，未来公司将采取什么措施合理控制存货水平？</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2025年半年度公司存货增长主要原因系新项目的实施尚未达到确收收入的条件所致。公司未来将根据市场需求和销售情况，合理规划生产和采购计划，以有效控制存货水平，降低资金占用和库存风险，提高资产运营效率。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19.2025年上半年公司营业收入同比大幅增长 217.87%，主要是哪些业务板块的增长贡献所致，后续如何保持这种增长态势？</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2025年上半年收入同比大幅增长主要是由于大数据业务的增加所致，主要落地的项目集中在数字政府、智能算力等领域。为保持这种增长态势，公司将持续深耕数字经济领域，不断优化和升级服务，提升核心竞争力。通过加大研发投入，推动产品创新和技术创新，以满足市场和客户不断变化的需求。同时，公司将积极拓展市场，加强与政府、企业等合作伙伴的合作，进一步扩大市场份额。此外，公司还将通过加强内部管理，提高运营效率，降低成本，以实现可持续发展和业绩增长。</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20.公司具身机器人数据采集工厂项目进展如何，建在哪里，有没有终止？</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尊敬的投资者，您好！公司基于战略调整，具身机器人项目暂缓，感谢您对公司的关注。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21.“在国家与地方政府推动数字经济、产业数字化转换的背景下，公司是否获得政策或财政支持用于‘数产名商’的整合与扩张？这些政策支持对成本、税收或补贴方面能带来多大影响？”</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公司积极响应国家的“网络强国、数字中国、智慧社会”战略，聚焦数字政府、数智教育、智能算力和数据流动四大核心业务领域。在税收优惠方面，公司通过认定高新技术企业取得《高新技术企业证书》，根据相关法规，企业所得税税率为15%。此外，公司的子公司作为小微企业，根据相关政策，对小型微利企业减按25%计算应纳税所得额，按20%的税率缴纳企业所得税政策。这些税收优惠政策对公司的成本和税负有积极影响，有助于降低公司的经营成本，提高公司的盈利能力。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22.贵公司近年通过收购数产名商等举措不断推进数字化和多元化布局。请问管理层：这项收购在公司整体战略中扮演的核心角色是什么？它如何与现有业务形成互补和协同，从而在未来2–3年提升公司的核心竞争力和盈利能力？公司内部是否设定了明确的战略目标和里程碑来衡量这一战略方向的执行效果？</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实达集团拟通过收购“数产名商”等举措，不断推进数字化和多元化布局。本次收购在公司整体战略意义是强化公司在智算中心领域的布局，将有助于公司聚焦主责主业，提升市场竞争力。一方面，本次标的与公司现有的人工智能算力基础设施建设与运营业务高度契合，能够与现有业务形成互补和协同，有效提升公司的主营业务收入和利润规模，从而提升公司的核心竞争力；另一方面，此举也有利于规范上市公司与控股股东和间接控股股东间的同业竞争，符合公司及中小股东利益，进一步提高公司盈利能力。实达集团将依托于“算力+数据+教育+AI”四位一体的战略，持续强化在技术研发、场景落地及生态协同的竞争优势，深度把握行业重构机遇。公司将通过市场调研、竞争性分析以及运营能力提升，制定出具有市场竞争力的定价策略和服务体系，提升公司的盈利水平。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23.资产注入何时能兑现，业绩何时能改善</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公司与各方正在积极推进资产注入计划，交易的审计、尽调、评估工作已完成，现阶段正在履行有权国有资产监督管理机构备案程序。由于交易方案仍需进一步论证和沟通协商，具体交易价格等要素均未最终确定，公司将按照相关法律法规及《公司章程》的有关规定履行必要的决策和审批程序，并及时公告，请您关注后续的公告信息。</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24.收购什么时间完成</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公司与各方正在积极推进资产注入计划，交易的审计、尽调、评估工作已完成，现阶段正在履行有权国有资产监督管理机构备案程序。公司将按照相关法律法规及《公司章程》的有关规定履行必要的决策和审批程序，并及时公告，请您关注后续的公告信息。</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25.朱总你好，公司具身机器人数据采集工厂项目进展如何，有没有终止？</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尊敬的投资者，您好！公司基于战略调整，具身机器人项目暂缓，感谢您对公司的关注。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26.朱总你好，请问20205年数产名商半年营收和利润各多少，是否符合集团预期，对公司未来收购数产后的业绩是否有足够信心</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根据公司披露的信息，数产名商在2024年的财务数据（未经审计）显示，其总资产为52,811.74万元，总负债为34,415.60万元，净资产为18,396.14万元，营业收入为3,411.03万元，净利润为396.14万元。关于其2025年经营业绩，请您关注后续的公告信息。数产名商的主营业务与公司现有的人工智能算力基础设施建设与运营业务高度契合，能够与公司现有业务形成互补和协同，有效提升公司的主营业务收入和利润规模，从而提升公司的核心竞争力。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27.朱总你好，公司可有改名计划，促进一下股价？</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尊敬的投资者，您好！公司无相关计划，感谢您对公司的关注与支持。</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28.朱总，您好！大盘3800你还在2800徘徊，今年一月份公司一直说重组收购，中标2.1亿，至今价格一直在低位徘徊，我们亏得很惨，我们生怕这样下去会不会st？大盘行情这么好，实达集团股价在煎熬吧，我们也在煎熬！</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尊敬的投资者，您好！股票价格受多种因素影响，包括宏观经济环境、市场整体走势、行业发展趋势以及投资者关注等。尽管公司在推进收购项目并取得了中标 2.1 亿的成果，但股价表现并不能完全与公司的业务进展同步。目前公司的收购事项正在按计划推进，相关工作在有序开展中，若有重大进展，公司定会及时履行信息披露义务，您可关注公司公告。
关于您担心的 ST 风险，根据《上海证券交易所股票上市规则》等相关规定，公司目前的经营状况正常，财务指标也未触及被实施 ST 的情形，公司将持续努力做好经营管理，提升公司业绩。在当前大盘向好的形势下，公司理解投资者对股价的期待，公司管理层也一直密切关注股价走势，公司将全力以赴推动各项业务的发展，提升公司内在价值，以期为投资者带来更好的回报。同时，也请您理性看待股价波动，注意投资风险。感谢您对公司的关注与支持！</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29.公司股票长期不分红，现在国资接盘是否有分红规划？</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尊敬的投资者，您好！公司目前的利润分配政策和现金分红政策符合公司章程的规定或股东大会决议的要求。由于可供股东分配的利润为负数，公司并未进行利润分配，也不进行资本公积金转增股本。公司目前不符合分红条件，若后期达到分红标准会考虑安排相关事宜。因此，目前没有明确的分红计划，公司将根据未来的经营情况和利润分配政策来决定是否进行分红。感谢您对公司的关注。</w:t>
            </w:r>
          </w:p>
        </w:tc>
      </w:tr>
      <w:tr w14:paraId="24E4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0" w:hRule="atLeast"/>
          <w:jc w:val="center"/>
        </w:trPr>
        <w:tc>
          <w:tcPr>
            <w:tcW w:w="2580" w:type="dxa"/>
            <w:vAlign w:val="center"/>
          </w:tcPr>
          <w:p w14:paraId="1C9B9FE9">
            <w:pPr>
              <w:pStyle w:val="12"/>
              <w:spacing w:before="1"/>
              <w:ind w:left="107"/>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关于本次活动是否涉及应</w:t>
            </w:r>
          </w:p>
          <w:p w14:paraId="49D3035B">
            <w:pPr>
              <w:pStyle w:val="12"/>
              <w:spacing w:before="1"/>
              <w:ind w:left="107"/>
              <w:rPr>
                <w:rFonts w:hint="default" w:ascii="Times New Roman" w:hAnsi="Times New Roman" w:eastAsia="宋体" w:cs="Times New Roman"/>
                <w:b/>
                <w:bCs/>
                <w:sz w:val="20"/>
                <w:szCs w:val="20"/>
              </w:rPr>
            </w:pPr>
            <w:r>
              <w:rPr>
                <w:rFonts w:hint="default" w:ascii="Times New Roman" w:hAnsi="Times New Roman" w:cs="Times New Roman" w:eastAsiaTheme="minorEastAsia"/>
                <w:b/>
                <w:bCs/>
                <w:sz w:val="20"/>
                <w:szCs w:val="20"/>
              </w:rPr>
              <w:t>披露重大信息的说明</w:t>
            </w:r>
          </w:p>
        </w:tc>
        <w:tc>
          <w:tcPr>
            <w:tcW w:w="5945" w:type="dxa"/>
            <w:vAlign w:val="center"/>
          </w:tcPr>
          <w:p w14:paraId="701579B1">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both"/>
              <w:textAlignment w:val="auto"/>
              <w:rPr>
                <w:rFonts w:hint="default" w:ascii="Times New Roman" w:hAnsi="Times New Roman" w:eastAsia="宋体" w:cs="Times New Roman"/>
                <w:sz w:val="20"/>
                <w:szCs w:val="20"/>
              </w:rPr>
            </w:pPr>
            <w:r>
              <w:rPr>
                <w:rFonts w:hint="default" w:ascii="Times New Roman" w:hAnsi="Times New Roman" w:cs="Times New Roman" w:eastAsiaTheme="minorEastAsia"/>
                <w:sz w:val="20"/>
                <w:szCs w:val="20"/>
              </w:rPr>
              <w:t>本次活动不涉及未公开披露的重大信息。</w:t>
            </w:r>
          </w:p>
        </w:tc>
      </w:tr>
      <w:tr w14:paraId="57380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348" w:hRule="atLeast"/>
          <w:jc w:val="center"/>
        </w:trPr>
        <w:tc>
          <w:tcPr>
            <w:tcW w:w="2580" w:type="dxa"/>
            <w:vAlign w:val="center"/>
          </w:tcPr>
          <w:p w14:paraId="3F6E296E">
            <w:pPr>
              <w:pStyle w:val="12"/>
              <w:spacing w:before="1"/>
              <w:ind w:left="107" w:leftChars="0"/>
              <w:rPr>
                <w:rFonts w:hint="default" w:ascii="Times New Roman" w:hAnsi="Times New Roman" w:eastAsia="宋体" w:cs="Times New Roman"/>
                <w:b/>
                <w:bCs/>
                <w:sz w:val="20"/>
                <w:szCs w:val="20"/>
                <w:lang w:val="zh-CN" w:eastAsia="zh-CN" w:bidi="zh-CN"/>
              </w:rPr>
            </w:pPr>
            <w:r>
              <w:rPr>
                <w:rFonts w:hint="default" w:ascii="Times New Roman" w:hAnsi="Times New Roman" w:eastAsia="宋体" w:cs="Times New Roman"/>
                <w:b/>
                <w:bCs/>
                <w:sz w:val="20"/>
                <w:szCs w:val="20"/>
              </w:rPr>
              <w:t>附件清单（如有）</w:t>
            </w:r>
          </w:p>
        </w:tc>
        <w:tc>
          <w:tcPr>
            <w:tcW w:w="5945" w:type="dxa"/>
            <w:vAlign w:val="center"/>
          </w:tcPr>
          <w:p w14:paraId="092B4A91">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both"/>
              <w:textAlignment w:val="auto"/>
              <w:rPr>
                <w:rFonts w:hint="default" w:ascii="Times New Roman" w:hAnsi="Times New Roman" w:eastAsia="宋体" w:cs="Times New Roman"/>
                <w:sz w:val="20"/>
                <w:szCs w:val="20"/>
                <w:lang w:val="en-US" w:eastAsia="zh-CN" w:bidi="zh-CN"/>
              </w:rPr>
            </w:pPr>
            <w:r>
              <w:rPr>
                <w:rFonts w:hint="eastAsia" w:ascii="Times New Roman" w:hAnsi="Times New Roman" w:eastAsia="宋体" w:cs="Times New Roman"/>
                <w:sz w:val="20"/>
                <w:szCs w:val="20"/>
                <w:lang w:val="en-US" w:eastAsia="zh-CN" w:bidi="zh-CN"/>
              </w:rPr>
              <w:t>无</w:t>
            </w:r>
          </w:p>
        </w:tc>
      </w:tr>
      <w:tr w14:paraId="6677F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21" w:hRule="atLeast"/>
          <w:jc w:val="center"/>
        </w:trPr>
        <w:tc>
          <w:tcPr>
            <w:tcW w:w="2580" w:type="dxa"/>
            <w:vAlign w:val="center"/>
          </w:tcPr>
          <w:p w14:paraId="556A473B">
            <w:pPr>
              <w:pStyle w:val="12"/>
              <w:spacing w:before="1"/>
              <w:ind w:left="107" w:leftChars="0"/>
              <w:rPr>
                <w:rFonts w:hint="default" w:ascii="Times New Roman" w:hAnsi="Times New Roman" w:eastAsia="宋体" w:cs="Times New Roman"/>
                <w:b/>
                <w:bCs/>
                <w:sz w:val="20"/>
                <w:szCs w:val="20"/>
                <w:lang w:val="zh-CN" w:eastAsia="zh-CN" w:bidi="zh-CN"/>
              </w:rPr>
            </w:pPr>
            <w:r>
              <w:rPr>
                <w:rFonts w:hint="default" w:ascii="Times New Roman" w:hAnsi="Times New Roman" w:eastAsia="宋体" w:cs="Times New Roman"/>
                <w:b/>
                <w:bCs/>
                <w:sz w:val="20"/>
                <w:szCs w:val="20"/>
              </w:rPr>
              <w:t>日期</w:t>
            </w:r>
          </w:p>
        </w:tc>
        <w:tc>
          <w:tcPr>
            <w:tcW w:w="5945" w:type="dxa"/>
            <w:vAlign w:val="center"/>
          </w:tcPr>
          <w:p w14:paraId="799B1BEF">
            <w:pPr>
              <w:pStyle w:val="12"/>
              <w:keepNext w:val="0"/>
              <w:keepLines w:val="0"/>
              <w:pageBreakBefore w:val="0"/>
              <w:widowControl w:val="0"/>
              <w:kinsoku/>
              <w:wordWrap/>
              <w:overflowPunct/>
              <w:topLinePunct w:val="0"/>
              <w:autoSpaceDE w:val="0"/>
              <w:autoSpaceDN w:val="0"/>
              <w:bidi w:val="0"/>
              <w:adjustRightInd/>
              <w:snapToGrid/>
              <w:spacing w:before="100" w:beforeAutospacing="1"/>
              <w:jc w:val="both"/>
              <w:textAlignment w:val="auto"/>
              <w:rPr>
                <w:rFonts w:hint="default" w:ascii="Times New Roman" w:hAnsi="Times New Roman" w:eastAsia="宋体" w:cs="Times New Roman"/>
                <w:sz w:val="20"/>
                <w:szCs w:val="20"/>
                <w:lang w:val="zh-CN" w:eastAsia="zh-CN" w:bidi="zh-CN"/>
              </w:rPr>
            </w:pPr>
            <w:r>
              <w:rPr>
                <w:rFonts w:hint="eastAsia" w:ascii="Times New Roman" w:hAnsi="Times New Roman" w:eastAsia="宋体" w:cs="Times New Roman"/>
                <w:sz w:val="20"/>
                <w:szCs w:val="20"/>
                <w:lang w:eastAsia="zh-CN"/>
              </w:rPr>
              <w:t>2025年9月15日</w:t>
            </w:r>
          </w:p>
        </w:tc>
      </w:tr>
    </w:tbl>
    <w:p w14:paraId="6D9F43B0">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6995A5B"/>
    <w:rsid w:val="08641132"/>
    <w:rsid w:val="09186774"/>
    <w:rsid w:val="0945438F"/>
    <w:rsid w:val="0A71587A"/>
    <w:rsid w:val="0B792C38"/>
    <w:rsid w:val="0C28640C"/>
    <w:rsid w:val="0E90599A"/>
    <w:rsid w:val="0ED720CD"/>
    <w:rsid w:val="10AA3EEC"/>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93F7B37"/>
    <w:rsid w:val="4B756271"/>
    <w:rsid w:val="4C8E1CA8"/>
    <w:rsid w:val="4D6D36A4"/>
    <w:rsid w:val="510903EF"/>
    <w:rsid w:val="53F137F4"/>
    <w:rsid w:val="543A6906"/>
    <w:rsid w:val="56850CBB"/>
    <w:rsid w:val="59D8738A"/>
    <w:rsid w:val="5A666D76"/>
    <w:rsid w:val="5B2253C2"/>
    <w:rsid w:val="5CF02E0F"/>
    <w:rsid w:val="5D5932FD"/>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9</Pages>
  <Words>7679</Words>
  <Characters>8031</Characters>
  <Lines>2</Lines>
  <Paragraphs>1</Paragraphs>
  <TotalTime>8</TotalTime>
  <ScaleCrop>false</ScaleCrop>
  <LinksUpToDate>false</LinksUpToDate>
  <CharactersWithSpaces>8330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Faye</cp:lastModifiedBy>
  <dcterms:modified xsi:type="dcterms:W3CDTF">2025-09-15T09:11:44Z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FA408D9C03734C4D885E970E9C2D61F0_13</vt:lpwstr>
  </property>
  <property fmtid="{D5CDD505-2E9C-101B-9397-08002B2CF9AE}" pid="4" name="KSOTemplateDocerSaveRecord">
    <vt:lpwstr>eyJoZGlkIjoiNDg3OWJmYWUyYjNmYmEyY2M4NDdkNWViOGFkNmJhZmUiLCJ1c2VySWQiOiI3MDIyNDc1ODkifQ==</vt:lpwstr>
  </property>
</Properties>
</file>