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20" w:line="259" w:lineRule="auto"/>
        <w:jc w:val="left"/>
        <w:rPr>
          <w:rFonts w:ascii="Calibri" w:hAnsi="Calibri" w:eastAsia="Times New Roman" w:cs="Calibri"/>
          <w:color w:val="000000"/>
          <w:sz w:val="22"/>
        </w:rPr>
      </w:pPr>
      <w:r>
        <w:rPr>
          <w:rFonts w:hint="eastAsia" w:ascii="宋体" w:hAnsi="宋体" w:eastAsia="宋体" w:cs="宋体"/>
          <w:color w:val="000000"/>
          <w:sz w:val="24"/>
        </w:rPr>
        <w:t>证券代码：</w:t>
      </w:r>
      <w:r>
        <w:rPr>
          <w:rFonts w:ascii="宋体" w:hAnsi="宋体" w:eastAsia="宋体" w:cs="宋体"/>
          <w:color w:val="000000"/>
          <w:sz w:val="24"/>
        </w:rPr>
        <w:t xml:space="preserve">688328                                    </w:t>
      </w:r>
      <w:r>
        <w:rPr>
          <w:rFonts w:hint="eastAsia" w:ascii="宋体" w:hAnsi="宋体" w:eastAsia="宋体" w:cs="宋体"/>
          <w:color w:val="000000"/>
          <w:sz w:val="24"/>
        </w:rPr>
        <w:t>证券简称：深科达</w:t>
      </w:r>
      <w:r>
        <w:rPr>
          <w:rFonts w:ascii="宋体" w:hAnsi="宋体" w:eastAsia="宋体" w:cs="宋体"/>
          <w:color w:val="000000"/>
          <w:sz w:val="24"/>
        </w:rPr>
        <w:t xml:space="preserve">                                          </w:t>
      </w:r>
    </w:p>
    <w:p>
      <w:pPr>
        <w:widowControl/>
        <w:spacing w:after="217" w:line="259" w:lineRule="auto"/>
        <w:ind w:firstLine="1606" w:firstLineChars="500"/>
        <w:jc w:val="left"/>
        <w:rPr>
          <w:rFonts w:hint="eastAsia" w:ascii="宋体" w:hAnsi="宋体" w:eastAsia="宋体" w:cs="宋体"/>
          <w:b/>
          <w:color w:val="000000"/>
          <w:sz w:val="32"/>
        </w:rPr>
      </w:pPr>
      <w:r>
        <w:rPr>
          <w:rFonts w:hint="eastAsia" w:ascii="宋体" w:hAnsi="宋体" w:eastAsia="宋体" w:cs="宋体"/>
          <w:b/>
          <w:color w:val="000000"/>
          <w:sz w:val="32"/>
        </w:rPr>
        <w:t>深圳市深科达智能装备股份有限公司</w:t>
      </w:r>
    </w:p>
    <w:p>
      <w:pPr>
        <w:widowControl/>
        <w:spacing w:line="259" w:lineRule="auto"/>
        <w:ind w:firstLine="2570" w:firstLineChars="800"/>
        <w:jc w:val="left"/>
        <w:rPr>
          <w:rFonts w:hint="eastAsia" w:ascii="宋体" w:hAnsi="宋体" w:eastAsia="宋体" w:cs="宋体"/>
          <w:b/>
          <w:color w:val="000000"/>
          <w:sz w:val="32"/>
        </w:rPr>
      </w:pPr>
      <w:r>
        <w:rPr>
          <w:rFonts w:hint="eastAsia" w:ascii="宋体" w:hAnsi="宋体" w:eastAsia="宋体" w:cs="宋体"/>
          <w:b/>
          <w:color w:val="000000"/>
          <w:sz w:val="32"/>
        </w:rPr>
        <w:t>投资者关系活动记录表</w:t>
      </w:r>
    </w:p>
    <w:p>
      <w:pPr>
        <w:widowControl/>
        <w:spacing w:line="259" w:lineRule="auto"/>
        <w:ind w:left="1179"/>
        <w:jc w:val="right"/>
        <w:rPr>
          <w:rFonts w:ascii="Calibri" w:hAnsi="Calibri" w:eastAsia="Times New Roman" w:cs="Calibri"/>
          <w:color w:val="000000"/>
          <w:sz w:val="22"/>
        </w:rPr>
      </w:pPr>
    </w:p>
    <w:tbl>
      <w:tblPr>
        <w:tblStyle w:val="8"/>
        <w:tblW w:w="9976" w:type="dxa"/>
        <w:tblInd w:w="-743" w:type="dxa"/>
        <w:tblLayout w:type="fixed"/>
        <w:tblCellMar>
          <w:top w:w="0" w:type="dxa"/>
          <w:left w:w="108" w:type="dxa"/>
          <w:bottom w:w="41" w:type="dxa"/>
          <w:right w:w="0" w:type="dxa"/>
        </w:tblCellMar>
      </w:tblPr>
      <w:tblGrid>
        <w:gridCol w:w="2100"/>
        <w:gridCol w:w="7876"/>
      </w:tblGrid>
      <w:tr>
        <w:tblPrEx>
          <w:tblLayout w:type="fixed"/>
          <w:tblCellMar>
            <w:top w:w="0" w:type="dxa"/>
            <w:left w:w="108" w:type="dxa"/>
            <w:bottom w:w="41" w:type="dxa"/>
            <w:right w:w="0" w:type="dxa"/>
          </w:tblCellMar>
        </w:tblPrEx>
        <w:trPr>
          <w:trHeight w:val="241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360" w:lineRule="auto"/>
              <w:jc w:val="center"/>
              <w:rPr>
                <w:rFonts w:hint="eastAsia" w:ascii="宋体" w:hAnsi="宋体" w:eastAsia="宋体" w:cs="Calibri"/>
                <w:b/>
                <w:color w:val="000000"/>
                <w:sz w:val="24"/>
                <w:szCs w:val="24"/>
              </w:rPr>
            </w:pPr>
            <w:r>
              <w:rPr>
                <w:rFonts w:hint="eastAsia" w:ascii="宋体" w:hAnsi="宋体" w:eastAsia="宋体" w:cs="宋体"/>
                <w:b/>
                <w:color w:val="000000"/>
                <w:sz w:val="24"/>
                <w:szCs w:val="24"/>
              </w:rPr>
              <w:t>投资者关系活动类别</w:t>
            </w:r>
          </w:p>
        </w:tc>
        <w:tc>
          <w:tcPr>
            <w:tcW w:w="7876" w:type="dxa"/>
            <w:tcBorders>
              <w:top w:val="single" w:color="000000" w:sz="4" w:space="0"/>
              <w:left w:val="single" w:color="000000" w:sz="4" w:space="0"/>
              <w:bottom w:val="single" w:color="000000" w:sz="4" w:space="0"/>
              <w:right w:val="single" w:color="000000" w:sz="4" w:space="0"/>
            </w:tcBorders>
            <w:vAlign w:val="bottom"/>
          </w:tcPr>
          <w:p>
            <w:pPr>
              <w:widowControl/>
              <w:snapToGrid w:val="0"/>
              <w:spacing w:after="0" w:line="360" w:lineRule="auto"/>
              <w:jc w:val="left"/>
              <w:rPr>
                <w:rFonts w:hint="eastAsia" w:ascii="宋体" w:hAnsi="宋体" w:eastAsia="宋体" w:cs="Calibri"/>
                <w:color w:val="000000"/>
                <w:sz w:val="24"/>
                <w:szCs w:val="24"/>
              </w:rPr>
            </w:pPr>
            <w:r>
              <w:rPr>
                <w:rFonts w:ascii="宋体" w:hAnsi="宋体" w:eastAsia="宋体" w:cs="宋体"/>
                <w:color w:val="000000"/>
                <w:sz w:val="24"/>
                <w:szCs w:val="24"/>
              </w:rPr>
              <w:t>□</w:t>
            </w:r>
            <w:r>
              <w:rPr>
                <w:rFonts w:hint="eastAsia" w:ascii="宋体" w:hAnsi="宋体" w:eastAsia="宋体" w:cs="宋体"/>
                <w:color w:val="000000"/>
                <w:sz w:val="24"/>
                <w:szCs w:val="24"/>
              </w:rPr>
              <w:t>特定对象调研</w:t>
            </w:r>
            <w:r>
              <w:rPr>
                <w:rFonts w:ascii="宋体" w:hAnsi="宋体" w:eastAsia="宋体" w:cs="宋体"/>
                <w:color w:val="000000"/>
                <w:sz w:val="24"/>
                <w:szCs w:val="24"/>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分析师会议</w:t>
            </w:r>
            <w:r>
              <w:rPr>
                <w:rFonts w:ascii="宋体" w:hAnsi="宋体" w:eastAsia="宋体" w:cs="宋体"/>
                <w:color w:val="000000"/>
                <w:sz w:val="24"/>
                <w:szCs w:val="24"/>
              </w:rPr>
              <w:t xml:space="preserve"> </w:t>
            </w:r>
          </w:p>
          <w:p>
            <w:pPr>
              <w:widowControl/>
              <w:snapToGrid w:val="0"/>
              <w:spacing w:after="0" w:line="360" w:lineRule="auto"/>
              <w:jc w:val="left"/>
              <w:rPr>
                <w:rFonts w:hint="eastAsia" w:ascii="宋体" w:hAnsi="宋体" w:eastAsia="宋体" w:cs="Calibri"/>
                <w:color w:val="000000"/>
                <w:sz w:val="24"/>
                <w:szCs w:val="24"/>
              </w:rPr>
            </w:pPr>
            <w:r>
              <w:rPr>
                <w:rFonts w:ascii="宋体" w:hAnsi="宋体" w:eastAsia="宋体" w:cs="宋体"/>
                <w:color w:val="000000"/>
                <w:sz w:val="24"/>
                <w:szCs w:val="24"/>
              </w:rPr>
              <w:t>□</w:t>
            </w:r>
            <w:r>
              <w:rPr>
                <w:rFonts w:hint="eastAsia" w:ascii="宋体" w:hAnsi="宋体" w:eastAsia="宋体" w:cs="宋体"/>
                <w:color w:val="000000"/>
                <w:sz w:val="24"/>
                <w:szCs w:val="24"/>
              </w:rPr>
              <w:t>媒体采访</w:t>
            </w:r>
            <w:r>
              <w:rPr>
                <w:rFonts w:ascii="宋体" w:hAnsi="宋体" w:eastAsia="宋体" w:cs="宋体"/>
                <w:color w:val="000000"/>
                <w:sz w:val="24"/>
                <w:szCs w:val="24"/>
              </w:rPr>
              <w:t xml:space="preserve">            </w:t>
            </w:r>
            <w:r>
              <w:rPr>
                <w:rFonts w:hint="eastAsia" w:ascii="宋体" w:hAnsi="宋体" w:eastAsia="宋体" w:cs="宋体"/>
                <w:color w:val="000000"/>
                <w:sz w:val="24"/>
                <w:szCs w:val="24"/>
              </w:rPr>
              <w:t>□业绩说明会</w:t>
            </w:r>
            <w:r>
              <w:rPr>
                <w:rFonts w:ascii="宋体" w:hAnsi="宋体" w:eastAsia="宋体" w:cs="宋体"/>
                <w:color w:val="000000"/>
                <w:sz w:val="24"/>
                <w:szCs w:val="24"/>
              </w:rPr>
              <w:t xml:space="preserve"> </w:t>
            </w:r>
          </w:p>
          <w:p>
            <w:pPr>
              <w:widowControl/>
              <w:snapToGrid w:val="0"/>
              <w:spacing w:after="0" w:line="360" w:lineRule="auto"/>
              <w:jc w:val="left"/>
              <w:rPr>
                <w:rFonts w:hint="eastAsia" w:ascii="宋体" w:hAnsi="宋体" w:eastAsia="宋体" w:cs="Calibri"/>
                <w:color w:val="000000"/>
                <w:sz w:val="24"/>
                <w:szCs w:val="24"/>
              </w:rPr>
            </w:pPr>
            <w:r>
              <w:rPr>
                <w:rFonts w:ascii="宋体" w:hAnsi="宋体" w:eastAsia="宋体" w:cs="宋体"/>
                <w:color w:val="000000"/>
                <w:sz w:val="24"/>
                <w:szCs w:val="24"/>
              </w:rPr>
              <w:t>□</w:t>
            </w:r>
            <w:r>
              <w:rPr>
                <w:rFonts w:hint="eastAsia" w:ascii="宋体" w:hAnsi="宋体" w:eastAsia="宋体" w:cs="宋体"/>
                <w:color w:val="000000"/>
                <w:sz w:val="24"/>
                <w:szCs w:val="24"/>
              </w:rPr>
              <w:t>新闻发布会</w:t>
            </w:r>
            <w:r>
              <w:rPr>
                <w:rFonts w:ascii="宋体" w:hAnsi="宋体" w:eastAsia="宋体" w:cs="宋体"/>
                <w:color w:val="000000"/>
                <w:sz w:val="24"/>
                <w:szCs w:val="24"/>
              </w:rPr>
              <w:t xml:space="preserve">          □</w:t>
            </w:r>
            <w:r>
              <w:rPr>
                <w:rFonts w:hint="eastAsia" w:ascii="宋体" w:hAnsi="宋体" w:eastAsia="宋体" w:cs="宋体"/>
                <w:color w:val="000000"/>
                <w:sz w:val="24"/>
                <w:szCs w:val="24"/>
              </w:rPr>
              <w:t>路演活动</w:t>
            </w:r>
            <w:r>
              <w:rPr>
                <w:rFonts w:ascii="宋体" w:hAnsi="宋体" w:eastAsia="宋体" w:cs="宋体"/>
                <w:color w:val="000000"/>
                <w:sz w:val="24"/>
                <w:szCs w:val="24"/>
              </w:rPr>
              <w:t xml:space="preserve"> </w:t>
            </w:r>
          </w:p>
          <w:p>
            <w:pPr>
              <w:widowControl/>
              <w:snapToGrid w:val="0"/>
              <w:spacing w:after="0" w:line="360" w:lineRule="auto"/>
              <w:jc w:val="left"/>
              <w:rPr>
                <w:rFonts w:hint="eastAsia" w:ascii="宋体" w:hAnsi="宋体" w:eastAsia="宋体" w:cs="Calibri"/>
                <w:color w:val="000000"/>
                <w:sz w:val="24"/>
                <w:szCs w:val="24"/>
              </w:rPr>
            </w:pPr>
            <w:r>
              <w:rPr>
                <w:rFonts w:hint="eastAsia" w:ascii="宋体" w:hAnsi="宋体" w:eastAsia="宋体" w:cs="宋体"/>
                <w:color w:val="000000"/>
                <w:sz w:val="24"/>
                <w:szCs w:val="24"/>
              </w:rPr>
              <w:t>■现场参观</w:t>
            </w:r>
            <w:r>
              <w:rPr>
                <w:rFonts w:ascii="宋体" w:hAnsi="宋体" w:eastAsia="宋体" w:cs="宋体"/>
                <w:color w:val="000000"/>
                <w:sz w:val="24"/>
                <w:szCs w:val="24"/>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一对一沟通</w:t>
            </w:r>
            <w:r>
              <w:rPr>
                <w:rFonts w:ascii="宋体" w:hAnsi="宋体" w:eastAsia="宋体" w:cs="宋体"/>
                <w:color w:val="000000"/>
                <w:sz w:val="24"/>
                <w:szCs w:val="24"/>
              </w:rPr>
              <w:t xml:space="preserve"> </w:t>
            </w:r>
          </w:p>
          <w:p>
            <w:pPr>
              <w:widowControl/>
              <w:snapToGrid w:val="0"/>
              <w:spacing w:after="0" w:line="360" w:lineRule="auto"/>
              <w:jc w:val="left"/>
              <w:rPr>
                <w:rFonts w:hint="eastAsia" w:ascii="宋体" w:hAnsi="宋体" w:eastAsia="宋体" w:cs="Calibri"/>
                <w:color w:val="000000"/>
                <w:sz w:val="24"/>
                <w:szCs w:val="24"/>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其他</w:t>
            </w:r>
            <w:r>
              <w:rPr>
                <w:rFonts w:ascii="宋体" w:hAnsi="宋体" w:eastAsia="宋体" w:cs="宋体"/>
                <w:color w:val="000000"/>
                <w:sz w:val="24"/>
                <w:szCs w:val="24"/>
              </w:rPr>
              <w:t xml:space="preserve">  </w:t>
            </w:r>
          </w:p>
        </w:tc>
      </w:tr>
      <w:tr>
        <w:tblPrEx>
          <w:tblLayout w:type="fixed"/>
          <w:tblCellMar>
            <w:top w:w="0" w:type="dxa"/>
            <w:left w:w="108" w:type="dxa"/>
            <w:bottom w:w="41" w:type="dxa"/>
            <w:right w:w="0" w:type="dxa"/>
          </w:tblCellMar>
        </w:tblPrEx>
        <w:trPr>
          <w:trHeight w:val="1417"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360" w:lineRule="auto"/>
              <w:jc w:val="left"/>
              <w:rPr>
                <w:rFonts w:hint="eastAsia" w:ascii="宋体" w:hAnsi="宋体" w:eastAsia="宋体" w:cs="宋体"/>
                <w:color w:val="000000"/>
                <w:sz w:val="24"/>
                <w:szCs w:val="24"/>
              </w:rPr>
            </w:pPr>
            <w:r>
              <w:rPr>
                <w:rFonts w:hint="eastAsia" w:ascii="宋体" w:hAnsi="宋体" w:eastAsia="宋体" w:cs="宋体"/>
                <w:b/>
                <w:color w:val="000000"/>
                <w:sz w:val="24"/>
                <w:szCs w:val="24"/>
              </w:rPr>
              <w:t>参与单位</w:t>
            </w:r>
          </w:p>
        </w:tc>
        <w:tc>
          <w:tcPr>
            <w:tcW w:w="78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开源证券 华安基金 中创</w:t>
            </w:r>
            <w:r>
              <w:rPr>
                <w:rFonts w:hint="eastAsia" w:ascii="宋体" w:hAnsi="宋体" w:eastAsia="宋体" w:cs="宋体"/>
                <w:color w:val="auto"/>
                <w:sz w:val="24"/>
                <w:szCs w:val="24"/>
                <w:lang w:val="en-US" w:eastAsia="zh-CN"/>
              </w:rPr>
              <w:t xml:space="preserve">前海 必达控股  疆亘资本  同威投资 稳正资产 前海孚威基金 海南上善如是  殷实基金 </w:t>
            </w:r>
          </w:p>
        </w:tc>
      </w:tr>
      <w:tr>
        <w:tblPrEx>
          <w:tblLayout w:type="fixed"/>
          <w:tblCellMar>
            <w:top w:w="0" w:type="dxa"/>
            <w:left w:w="108" w:type="dxa"/>
            <w:bottom w:w="41" w:type="dxa"/>
            <w:right w:w="0" w:type="dxa"/>
          </w:tblCellMar>
        </w:tblPrEx>
        <w:trPr>
          <w:trHeight w:val="567"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Lines="50" w:after="0" w:line="360" w:lineRule="auto"/>
              <w:ind w:right="110"/>
              <w:jc w:val="left"/>
              <w:rPr>
                <w:rFonts w:hint="eastAsia" w:ascii="宋体" w:hAnsi="宋体" w:eastAsia="宋体" w:cs="Calibri"/>
                <w:b/>
                <w:color w:val="000000"/>
                <w:sz w:val="24"/>
                <w:szCs w:val="24"/>
              </w:rPr>
            </w:pPr>
            <w:r>
              <w:rPr>
                <w:rFonts w:hint="eastAsia" w:ascii="宋体" w:hAnsi="宋体" w:eastAsia="宋体" w:cs="宋体"/>
                <w:b/>
                <w:color w:val="000000"/>
                <w:sz w:val="24"/>
                <w:szCs w:val="24"/>
              </w:rPr>
              <w:t>时间</w:t>
            </w:r>
          </w:p>
        </w:tc>
        <w:tc>
          <w:tcPr>
            <w:tcW w:w="78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Lines="50" w:after="0" w:line="360" w:lineRule="auto"/>
              <w:jc w:val="left"/>
              <w:rPr>
                <w:rFonts w:hint="default" w:ascii="宋体" w:hAnsi="宋体" w:eastAsia="宋体" w:cs="Calibri"/>
                <w:color w:val="000000"/>
                <w:sz w:val="24"/>
                <w:szCs w:val="24"/>
                <w:lang w:val="en-US" w:eastAsia="zh-CN"/>
              </w:rPr>
            </w:pPr>
            <w:r>
              <w:rPr>
                <w:rFonts w:ascii="宋体" w:hAnsi="宋体" w:eastAsia="宋体" w:cs="Calibri"/>
                <w:color w:val="000000"/>
                <w:sz w:val="24"/>
                <w:szCs w:val="24"/>
              </w:rPr>
              <w:t>202</w:t>
            </w:r>
            <w:r>
              <w:rPr>
                <w:rFonts w:hint="eastAsia" w:ascii="宋体" w:hAnsi="宋体" w:eastAsia="宋体" w:cs="Calibri"/>
                <w:color w:val="000000"/>
                <w:sz w:val="24"/>
                <w:szCs w:val="24"/>
              </w:rPr>
              <w:t>5年</w:t>
            </w:r>
            <w:r>
              <w:rPr>
                <w:rFonts w:hint="eastAsia" w:ascii="宋体" w:hAnsi="宋体" w:eastAsia="宋体" w:cs="Calibri"/>
                <w:color w:val="000000"/>
                <w:sz w:val="24"/>
                <w:szCs w:val="24"/>
                <w:lang w:val="en-US" w:eastAsia="zh-CN"/>
              </w:rPr>
              <w:t>9</w:t>
            </w:r>
            <w:r>
              <w:rPr>
                <w:rFonts w:hint="eastAsia" w:ascii="宋体" w:hAnsi="宋体" w:eastAsia="宋体" w:cs="Calibri"/>
                <w:color w:val="000000"/>
                <w:sz w:val="24"/>
                <w:szCs w:val="24"/>
              </w:rPr>
              <w:t>月</w:t>
            </w:r>
            <w:r>
              <w:rPr>
                <w:rFonts w:hint="eastAsia" w:ascii="宋体" w:hAnsi="宋体" w:eastAsia="宋体" w:cs="Calibri"/>
                <w:color w:val="000000"/>
                <w:sz w:val="24"/>
                <w:szCs w:val="24"/>
                <w:lang w:val="en-US" w:eastAsia="zh-CN"/>
              </w:rPr>
              <w:t>15日</w:t>
            </w:r>
          </w:p>
        </w:tc>
      </w:tr>
      <w:tr>
        <w:tblPrEx>
          <w:tblLayout w:type="fixed"/>
          <w:tblCellMar>
            <w:top w:w="0" w:type="dxa"/>
            <w:left w:w="108" w:type="dxa"/>
            <w:bottom w:w="41" w:type="dxa"/>
            <w:right w:w="0" w:type="dxa"/>
          </w:tblCellMar>
        </w:tblPrEx>
        <w:trPr>
          <w:trHeight w:val="567"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Lines="50" w:after="0" w:line="360" w:lineRule="auto"/>
              <w:ind w:right="110"/>
              <w:rPr>
                <w:rFonts w:hint="eastAsia" w:ascii="宋体" w:hAnsi="宋体" w:eastAsia="宋体" w:cs="Calibri"/>
                <w:b/>
                <w:color w:val="000000"/>
                <w:sz w:val="24"/>
                <w:szCs w:val="24"/>
              </w:rPr>
            </w:pPr>
            <w:r>
              <w:rPr>
                <w:rFonts w:hint="eastAsia" w:ascii="宋体" w:hAnsi="宋体" w:eastAsia="宋体" w:cs="宋体"/>
                <w:b/>
                <w:color w:val="000000"/>
                <w:sz w:val="24"/>
                <w:szCs w:val="24"/>
              </w:rPr>
              <w:t>地点</w:t>
            </w:r>
          </w:p>
        </w:tc>
        <w:tc>
          <w:tcPr>
            <w:tcW w:w="78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Lines="50" w:after="0" w:line="360" w:lineRule="auto"/>
              <w:rPr>
                <w:rFonts w:hint="eastAsia" w:ascii="宋体" w:hAnsi="宋体" w:eastAsia="宋体" w:cs="Calibri"/>
                <w:color w:val="000000"/>
                <w:sz w:val="24"/>
                <w:szCs w:val="24"/>
              </w:rPr>
            </w:pPr>
            <w:r>
              <w:rPr>
                <w:rFonts w:hint="eastAsia" w:ascii="宋体" w:hAnsi="宋体" w:eastAsia="宋体" w:cs="Calibri"/>
                <w:color w:val="000000"/>
                <w:sz w:val="24"/>
                <w:szCs w:val="24"/>
              </w:rPr>
              <w:t>会议室</w:t>
            </w:r>
          </w:p>
        </w:tc>
      </w:tr>
      <w:tr>
        <w:tblPrEx>
          <w:tblLayout w:type="fixed"/>
          <w:tblCellMar>
            <w:top w:w="0" w:type="dxa"/>
            <w:left w:w="108" w:type="dxa"/>
            <w:bottom w:w="41" w:type="dxa"/>
            <w:right w:w="0" w:type="dxa"/>
          </w:tblCellMar>
        </w:tblPrEx>
        <w:trPr>
          <w:trHeight w:val="567"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Lines="50" w:after="0" w:line="360" w:lineRule="auto"/>
              <w:rPr>
                <w:rFonts w:hint="eastAsia" w:ascii="宋体" w:hAnsi="宋体" w:eastAsia="宋体" w:cs="Calibri"/>
                <w:b/>
                <w:color w:val="000000"/>
                <w:sz w:val="24"/>
                <w:szCs w:val="24"/>
              </w:rPr>
            </w:pPr>
            <w:r>
              <w:rPr>
                <w:rFonts w:hint="eastAsia" w:ascii="宋体" w:hAnsi="宋体" w:eastAsia="宋体" w:cs="宋体"/>
                <w:b/>
                <w:color w:val="000000"/>
                <w:sz w:val="24"/>
                <w:szCs w:val="24"/>
              </w:rPr>
              <w:t>接待人员</w:t>
            </w:r>
          </w:p>
        </w:tc>
        <w:tc>
          <w:tcPr>
            <w:tcW w:w="78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Lines="50" w:after="0" w:line="360" w:lineRule="auto"/>
              <w:rPr>
                <w:rFonts w:hint="eastAsia" w:ascii="宋体" w:hAnsi="宋体" w:eastAsia="宋体" w:cs="Calibri"/>
                <w:color w:val="000000"/>
                <w:sz w:val="24"/>
                <w:szCs w:val="24"/>
              </w:rPr>
            </w:pPr>
            <w:r>
              <w:rPr>
                <w:rFonts w:hint="eastAsia" w:ascii="宋体" w:hAnsi="宋体" w:eastAsia="宋体" w:cs="Calibri"/>
                <w:color w:val="000000"/>
                <w:sz w:val="24"/>
                <w:szCs w:val="24"/>
              </w:rPr>
              <w:t>董事会秘书：郑亦平</w:t>
            </w:r>
          </w:p>
        </w:tc>
      </w:tr>
      <w:tr>
        <w:tblPrEx>
          <w:tblLayout w:type="fixed"/>
          <w:tblCellMar>
            <w:top w:w="0" w:type="dxa"/>
            <w:left w:w="108" w:type="dxa"/>
            <w:bottom w:w="41" w:type="dxa"/>
            <w:right w:w="0" w:type="dxa"/>
          </w:tblCellMar>
        </w:tblPrEx>
        <w:trPr>
          <w:trHeight w:val="4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ind w:right="11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投资者关系活动主要内容介绍</w:t>
            </w:r>
          </w:p>
        </w:tc>
        <w:tc>
          <w:tcPr>
            <w:tcW w:w="7876" w:type="dxa"/>
            <w:tcBorders>
              <w:top w:val="single" w:color="000000" w:sz="4" w:space="0"/>
              <w:left w:val="single" w:color="000000" w:sz="4" w:space="0"/>
              <w:bottom w:val="single" w:color="000000" w:sz="4" w:space="0"/>
              <w:right w:val="single" w:color="000000" w:sz="4" w:space="0"/>
            </w:tcBorders>
            <w:vAlign w:val="bottom"/>
          </w:tcPr>
          <w:p>
            <w:pPr>
              <w:widowControl/>
              <w:snapToGrid w:val="0"/>
              <w:spacing w:line="360" w:lineRule="auto"/>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1、公司上半年整体的经营情况？</w:t>
            </w:r>
          </w:p>
          <w:p>
            <w:pPr>
              <w:widowControl/>
              <w:snapToGrid w:val="0"/>
              <w:spacing w:line="360" w:lineRule="auto"/>
              <w:jc w:val="left"/>
              <w:rPr>
                <w:rFonts w:hint="eastAsia"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答：公司今年上半年通过聚焦主业，重点开拓消费类电子细分应用场景，公司实现营业收入35,956.93万元，较去年同期增长49.57%；实现归属于上市公司股东的净利润2,060.42万元，较去年同期增加180.87%；实现归属于上市公司股东的扣除非经常性损益的净利润1,952.21万元，较去年同期增加167.39%。从业务来看，公司平板显示模组类设备实现营业收入17,942.64万元，较去年同期增长148.01%，占公司营业收入的49.90%。主要原因系显示面板行业呈现复苏态势，超声波指纹、电子纸、智能眼镜等细分应用场景需求增长，公司平板显示模组类设备业务销售订单较去年同期增加，平板显示模组类设备业务收入较去年同期大幅增长。同时，公司半导体封测设备以及智能装备核心部件在市场开拓方面也取得了积极进展，收入增长。</w:t>
            </w:r>
            <w:r>
              <w:rPr>
                <w:rFonts w:hint="eastAsia" w:ascii="Times New Roman" w:hAnsi="Times New Roman" w:eastAsia="宋体" w:cs="Times New Roman"/>
                <w:bCs/>
                <w:color w:val="000000" w:themeColor="text1"/>
                <w:sz w:val="24"/>
                <w:szCs w:val="24"/>
                <w14:textFill>
                  <w14:solidFill>
                    <w14:schemeClr w14:val="tx1"/>
                  </w14:solidFill>
                </w14:textFill>
              </w:rPr>
              <w:t>​</w:t>
            </w:r>
          </w:p>
          <w:p>
            <w:pPr>
              <w:widowControl/>
              <w:snapToGrid w:val="0"/>
              <w:spacing w:line="360" w:lineRule="auto"/>
              <w:jc w:val="left"/>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bCs/>
                <w:color w:val="000000" w:themeColor="text1"/>
                <w:sz w:val="24"/>
                <w:szCs w:val="24"/>
                <w14:textFill>
                  <w14:solidFill>
                    <w14:schemeClr w14:val="tx1"/>
                  </w14:solidFill>
                </w14:textFill>
              </w:rPr>
              <w:t>公司目前在手订单情况如何？主要客户是否有新的变化？</w:t>
            </w:r>
          </w:p>
          <w:p>
            <w:pPr>
              <w:widowControl/>
              <w:snapToGrid w:val="0"/>
              <w:spacing w:line="360" w:lineRule="auto"/>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答：目前公司订单情况良好，</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主要客户方面公司与海外知名客户建立了更良好持续的合作，有望在智能眼镜等新的应用场景不断突破。</w:t>
            </w:r>
          </w:p>
          <w:p>
            <w:pPr>
              <w:widowControl/>
              <w:snapToGrid w:val="0"/>
              <w:spacing w:line="360" w:lineRule="auto"/>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3、</w:t>
            </w:r>
            <w:bookmarkStart w:id="0" w:name="_GoBack"/>
            <w:bookmarkEnd w:id="0"/>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公司在智能眼镜相关设备的布局以及相关技术情况？</w:t>
            </w:r>
          </w:p>
          <w:p>
            <w:pPr>
              <w:widowControl/>
              <w:numPr>
                <w:ilvl w:val="0"/>
                <w:numId w:val="0"/>
              </w:numPr>
              <w:snapToGrid w:val="0"/>
              <w:spacing w:line="360" w:lineRule="auto"/>
              <w:ind w:leftChars="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答：公司自2022年开始布局智能眼镜核心制程设备，目前2025年智能眼镜制程设备订单呈快速增长态势。公司以技术创新为核心驱动力，通过马里斯曲线拟合与异常数据筛选技术矫正干扰数据，结合Mark To Mark 6-Dof对位技术、高精密六轴闭环控制技术、MTF主动对位技术，构建起多维度高精度控制体系;同时依托卤素红外灯加热系统实现均匀温控，配合超精密模具加工与曲面膜材预/热成型技术，形成从数据处理、材料成型到光学校准的全流程技术闭环。这些创新成果不仅为智能眼镜制造提供坚实技术基础，更推动智能眼镜行业向更高精度方向发展。公司目前已于国内外知名厂商建立了良好合作。</w:t>
            </w:r>
          </w:p>
          <w:p>
            <w:pPr>
              <w:widowControl/>
              <w:numPr>
                <w:ilvl w:val="0"/>
                <w:numId w:val="1"/>
              </w:numPr>
              <w:snapToGrid w:val="0"/>
              <w:spacing w:line="360" w:lineRule="auto"/>
              <w:ind w:leftChars="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目前公司智能眼镜海外客户是哪一家？目前的订单情况。</w:t>
            </w:r>
          </w:p>
          <w:p>
            <w:pPr>
              <w:widowControl/>
              <w:numPr>
                <w:ilvl w:val="0"/>
                <w:numId w:val="0"/>
              </w:numPr>
              <w:snapToGrid w:val="0"/>
              <w:spacing w:line="360" w:lineRule="auto"/>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答：因涉及公司与客户的保密约定，不便于透露客户具体信息。今年公司与相关海外客户取得了积极进展以及建立了良好合作关系。</w:t>
            </w:r>
          </w:p>
          <w:p>
            <w:pPr>
              <w:widowControl/>
              <w:numPr>
                <w:ilvl w:val="0"/>
                <w:numId w:val="1"/>
              </w:numPr>
              <w:snapToGrid w:val="0"/>
              <w:spacing w:line="360" w:lineRule="auto"/>
              <w:ind w:left="0" w:leftChars="0" w:firstLine="0" w:firstLineChars="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公司全年的经营目标？目前相关经营目标实现的可能性？</w:t>
            </w:r>
          </w:p>
          <w:p>
            <w:pPr>
              <w:widowControl/>
              <w:numPr>
                <w:ilvl w:val="0"/>
                <w:numId w:val="0"/>
              </w:numPr>
              <w:snapToGrid w:val="0"/>
              <w:spacing w:line="360" w:lineRule="auto"/>
              <w:ind w:leftChars="0"/>
              <w:jc w:val="left"/>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答：公司全年经营目标围绕着公司公布的股权激励草案中所设定的营业收入和净利润目标，结合今年上半年实现了约3.60亿元营业收入以及2060万元的净利润。公司有信心能够实现全年的经营目标。</w:t>
            </w:r>
          </w:p>
          <w:p>
            <w:pPr>
              <w:widowControl/>
              <w:snapToGrid w:val="0"/>
              <w:spacing w:line="360" w:lineRule="auto"/>
              <w:jc w:val="left"/>
              <w:rPr>
                <w:rFonts w:ascii="Times New Roman" w:hAnsi="Times New Roman" w:eastAsia="宋体" w:cs="Times New Roman"/>
                <w:bCs/>
                <w:color w:val="000000" w:themeColor="text1"/>
                <w:sz w:val="24"/>
                <w:szCs w:val="24"/>
                <w14:textFill>
                  <w14:solidFill>
                    <w14:schemeClr w14:val="tx1"/>
                  </w14:solidFill>
                </w14:textFill>
              </w:rPr>
            </w:pPr>
          </w:p>
        </w:tc>
      </w:tr>
      <w:tr>
        <w:tblPrEx>
          <w:tblLayout w:type="fixed"/>
          <w:tblCellMar>
            <w:top w:w="0" w:type="dxa"/>
            <w:left w:w="108" w:type="dxa"/>
            <w:bottom w:w="41" w:type="dxa"/>
            <w:right w:w="0" w:type="dxa"/>
          </w:tblCellMar>
        </w:tblPrEx>
        <w:trPr>
          <w:trHeight w:val="4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附件清单（如有）</w:t>
            </w:r>
          </w:p>
        </w:tc>
        <w:tc>
          <w:tcPr>
            <w:tcW w:w="7876" w:type="dxa"/>
            <w:tcBorders>
              <w:top w:val="single" w:color="000000" w:sz="4" w:space="0"/>
              <w:left w:val="single" w:color="000000" w:sz="4" w:space="0"/>
              <w:bottom w:val="single" w:color="000000" w:sz="4" w:space="0"/>
              <w:right w:val="single" w:color="000000" w:sz="4" w:space="0"/>
            </w:tcBorders>
            <w:vAlign w:val="bottom"/>
          </w:tcPr>
          <w:p>
            <w:pPr>
              <w:widowControl/>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无</w:t>
            </w:r>
          </w:p>
        </w:tc>
      </w:tr>
    </w:tbl>
    <w:p>
      <w:pPr>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rPr>
      <w:t>投资者关系调研记录表2025-</w:t>
    </w:r>
    <w:r>
      <w:rPr>
        <w:rFonts w:hint="eastAsia"/>
        <w:lang w:val="en-US" w:eastAsia="zh-CN"/>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49E26"/>
    <w:multiLevelType w:val="singleLevel"/>
    <w:tmpl w:val="B5949E2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3A"/>
    <w:rsid w:val="00007BB1"/>
    <w:rsid w:val="00024DA0"/>
    <w:rsid w:val="0003789B"/>
    <w:rsid w:val="00045150"/>
    <w:rsid w:val="0005228C"/>
    <w:rsid w:val="00066488"/>
    <w:rsid w:val="000911B1"/>
    <w:rsid w:val="000B022D"/>
    <w:rsid w:val="000C66AC"/>
    <w:rsid w:val="000C7ECB"/>
    <w:rsid w:val="000E3444"/>
    <w:rsid w:val="000F2088"/>
    <w:rsid w:val="000F68A3"/>
    <w:rsid w:val="000F7B15"/>
    <w:rsid w:val="00111A9F"/>
    <w:rsid w:val="001218C5"/>
    <w:rsid w:val="001268B5"/>
    <w:rsid w:val="00127CFF"/>
    <w:rsid w:val="00141788"/>
    <w:rsid w:val="001618D4"/>
    <w:rsid w:val="00172897"/>
    <w:rsid w:val="00174135"/>
    <w:rsid w:val="001762DD"/>
    <w:rsid w:val="001770C5"/>
    <w:rsid w:val="001B4BAE"/>
    <w:rsid w:val="002149F8"/>
    <w:rsid w:val="002153C4"/>
    <w:rsid w:val="00215CCC"/>
    <w:rsid w:val="002169BA"/>
    <w:rsid w:val="00227609"/>
    <w:rsid w:val="002313D0"/>
    <w:rsid w:val="00234889"/>
    <w:rsid w:val="002542FB"/>
    <w:rsid w:val="00260363"/>
    <w:rsid w:val="002641F9"/>
    <w:rsid w:val="002735E9"/>
    <w:rsid w:val="002A78AB"/>
    <w:rsid w:val="002E03FF"/>
    <w:rsid w:val="002E25DA"/>
    <w:rsid w:val="002E593A"/>
    <w:rsid w:val="002E6F1D"/>
    <w:rsid w:val="002F2186"/>
    <w:rsid w:val="002F5B4F"/>
    <w:rsid w:val="002F60BE"/>
    <w:rsid w:val="003036D7"/>
    <w:rsid w:val="003244D1"/>
    <w:rsid w:val="00341321"/>
    <w:rsid w:val="00343140"/>
    <w:rsid w:val="00365D58"/>
    <w:rsid w:val="0039175E"/>
    <w:rsid w:val="0039424D"/>
    <w:rsid w:val="003A7B13"/>
    <w:rsid w:val="003D33FB"/>
    <w:rsid w:val="003D68CE"/>
    <w:rsid w:val="00431189"/>
    <w:rsid w:val="00441FB0"/>
    <w:rsid w:val="00486001"/>
    <w:rsid w:val="004916E5"/>
    <w:rsid w:val="0049390B"/>
    <w:rsid w:val="00495744"/>
    <w:rsid w:val="004B283F"/>
    <w:rsid w:val="004B42CE"/>
    <w:rsid w:val="004B7A64"/>
    <w:rsid w:val="004E2779"/>
    <w:rsid w:val="004F6DDF"/>
    <w:rsid w:val="00540F5E"/>
    <w:rsid w:val="00543E0D"/>
    <w:rsid w:val="00550A02"/>
    <w:rsid w:val="005631F4"/>
    <w:rsid w:val="00571C96"/>
    <w:rsid w:val="005B6EDB"/>
    <w:rsid w:val="005E4214"/>
    <w:rsid w:val="005F75DD"/>
    <w:rsid w:val="00601B64"/>
    <w:rsid w:val="006215DB"/>
    <w:rsid w:val="00626B1E"/>
    <w:rsid w:val="00636A0A"/>
    <w:rsid w:val="0067019D"/>
    <w:rsid w:val="00676756"/>
    <w:rsid w:val="00680FF1"/>
    <w:rsid w:val="00684A28"/>
    <w:rsid w:val="00697E06"/>
    <w:rsid w:val="006A13AE"/>
    <w:rsid w:val="006A7ED1"/>
    <w:rsid w:val="00715EA3"/>
    <w:rsid w:val="00727C4E"/>
    <w:rsid w:val="00745BBF"/>
    <w:rsid w:val="00767398"/>
    <w:rsid w:val="00795411"/>
    <w:rsid w:val="007C3DC5"/>
    <w:rsid w:val="007C50C8"/>
    <w:rsid w:val="007E0A19"/>
    <w:rsid w:val="007E0A94"/>
    <w:rsid w:val="00802E87"/>
    <w:rsid w:val="00812C38"/>
    <w:rsid w:val="0083205D"/>
    <w:rsid w:val="00887839"/>
    <w:rsid w:val="008A2209"/>
    <w:rsid w:val="008A4F1F"/>
    <w:rsid w:val="008A7678"/>
    <w:rsid w:val="008C5CF2"/>
    <w:rsid w:val="009018B3"/>
    <w:rsid w:val="009314BC"/>
    <w:rsid w:val="0093153E"/>
    <w:rsid w:val="00947AB4"/>
    <w:rsid w:val="009709F1"/>
    <w:rsid w:val="009824CC"/>
    <w:rsid w:val="009868E8"/>
    <w:rsid w:val="00993534"/>
    <w:rsid w:val="009B4D09"/>
    <w:rsid w:val="009B60F4"/>
    <w:rsid w:val="009E6F6B"/>
    <w:rsid w:val="00A13212"/>
    <w:rsid w:val="00A24ADD"/>
    <w:rsid w:val="00A46D6F"/>
    <w:rsid w:val="00A47956"/>
    <w:rsid w:val="00A706F0"/>
    <w:rsid w:val="00A77639"/>
    <w:rsid w:val="00A94AA5"/>
    <w:rsid w:val="00AA3F47"/>
    <w:rsid w:val="00AB058C"/>
    <w:rsid w:val="00AB3988"/>
    <w:rsid w:val="00AB3C08"/>
    <w:rsid w:val="00AD5482"/>
    <w:rsid w:val="00B13D78"/>
    <w:rsid w:val="00B47FFC"/>
    <w:rsid w:val="00B55D98"/>
    <w:rsid w:val="00B64F28"/>
    <w:rsid w:val="00B65EEF"/>
    <w:rsid w:val="00B91208"/>
    <w:rsid w:val="00BB6EA5"/>
    <w:rsid w:val="00BC6542"/>
    <w:rsid w:val="00BE70D1"/>
    <w:rsid w:val="00C107F4"/>
    <w:rsid w:val="00C128FA"/>
    <w:rsid w:val="00C17808"/>
    <w:rsid w:val="00C63707"/>
    <w:rsid w:val="00C77C49"/>
    <w:rsid w:val="00C81511"/>
    <w:rsid w:val="00C96B6A"/>
    <w:rsid w:val="00CA1F21"/>
    <w:rsid w:val="00CA7C41"/>
    <w:rsid w:val="00CB6E74"/>
    <w:rsid w:val="00CC6EB0"/>
    <w:rsid w:val="00CD73E6"/>
    <w:rsid w:val="00D24A99"/>
    <w:rsid w:val="00D37291"/>
    <w:rsid w:val="00D52FCE"/>
    <w:rsid w:val="00D5453C"/>
    <w:rsid w:val="00D56F6B"/>
    <w:rsid w:val="00D621D0"/>
    <w:rsid w:val="00D77A3C"/>
    <w:rsid w:val="00D805F2"/>
    <w:rsid w:val="00D85CDB"/>
    <w:rsid w:val="00DA135F"/>
    <w:rsid w:val="00DC7844"/>
    <w:rsid w:val="00DE774C"/>
    <w:rsid w:val="00E00937"/>
    <w:rsid w:val="00E01D3A"/>
    <w:rsid w:val="00E2458D"/>
    <w:rsid w:val="00E51CC7"/>
    <w:rsid w:val="00E54EED"/>
    <w:rsid w:val="00E86C58"/>
    <w:rsid w:val="00EA1183"/>
    <w:rsid w:val="00EA3843"/>
    <w:rsid w:val="00EA6014"/>
    <w:rsid w:val="00EA62D7"/>
    <w:rsid w:val="00EA7E01"/>
    <w:rsid w:val="00EB08A9"/>
    <w:rsid w:val="00EC3F83"/>
    <w:rsid w:val="00EF5ED5"/>
    <w:rsid w:val="00F021A1"/>
    <w:rsid w:val="00F05203"/>
    <w:rsid w:val="00F2068D"/>
    <w:rsid w:val="00F33166"/>
    <w:rsid w:val="00F5285A"/>
    <w:rsid w:val="00F53094"/>
    <w:rsid w:val="00F646A1"/>
    <w:rsid w:val="00F83D1C"/>
    <w:rsid w:val="00FA2E3A"/>
    <w:rsid w:val="00FA2EE7"/>
    <w:rsid w:val="00FB1548"/>
    <w:rsid w:val="00FB4B62"/>
    <w:rsid w:val="00FB7A77"/>
    <w:rsid w:val="00FD032E"/>
    <w:rsid w:val="00FD4A7B"/>
    <w:rsid w:val="00FD5EE0"/>
    <w:rsid w:val="00FE5B9D"/>
    <w:rsid w:val="00FF2F64"/>
    <w:rsid w:val="00FF5EA0"/>
    <w:rsid w:val="070519D5"/>
    <w:rsid w:val="0A461515"/>
    <w:rsid w:val="113C7F4E"/>
    <w:rsid w:val="181C5855"/>
    <w:rsid w:val="23E74C33"/>
    <w:rsid w:val="2CA82B03"/>
    <w:rsid w:val="2E8C4480"/>
    <w:rsid w:val="2EED3F38"/>
    <w:rsid w:val="37D509E5"/>
    <w:rsid w:val="3FEB3EB8"/>
    <w:rsid w:val="45475D7C"/>
    <w:rsid w:val="4B8F3130"/>
    <w:rsid w:val="4BF556C1"/>
    <w:rsid w:val="4F8B5508"/>
    <w:rsid w:val="504B4F3C"/>
    <w:rsid w:val="55D3319D"/>
    <w:rsid w:val="5C727963"/>
    <w:rsid w:val="611B2D5E"/>
    <w:rsid w:val="623F48B3"/>
    <w:rsid w:val="77790EFF"/>
    <w:rsid w:val="7D7F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table" w:customStyle="1" w:styleId="8">
    <w:name w:val="TableGrid"/>
    <w:qFormat/>
    <w:uiPriority w:val="0"/>
    <w:tblPr>
      <w:tblLayout w:type="fixed"/>
      <w:tblCellMar>
        <w:top w:w="0" w:type="dxa"/>
        <w:left w:w="0" w:type="dxa"/>
        <w:bottom w:w="0" w:type="dxa"/>
        <w:right w:w="0" w:type="dxa"/>
      </w:tblCellMar>
    </w:tbl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QN</Company>
  <Pages>5</Pages>
  <Words>492</Words>
  <Characters>2811</Characters>
  <Lines>23</Lines>
  <Paragraphs>6</Paragraphs>
  <TotalTime>124</TotalTime>
  <ScaleCrop>false</ScaleCrop>
  <LinksUpToDate>false</LinksUpToDate>
  <CharactersWithSpaces>3297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2025-06-20T09:06:00Z</dcterms:created>
  <dc:creator>HYC_财务部_任艺男</dc:creator>
  <cp:lastModifiedBy>zyp</cp:lastModifiedBy>
  <dcterms:modified xsi:type="dcterms:W3CDTF">2025-09-16T05:50:00Z</dcterms:modified>
  <dc:title>证券代码：688328                                    证券简称：深科达</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