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21539">
      <w:pPr>
        <w:spacing w:before="156" w:beforeLines="50" w:after="156" w:afterLines="50" w:line="400" w:lineRule="exact"/>
        <w:rPr>
          <w:rFonts w:ascii="宋体" w:hAnsi="宋体"/>
          <w:bCs/>
          <w:iCs/>
          <w:color w:val="000000"/>
          <w:sz w:val="24"/>
        </w:rPr>
      </w:pPr>
      <w:r>
        <w:rPr>
          <w:rFonts w:hint="eastAsia" w:ascii="宋体" w:hAnsi="宋体"/>
          <w:bCs/>
          <w:iCs/>
          <w:color w:val="000000"/>
          <w:sz w:val="24"/>
        </w:rPr>
        <w:t>证券代码：688435                                   证券简称：英方软件</w:t>
      </w:r>
    </w:p>
    <w:p w14:paraId="301A4774">
      <w:pPr>
        <w:spacing w:before="156" w:beforeLines="50" w:after="156" w:afterLines="50" w:line="400" w:lineRule="exact"/>
        <w:jc w:val="center"/>
        <w:rPr>
          <w:rFonts w:ascii="宋体" w:hAnsi="宋体"/>
          <w:b/>
          <w:bCs/>
          <w:iCs/>
          <w:color w:val="000000"/>
          <w:sz w:val="32"/>
          <w:szCs w:val="32"/>
        </w:rPr>
      </w:pPr>
      <w:r>
        <w:rPr>
          <w:rFonts w:hint="eastAsia" w:ascii="宋体" w:hAnsi="宋体"/>
          <w:b/>
          <w:bCs/>
          <w:iCs/>
          <w:color w:val="000000"/>
          <w:sz w:val="32"/>
          <w:szCs w:val="32"/>
        </w:rPr>
        <w:t>上海英方软件股份有限公司</w:t>
      </w:r>
    </w:p>
    <w:p w14:paraId="1763587E">
      <w:pPr>
        <w:spacing w:before="156" w:beforeLines="50" w:after="156" w:afterLines="50" w:line="400" w:lineRule="exact"/>
        <w:jc w:val="center"/>
        <w:rPr>
          <w:rFonts w:ascii="宋体" w:hAnsi="宋体"/>
          <w:b/>
          <w:bCs/>
          <w:iCs/>
          <w:color w:val="000000"/>
          <w:sz w:val="32"/>
          <w:szCs w:val="32"/>
        </w:rPr>
      </w:pPr>
      <w:r>
        <w:rPr>
          <w:rFonts w:hint="eastAsia" w:ascii="宋体" w:hAnsi="宋体"/>
          <w:b/>
          <w:bCs/>
          <w:iCs/>
          <w:color w:val="000000"/>
          <w:sz w:val="32"/>
          <w:szCs w:val="32"/>
        </w:rPr>
        <w:t>投资者关系活动记录表</w:t>
      </w:r>
    </w:p>
    <w:p w14:paraId="4FB3E1EE">
      <w:pPr>
        <w:spacing w:line="400" w:lineRule="exact"/>
        <w:rPr>
          <w:rFonts w:hint="default" w:ascii="宋体" w:hAnsi="宋体" w:eastAsiaTheme="minorEastAsia"/>
          <w:bCs/>
          <w:iCs/>
          <w:color w:val="000000"/>
          <w:sz w:val="24"/>
          <w:lang w:val="en-US" w:eastAsia="zh-CN"/>
        </w:rPr>
      </w:pPr>
      <w:r>
        <w:rPr>
          <w:rFonts w:hint="eastAsia" w:ascii="宋体" w:hAnsi="宋体"/>
          <w:bCs/>
          <w:iCs/>
          <w:color w:val="000000"/>
          <w:sz w:val="24"/>
        </w:rPr>
        <w:t xml:space="preserve">                                                      编号：202</w:t>
      </w:r>
      <w:r>
        <w:rPr>
          <w:rFonts w:hint="eastAsia" w:ascii="宋体" w:hAnsi="宋体"/>
          <w:bCs/>
          <w:iCs/>
          <w:color w:val="000000"/>
          <w:sz w:val="24"/>
          <w:lang w:val="en-US" w:eastAsia="zh-CN"/>
        </w:rPr>
        <w:t>5-006</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7009"/>
      </w:tblGrid>
      <w:tr w14:paraId="441EA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14:paraId="23B38CBE">
            <w:pPr>
              <w:spacing w:line="480" w:lineRule="atLeast"/>
              <w:jc w:val="center"/>
              <w:rPr>
                <w:rFonts w:ascii="宋体" w:hAnsi="宋体"/>
                <w:bCs/>
                <w:iCs/>
                <w:color w:val="000000"/>
                <w:sz w:val="24"/>
              </w:rPr>
            </w:pPr>
            <w:r>
              <w:rPr>
                <w:rFonts w:hint="eastAsia" w:ascii="宋体" w:hAnsi="宋体"/>
                <w:bCs/>
                <w:iCs/>
                <w:color w:val="000000"/>
                <w:sz w:val="24"/>
              </w:rPr>
              <w:t>投资者关系活动类别</w:t>
            </w:r>
          </w:p>
        </w:tc>
        <w:tc>
          <w:tcPr>
            <w:tcW w:w="7009" w:type="dxa"/>
          </w:tcPr>
          <w:p w14:paraId="05D768B2">
            <w:pPr>
              <w:spacing w:line="360" w:lineRule="auto"/>
              <w:ind w:firstLine="480"/>
              <w:rPr>
                <w:rFonts w:ascii="宋体" w:hAnsi="宋体" w:eastAsia="宋体"/>
                <w:bCs/>
                <w:iCs/>
                <w:sz w:val="24"/>
                <w:szCs w:val="24"/>
              </w:rPr>
            </w:pPr>
            <w:r>
              <w:rPr>
                <w:rFonts w:hint="eastAsia" w:ascii="宋体" w:hAnsi="宋体" w:eastAsia="宋体"/>
                <w:bCs/>
                <w:iCs/>
                <w:sz w:val="24"/>
                <w:szCs w:val="24"/>
              </w:rPr>
              <w:t>□</w:t>
            </w:r>
            <w:r>
              <w:rPr>
                <w:rFonts w:hint="eastAsia" w:ascii="宋体" w:hAnsi="宋体" w:eastAsia="宋体"/>
                <w:sz w:val="24"/>
                <w:szCs w:val="24"/>
              </w:rPr>
              <w:t xml:space="preserve">特定对象调研        </w:t>
            </w:r>
            <w:r>
              <w:rPr>
                <w:rFonts w:hint="eastAsia" w:ascii="宋体" w:hAnsi="宋体" w:eastAsia="宋体"/>
                <w:bCs/>
                <w:iCs/>
                <w:sz w:val="24"/>
                <w:szCs w:val="24"/>
              </w:rPr>
              <w:t>□</w:t>
            </w:r>
            <w:r>
              <w:rPr>
                <w:rFonts w:hint="eastAsia" w:ascii="宋体" w:hAnsi="宋体" w:eastAsia="宋体"/>
                <w:sz w:val="24"/>
                <w:szCs w:val="24"/>
              </w:rPr>
              <w:t>分析师会议</w:t>
            </w:r>
          </w:p>
          <w:p w14:paraId="1CFD84FA">
            <w:pPr>
              <w:spacing w:line="360" w:lineRule="auto"/>
              <w:ind w:firstLine="480"/>
              <w:rPr>
                <w:rFonts w:ascii="宋体" w:hAnsi="宋体" w:eastAsia="宋体"/>
                <w:bCs/>
                <w:iCs/>
                <w:sz w:val="24"/>
                <w:szCs w:val="24"/>
              </w:rPr>
            </w:pPr>
            <w:r>
              <w:rPr>
                <w:rFonts w:hint="eastAsia" w:ascii="宋体" w:hAnsi="宋体" w:eastAsia="宋体"/>
                <w:bCs/>
                <w:iCs/>
                <w:sz w:val="24"/>
                <w:szCs w:val="24"/>
              </w:rPr>
              <w:t>□</w:t>
            </w:r>
            <w:r>
              <w:rPr>
                <w:rFonts w:hint="eastAsia" w:ascii="宋体" w:hAnsi="宋体" w:eastAsia="宋体"/>
                <w:sz w:val="24"/>
                <w:szCs w:val="24"/>
              </w:rPr>
              <w:t xml:space="preserve">媒体采访            </w:t>
            </w:r>
            <w:r>
              <w:rPr>
                <w:rFonts w:hint="eastAsia" w:ascii="宋体" w:hAnsi="宋体" w:eastAsia="宋体"/>
                <w:bCs/>
                <w:iCs/>
                <w:sz w:val="24"/>
                <w:szCs w:val="24"/>
              </w:rPr>
              <w:sym w:font="Wingdings 2" w:char="0052"/>
            </w:r>
            <w:r>
              <w:rPr>
                <w:rFonts w:hint="eastAsia" w:ascii="宋体" w:hAnsi="宋体" w:eastAsia="宋体"/>
                <w:sz w:val="24"/>
                <w:szCs w:val="24"/>
              </w:rPr>
              <w:t>业绩说明会</w:t>
            </w:r>
          </w:p>
          <w:p w14:paraId="6FB31B73">
            <w:pPr>
              <w:spacing w:line="360" w:lineRule="auto"/>
              <w:ind w:firstLine="480"/>
              <w:rPr>
                <w:rFonts w:ascii="宋体" w:hAnsi="宋体" w:eastAsia="宋体"/>
                <w:bCs/>
                <w:iCs/>
                <w:sz w:val="24"/>
                <w:szCs w:val="24"/>
              </w:rPr>
            </w:pPr>
            <w:r>
              <w:rPr>
                <w:rFonts w:hint="eastAsia" w:ascii="宋体" w:hAnsi="宋体" w:eastAsia="宋体"/>
                <w:bCs/>
                <w:iCs/>
                <w:sz w:val="24"/>
                <w:szCs w:val="24"/>
              </w:rPr>
              <w:t>□</w:t>
            </w:r>
            <w:r>
              <w:rPr>
                <w:rFonts w:hint="eastAsia" w:ascii="宋体" w:hAnsi="宋体" w:eastAsia="宋体"/>
                <w:sz w:val="24"/>
                <w:szCs w:val="24"/>
              </w:rPr>
              <w:t xml:space="preserve">新闻发布会          </w:t>
            </w:r>
            <w:r>
              <w:rPr>
                <w:rFonts w:hint="eastAsia" w:ascii="宋体" w:hAnsi="宋体" w:eastAsia="宋体"/>
                <w:bCs/>
                <w:iCs/>
                <w:sz w:val="24"/>
                <w:szCs w:val="24"/>
              </w:rPr>
              <w:t>□</w:t>
            </w:r>
            <w:r>
              <w:rPr>
                <w:rFonts w:hint="eastAsia" w:ascii="宋体" w:hAnsi="宋体" w:eastAsia="宋体"/>
                <w:sz w:val="24"/>
                <w:szCs w:val="24"/>
              </w:rPr>
              <w:t>路演活动</w:t>
            </w:r>
          </w:p>
          <w:p w14:paraId="1C4BAA30">
            <w:pPr>
              <w:tabs>
                <w:tab w:val="left" w:pos="2690"/>
                <w:tab w:val="center" w:pos="3199"/>
              </w:tabs>
              <w:spacing w:line="360" w:lineRule="auto"/>
              <w:ind w:firstLine="480"/>
              <w:rPr>
                <w:rFonts w:ascii="宋体" w:hAnsi="宋体" w:eastAsia="宋体"/>
                <w:bCs/>
                <w:iCs/>
                <w:sz w:val="24"/>
                <w:szCs w:val="24"/>
              </w:rPr>
            </w:pPr>
            <w:r>
              <w:rPr>
                <w:rFonts w:hint="eastAsia" w:ascii="宋体" w:hAnsi="宋体" w:eastAsia="宋体"/>
                <w:bCs/>
                <w:iCs/>
                <w:sz w:val="24"/>
                <w:szCs w:val="24"/>
              </w:rPr>
              <w:t>□</w:t>
            </w:r>
            <w:r>
              <w:rPr>
                <w:rFonts w:hint="eastAsia" w:ascii="宋体" w:hAnsi="宋体" w:eastAsia="宋体"/>
                <w:sz w:val="24"/>
                <w:szCs w:val="24"/>
              </w:rPr>
              <w:t xml:space="preserve">现场参观            </w:t>
            </w:r>
            <w:r>
              <w:rPr>
                <w:rFonts w:hint="eastAsia" w:ascii="宋体" w:hAnsi="宋体" w:eastAsia="宋体"/>
                <w:bCs/>
                <w:iCs/>
                <w:sz w:val="24"/>
                <w:szCs w:val="24"/>
              </w:rPr>
              <w:t>□</w:t>
            </w:r>
            <w:r>
              <w:rPr>
                <w:rFonts w:hint="eastAsia" w:ascii="宋体" w:hAnsi="宋体" w:eastAsia="宋体"/>
                <w:sz w:val="24"/>
                <w:szCs w:val="24"/>
              </w:rPr>
              <w:t>电话会议</w:t>
            </w:r>
          </w:p>
          <w:p w14:paraId="326E8A06">
            <w:pPr>
              <w:tabs>
                <w:tab w:val="center" w:pos="3199"/>
              </w:tabs>
              <w:spacing w:line="480" w:lineRule="atLeast"/>
              <w:ind w:firstLine="480" w:firstLineChars="200"/>
              <w:rPr>
                <w:rFonts w:ascii="宋体" w:hAnsi="宋体"/>
                <w:bCs/>
                <w:iCs/>
                <w:color w:val="000000"/>
                <w:sz w:val="24"/>
              </w:rPr>
            </w:pPr>
            <w:r>
              <w:rPr>
                <w:rFonts w:hint="eastAsia" w:ascii="宋体" w:hAnsi="宋体" w:eastAsia="宋体"/>
                <w:bCs/>
                <w:iCs/>
                <w:sz w:val="24"/>
                <w:szCs w:val="24"/>
              </w:rPr>
              <w:t>□</w:t>
            </w:r>
            <w:r>
              <w:rPr>
                <w:rFonts w:hint="eastAsia" w:ascii="宋体" w:hAnsi="宋体" w:eastAsia="宋体"/>
                <w:sz w:val="24"/>
                <w:szCs w:val="24"/>
              </w:rPr>
              <w:t>其他 （</w:t>
            </w:r>
            <w:r>
              <w:rPr>
                <w:rFonts w:hint="eastAsia" w:ascii="宋体" w:hAnsi="宋体" w:eastAsia="宋体"/>
                <w:sz w:val="24"/>
                <w:szCs w:val="24"/>
                <w:u w:val="single"/>
              </w:rPr>
              <w:t>请文字说明其他活动内容）</w:t>
            </w:r>
          </w:p>
        </w:tc>
      </w:tr>
      <w:tr w14:paraId="7BE45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13" w:type="dxa"/>
            <w:vAlign w:val="center"/>
          </w:tcPr>
          <w:p w14:paraId="2E9310E8">
            <w:pPr>
              <w:spacing w:line="480" w:lineRule="atLeast"/>
              <w:jc w:val="center"/>
              <w:rPr>
                <w:rFonts w:ascii="宋体" w:hAnsi="宋体"/>
                <w:bCs/>
                <w:iCs/>
                <w:color w:val="000000"/>
                <w:sz w:val="24"/>
              </w:rPr>
            </w:pPr>
            <w:r>
              <w:rPr>
                <w:rFonts w:hint="eastAsia" w:ascii="宋体" w:hAnsi="宋体"/>
                <w:bCs/>
                <w:iCs/>
                <w:color w:val="000000"/>
                <w:sz w:val="24"/>
              </w:rPr>
              <w:t>参与单位名称</w:t>
            </w:r>
          </w:p>
        </w:tc>
        <w:tc>
          <w:tcPr>
            <w:tcW w:w="7009" w:type="dxa"/>
            <w:vAlign w:val="center"/>
          </w:tcPr>
          <w:p w14:paraId="7707E6BE">
            <w:pPr>
              <w:spacing w:line="360" w:lineRule="auto"/>
              <w:rPr>
                <w:rFonts w:hint="default" w:ascii="宋体" w:hAnsi="宋体" w:eastAsiaTheme="minorEastAsia"/>
                <w:sz w:val="24"/>
                <w:szCs w:val="21"/>
                <w:lang w:val="en-US" w:eastAsia="zh-CN"/>
              </w:rPr>
            </w:pPr>
            <w:r>
              <w:rPr>
                <w:rFonts w:hint="default" w:ascii="宋体" w:hAnsi="宋体" w:eastAsiaTheme="minorEastAsia"/>
                <w:sz w:val="24"/>
                <w:szCs w:val="21"/>
                <w:lang w:val="en-US" w:eastAsia="zh-CN"/>
              </w:rPr>
              <w:t>参与公司网上202</w:t>
            </w:r>
            <w:r>
              <w:rPr>
                <w:rFonts w:hint="eastAsia" w:ascii="宋体" w:hAnsi="宋体"/>
                <w:sz w:val="24"/>
                <w:szCs w:val="21"/>
                <w:lang w:val="en-US" w:eastAsia="zh-CN"/>
              </w:rPr>
              <w:t>5年半年度</w:t>
            </w:r>
            <w:r>
              <w:rPr>
                <w:rFonts w:hint="default" w:ascii="宋体" w:hAnsi="宋体" w:eastAsiaTheme="minorEastAsia"/>
                <w:sz w:val="24"/>
                <w:szCs w:val="21"/>
                <w:lang w:val="en-US" w:eastAsia="zh-CN"/>
              </w:rPr>
              <w:t>业绩说明会的投资者</w:t>
            </w:r>
          </w:p>
        </w:tc>
      </w:tr>
      <w:tr w14:paraId="4983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13" w:type="dxa"/>
            <w:vAlign w:val="center"/>
          </w:tcPr>
          <w:p w14:paraId="7E9E053C">
            <w:pPr>
              <w:spacing w:line="480" w:lineRule="atLeast"/>
              <w:jc w:val="center"/>
              <w:rPr>
                <w:rFonts w:ascii="宋体" w:hAnsi="宋体"/>
                <w:bCs/>
                <w:iCs/>
                <w:color w:val="000000"/>
                <w:sz w:val="24"/>
              </w:rPr>
            </w:pPr>
            <w:r>
              <w:rPr>
                <w:rFonts w:hint="eastAsia" w:ascii="宋体" w:hAnsi="宋体"/>
                <w:bCs/>
                <w:iCs/>
                <w:color w:val="000000"/>
                <w:sz w:val="24"/>
              </w:rPr>
              <w:t>时间</w:t>
            </w:r>
          </w:p>
        </w:tc>
        <w:tc>
          <w:tcPr>
            <w:tcW w:w="7009" w:type="dxa"/>
          </w:tcPr>
          <w:p w14:paraId="78C9ED2E">
            <w:pPr>
              <w:spacing w:line="480" w:lineRule="atLeast"/>
              <w:rPr>
                <w:rFonts w:hint="default" w:ascii="宋体" w:hAnsi="宋体"/>
                <w:bCs/>
                <w:iCs/>
                <w:color w:val="000000"/>
                <w:sz w:val="24"/>
                <w:lang w:val="en-US"/>
              </w:rPr>
            </w:pPr>
            <w:r>
              <w:rPr>
                <w:rFonts w:hint="eastAsia" w:ascii="宋体" w:hAnsi="宋体"/>
                <w:bCs/>
                <w:iCs/>
                <w:color w:val="000000"/>
                <w:sz w:val="24"/>
              </w:rPr>
              <w:t>202</w:t>
            </w:r>
            <w:r>
              <w:rPr>
                <w:rFonts w:hint="eastAsia" w:ascii="宋体" w:hAnsi="宋体"/>
                <w:bCs/>
                <w:iCs/>
                <w:color w:val="000000"/>
                <w:sz w:val="24"/>
                <w:lang w:val="en-US" w:eastAsia="zh-CN"/>
              </w:rPr>
              <w:t>5</w:t>
            </w:r>
            <w:r>
              <w:rPr>
                <w:rFonts w:hint="eastAsia" w:ascii="宋体" w:hAnsi="宋体"/>
                <w:bCs/>
                <w:iCs/>
                <w:color w:val="000000"/>
                <w:sz w:val="24"/>
              </w:rPr>
              <w:t>年</w:t>
            </w:r>
            <w:r>
              <w:rPr>
                <w:rFonts w:hint="eastAsia" w:ascii="宋体" w:hAnsi="宋体"/>
                <w:bCs/>
                <w:iCs/>
                <w:color w:val="000000"/>
                <w:sz w:val="24"/>
                <w:lang w:val="en-US" w:eastAsia="zh-CN"/>
              </w:rPr>
              <w:t>9月16日（13:00-14:00）</w:t>
            </w:r>
          </w:p>
        </w:tc>
      </w:tr>
      <w:tr w14:paraId="1587E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13" w:type="dxa"/>
            <w:vAlign w:val="center"/>
          </w:tcPr>
          <w:p w14:paraId="483FACD8">
            <w:pPr>
              <w:spacing w:line="360" w:lineRule="auto"/>
              <w:jc w:val="center"/>
              <w:rPr>
                <w:rFonts w:ascii="宋体" w:hAnsi="宋体"/>
                <w:bCs/>
                <w:iCs/>
                <w:color w:val="000000"/>
                <w:sz w:val="24"/>
              </w:rPr>
            </w:pPr>
            <w:r>
              <w:rPr>
                <w:rFonts w:hint="eastAsia" w:ascii="宋体" w:hAnsi="宋体"/>
                <w:bCs/>
                <w:iCs/>
                <w:color w:val="000000"/>
                <w:sz w:val="24"/>
              </w:rPr>
              <w:t>地点</w:t>
            </w:r>
          </w:p>
        </w:tc>
        <w:tc>
          <w:tcPr>
            <w:tcW w:w="7009" w:type="dxa"/>
            <w:vAlign w:val="center"/>
          </w:tcPr>
          <w:p w14:paraId="3BFEB20E">
            <w:pPr>
              <w:spacing w:line="360" w:lineRule="auto"/>
              <w:rPr>
                <w:rFonts w:hint="default" w:ascii="宋体" w:hAnsi="宋体" w:eastAsiaTheme="minorEastAsia"/>
                <w:bCs/>
                <w:iCs/>
                <w:color w:val="000000"/>
                <w:sz w:val="24"/>
                <w:lang w:val="en-US" w:eastAsia="zh-CN"/>
              </w:rPr>
            </w:pPr>
            <w:r>
              <w:rPr>
                <w:rFonts w:hint="eastAsia" w:ascii="宋体" w:hAnsi="宋体"/>
                <w:bCs/>
                <w:iCs/>
                <w:color w:val="000000"/>
                <w:sz w:val="24"/>
                <w:lang w:val="en-US" w:eastAsia="zh-CN"/>
              </w:rPr>
              <w:t>上海证券交易所上证路演中心</w:t>
            </w:r>
          </w:p>
        </w:tc>
      </w:tr>
      <w:tr w14:paraId="64899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14:paraId="6B847AE9">
            <w:pPr>
              <w:spacing w:line="276" w:lineRule="auto"/>
              <w:jc w:val="center"/>
              <w:rPr>
                <w:rFonts w:ascii="宋体" w:hAnsi="宋体"/>
                <w:bCs/>
                <w:iCs/>
                <w:color w:val="000000"/>
                <w:sz w:val="24"/>
              </w:rPr>
            </w:pPr>
            <w:r>
              <w:rPr>
                <w:rFonts w:hint="eastAsia" w:ascii="宋体" w:hAnsi="宋体"/>
                <w:bCs/>
                <w:iCs/>
                <w:color w:val="000000"/>
                <w:sz w:val="24"/>
              </w:rPr>
              <w:t>上市公司接待</w:t>
            </w:r>
          </w:p>
          <w:p w14:paraId="5CF42C2B">
            <w:pPr>
              <w:spacing w:line="276" w:lineRule="auto"/>
              <w:jc w:val="center"/>
              <w:rPr>
                <w:rFonts w:ascii="宋体" w:hAnsi="宋体"/>
                <w:bCs/>
                <w:iCs/>
                <w:color w:val="000000"/>
                <w:sz w:val="24"/>
              </w:rPr>
            </w:pPr>
            <w:r>
              <w:rPr>
                <w:rFonts w:hint="eastAsia" w:ascii="宋体" w:hAnsi="宋体"/>
                <w:bCs/>
                <w:iCs/>
                <w:color w:val="000000"/>
                <w:sz w:val="24"/>
              </w:rPr>
              <w:t>人员姓名</w:t>
            </w:r>
          </w:p>
        </w:tc>
        <w:tc>
          <w:tcPr>
            <w:tcW w:w="7009" w:type="dxa"/>
            <w:vAlign w:val="center"/>
          </w:tcPr>
          <w:p w14:paraId="5E7AF047">
            <w:pPr>
              <w:spacing w:line="276" w:lineRule="auto"/>
              <w:jc w:val="left"/>
              <w:rPr>
                <w:rFonts w:hint="default" w:ascii="宋体" w:hAnsi="宋体"/>
                <w:bCs/>
                <w:iCs/>
                <w:color w:val="000000"/>
                <w:sz w:val="24"/>
                <w:lang w:val="en-US" w:eastAsia="zh-CN"/>
              </w:rPr>
            </w:pPr>
            <w:r>
              <w:rPr>
                <w:rFonts w:hint="eastAsia" w:ascii="宋体" w:hAnsi="宋体"/>
                <w:bCs/>
                <w:iCs/>
                <w:color w:val="000000"/>
                <w:sz w:val="24"/>
              </w:rPr>
              <w:t>董事</w:t>
            </w:r>
            <w:r>
              <w:rPr>
                <w:rFonts w:hint="eastAsia" w:ascii="宋体" w:hAnsi="宋体"/>
                <w:bCs/>
                <w:iCs/>
                <w:color w:val="000000"/>
                <w:sz w:val="24"/>
                <w:lang w:val="en-US" w:eastAsia="zh-CN"/>
              </w:rPr>
              <w:t>长兼总经理：胡军擎</w:t>
            </w:r>
          </w:p>
          <w:p w14:paraId="3FD1B726">
            <w:pPr>
              <w:spacing w:line="276" w:lineRule="auto"/>
              <w:jc w:val="left"/>
              <w:rPr>
                <w:rFonts w:ascii="宋体" w:hAnsi="宋体"/>
                <w:bCs/>
                <w:iCs/>
                <w:color w:val="000000"/>
                <w:sz w:val="24"/>
              </w:rPr>
            </w:pPr>
            <w:r>
              <w:rPr>
                <w:rFonts w:hint="eastAsia" w:ascii="宋体" w:hAnsi="宋体"/>
                <w:bCs/>
                <w:iCs/>
                <w:color w:val="000000"/>
                <w:sz w:val="24"/>
                <w:lang w:val="en-US" w:eastAsia="zh-CN"/>
              </w:rPr>
              <w:t>财务总监：穆娜</w:t>
            </w:r>
          </w:p>
          <w:p w14:paraId="3C64C928">
            <w:pPr>
              <w:spacing w:line="276" w:lineRule="auto"/>
              <w:jc w:val="left"/>
              <w:rPr>
                <w:rFonts w:hint="eastAsia" w:ascii="宋体" w:hAnsi="宋体"/>
                <w:bCs/>
                <w:iCs/>
                <w:color w:val="000000"/>
                <w:sz w:val="24"/>
              </w:rPr>
            </w:pPr>
            <w:r>
              <w:rPr>
                <w:rFonts w:hint="eastAsia" w:ascii="宋体" w:hAnsi="宋体"/>
                <w:bCs/>
                <w:iCs/>
                <w:color w:val="000000"/>
                <w:sz w:val="24"/>
              </w:rPr>
              <w:t>董事会秘书</w:t>
            </w:r>
            <w:r>
              <w:rPr>
                <w:rFonts w:hint="eastAsia" w:ascii="宋体" w:hAnsi="宋体"/>
                <w:bCs/>
                <w:iCs/>
                <w:color w:val="000000"/>
                <w:sz w:val="24"/>
                <w:lang w:eastAsia="zh-CN"/>
              </w:rPr>
              <w:t>：</w:t>
            </w:r>
            <w:r>
              <w:rPr>
                <w:rFonts w:hint="eastAsia" w:ascii="宋体" w:hAnsi="宋体"/>
                <w:bCs/>
                <w:iCs/>
                <w:color w:val="000000"/>
                <w:sz w:val="24"/>
              </w:rPr>
              <w:t>沈蔡娟</w:t>
            </w:r>
          </w:p>
          <w:p w14:paraId="7A00183C">
            <w:pPr>
              <w:spacing w:line="276" w:lineRule="auto"/>
              <w:jc w:val="left"/>
              <w:rPr>
                <w:rFonts w:hint="default" w:ascii="宋体" w:hAnsi="宋体" w:eastAsiaTheme="minorEastAsia"/>
                <w:bCs/>
                <w:iCs/>
                <w:color w:val="000000"/>
                <w:sz w:val="24"/>
                <w:lang w:val="en-US" w:eastAsia="zh-CN"/>
              </w:rPr>
            </w:pPr>
            <w:r>
              <w:rPr>
                <w:rFonts w:hint="eastAsia" w:ascii="宋体" w:hAnsi="宋体"/>
                <w:bCs/>
                <w:iCs/>
                <w:color w:val="000000"/>
                <w:sz w:val="24"/>
                <w:lang w:val="en-US" w:eastAsia="zh-CN"/>
              </w:rPr>
              <w:t>独立董事：</w:t>
            </w:r>
            <w:r>
              <w:rPr>
                <w:rFonts w:hint="eastAsia" w:ascii="宋体" w:hAnsi="宋体"/>
                <w:sz w:val="24"/>
                <w:szCs w:val="21"/>
                <w:lang w:val="en-US" w:eastAsia="zh-CN"/>
              </w:rPr>
              <w:t>蔡钰如</w:t>
            </w:r>
          </w:p>
        </w:tc>
      </w:tr>
      <w:tr w14:paraId="3BD4C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14:paraId="2FB841CF">
            <w:pPr>
              <w:spacing w:line="360" w:lineRule="auto"/>
              <w:rPr>
                <w:rFonts w:ascii="宋体" w:hAnsi="宋体"/>
                <w:bCs/>
                <w:iCs/>
                <w:color w:val="000000"/>
                <w:sz w:val="24"/>
              </w:rPr>
            </w:pPr>
            <w:r>
              <w:rPr>
                <w:rFonts w:hint="eastAsia" w:ascii="宋体" w:hAnsi="宋体"/>
                <w:bCs/>
                <w:iCs/>
                <w:color w:val="000000"/>
                <w:sz w:val="24"/>
              </w:rPr>
              <w:t>投资者关系活动主要内容介绍</w:t>
            </w:r>
          </w:p>
          <w:p w14:paraId="45FB91E7">
            <w:pPr>
              <w:spacing w:line="360" w:lineRule="auto"/>
              <w:rPr>
                <w:rFonts w:ascii="宋体" w:hAnsi="宋体"/>
                <w:bCs/>
                <w:iCs/>
                <w:color w:val="000000"/>
                <w:sz w:val="24"/>
              </w:rPr>
            </w:pPr>
          </w:p>
        </w:tc>
        <w:tc>
          <w:tcPr>
            <w:tcW w:w="7009" w:type="dxa"/>
          </w:tcPr>
          <w:p w14:paraId="2535E571">
            <w:pPr>
              <w:pStyle w:val="25"/>
              <w:spacing w:before="156"/>
              <w:ind w:firstLine="480"/>
              <w:rPr>
                <w:rFonts w:ascii="宋体" w:hAnsi="宋体"/>
                <w:b/>
                <w:bCs/>
                <w:sz w:val="24"/>
                <w:szCs w:val="21"/>
              </w:rPr>
            </w:pPr>
            <w:r>
              <w:rPr>
                <w:rFonts w:hint="eastAsia" w:ascii="宋体" w:hAnsi="宋体"/>
                <w:b/>
                <w:bCs/>
                <w:sz w:val="24"/>
                <w:szCs w:val="21"/>
                <w:lang w:eastAsia="zh-CN"/>
              </w:rPr>
              <w:t>（</w:t>
            </w:r>
            <w:r>
              <w:rPr>
                <w:rFonts w:hint="eastAsia" w:ascii="宋体" w:hAnsi="宋体"/>
                <w:b/>
                <w:bCs/>
                <w:sz w:val="24"/>
                <w:szCs w:val="21"/>
                <w:lang w:val="en-US" w:eastAsia="zh-CN"/>
              </w:rPr>
              <w:t>1</w:t>
            </w:r>
            <w:r>
              <w:rPr>
                <w:rFonts w:hint="eastAsia" w:ascii="宋体" w:hAnsi="宋体"/>
                <w:b/>
                <w:bCs/>
                <w:sz w:val="24"/>
                <w:szCs w:val="21"/>
                <w:lang w:eastAsia="zh-CN"/>
              </w:rPr>
              <w:t>）</w:t>
            </w:r>
            <w:r>
              <w:rPr>
                <w:rFonts w:hint="eastAsia" w:ascii="宋体" w:hAnsi="宋体"/>
                <w:b/>
                <w:bCs/>
                <w:sz w:val="24"/>
                <w:szCs w:val="21"/>
              </w:rPr>
              <w:t>公司介绍</w:t>
            </w:r>
          </w:p>
          <w:p w14:paraId="17FAA851">
            <w:pPr>
              <w:pStyle w:val="25"/>
              <w:spacing w:before="156"/>
              <w:ind w:firstLine="480"/>
              <w:rPr>
                <w:rFonts w:hint="eastAsia" w:ascii="宋体" w:hAnsi="宋体" w:cs="宋体"/>
                <w:sz w:val="24"/>
                <w:lang w:bidi="en-US"/>
              </w:rPr>
            </w:pPr>
            <w:r>
              <w:rPr>
                <w:rFonts w:hint="eastAsia" w:ascii="宋体" w:hAnsi="宋体" w:cs="宋体"/>
                <w:sz w:val="24"/>
                <w:lang w:bidi="en-US"/>
              </w:rPr>
              <w:t>上海英方软件股份有限公司（以下简称“英方软件”）是一家专注于数据复制的软件企业，主营业务系为客户提供数据复制相关的软件、软硬件一体机及软件相关服务，是国内乃至国际市场上少数能同时掌握动态文件字节级、数据库语义级和卷层块级数据复制技术的高新技术企业。公司通过持续的研发投入，构造了“容灾+备份+大数据+云数据管理”四大数据复制产品系列，适配了操作系统、数据库、芯片、云平台、存储系统、虚拟化平台、文件系统、大数据平台、容器等国内外三百多种的型号产品，并积极参与新一代信息技术和国产基础软件生态产业的发展，探索人工智能、大数据模型应用、向量数据库、国产替代等不同领域的数据复制应用场景，确保公司的技术更新迭代满足客户日益变化的应用需求。</w:t>
            </w:r>
          </w:p>
          <w:p w14:paraId="764ECAC3">
            <w:pPr>
              <w:pStyle w:val="25"/>
              <w:spacing w:before="156"/>
              <w:ind w:firstLine="480"/>
              <w:rPr>
                <w:rFonts w:hint="eastAsia" w:ascii="宋体" w:hAnsi="宋体" w:cs="宋体"/>
                <w:sz w:val="24"/>
                <w:lang w:bidi="en-US"/>
              </w:rPr>
            </w:pPr>
            <w:r>
              <w:rPr>
                <w:rFonts w:hint="eastAsia" w:ascii="宋体" w:hAnsi="宋体" w:cs="宋体"/>
                <w:sz w:val="24"/>
                <w:lang w:bidi="en-US"/>
              </w:rPr>
              <w:t>英方软件始创于2011年，总部位于上海，是国内数据复制及容灾备份领域唯一的一家上市企业，拥有庞大的研发团队和经验丰富的领军人物，设立了北京、上海、杭州三大研发中心，建成了北京到上海上千公里的数据复制实时平台。目前研发总人数为340人，占公司总人数59.13%。截至2025年6月30日，公司累计获得发明专利61项，软件著作权161项。</w:t>
            </w:r>
          </w:p>
          <w:p w14:paraId="206C8941">
            <w:pPr>
              <w:pStyle w:val="25"/>
              <w:spacing w:before="156"/>
              <w:ind w:firstLine="480"/>
              <w:rPr>
                <w:rFonts w:hint="eastAsia" w:ascii="宋体" w:hAnsi="宋体" w:cs="宋体"/>
                <w:sz w:val="24"/>
                <w:lang w:bidi="en-US"/>
              </w:rPr>
            </w:pPr>
            <w:r>
              <w:rPr>
                <w:rFonts w:hint="eastAsia" w:ascii="宋体" w:hAnsi="宋体" w:cs="宋体"/>
                <w:sz w:val="24"/>
                <w:lang w:bidi="en-US"/>
              </w:rPr>
              <w:t>2025年上半年公司持续夯实各大产品线的功能和稳定性，同时结合客户新的应用场景和需求，不断衍生出新的软件产品及功能，公司推出了多场景的国产化替代和备份创新新产品：i2Backup V9，同时，英方软件全系列产品共计推出数十项突破性功能升级迭代：包括i2Share-AI、i2DRM新增平台数据备份能力、i2Stream与i2Active的多元化同步链路等。英方软件表示，将不停地在“Data+”的应用实践积累的基础上，根据不同行业客户对产品新需求的要求，研发共性强、可复制的新产品。展望未来，公司将持续加大在前沿技术、行业生态和全球化发展方面的投入，进一步提升产品竞争力与服务能力，为数字中国和全球数据安全建设贡献力量。</w:t>
            </w:r>
          </w:p>
          <w:p w14:paraId="726BA75F">
            <w:pPr>
              <w:pStyle w:val="25"/>
              <w:spacing w:before="156"/>
              <w:ind w:firstLine="480"/>
              <w:rPr>
                <w:rFonts w:hint="eastAsia" w:ascii="宋体" w:hAnsi="宋体" w:cs="宋体"/>
                <w:sz w:val="24"/>
                <w:lang w:bidi="en-US"/>
              </w:rPr>
            </w:pPr>
            <w:r>
              <w:rPr>
                <w:rFonts w:hint="eastAsia" w:ascii="宋体" w:hAnsi="宋体" w:cs="宋体"/>
                <w:sz w:val="24"/>
                <w:lang w:bidi="en-US"/>
              </w:rPr>
              <w:t>公司2025年上半年实现营业总收入8,435.33万元，较上年同期增长0.93%；利润总额、归属于上海公司股东的净利润和归属于上市公司股东的扣除非经常性损益的净利润分别较上年同期减少亏损1,172.70万元、1,181.10万元和839.14万元。2025年上半年公司积极拓展市场，营业收入平稳增长，制定了严格的费用审批流程，有效控制了不必要的市场推广、差旅和招待费用等，对人员进行优化和薪酬管控，故费用有所下降；经营活动产生的现金流量净额-3,195.90万元，较上年同期有所改善，主要系报告期公司购买商品、接受劳务支付的现金较上年同期减少所致。。</w:t>
            </w:r>
          </w:p>
          <w:p w14:paraId="3ED8FA3C">
            <w:pPr>
              <w:pStyle w:val="25"/>
              <w:spacing w:before="156"/>
              <w:ind w:firstLine="480"/>
              <w:rPr>
                <w:rFonts w:ascii="宋体" w:hAnsi="宋体"/>
                <w:sz w:val="24"/>
                <w:szCs w:val="21"/>
              </w:rPr>
            </w:pPr>
            <w:r>
              <w:rPr>
                <w:rFonts w:hint="eastAsia" w:ascii="宋体" w:hAnsi="宋体"/>
                <w:b/>
                <w:bCs/>
                <w:sz w:val="24"/>
                <w:szCs w:val="21"/>
              </w:rPr>
              <w:t>（2）互动交流环节</w:t>
            </w:r>
          </w:p>
          <w:p w14:paraId="0B793352">
            <w:pPr>
              <w:pStyle w:val="25"/>
              <w:spacing w:before="156"/>
              <w:ind w:firstLine="480"/>
              <w:rPr>
                <w:rFonts w:hint="eastAsia" w:ascii="宋体" w:hAnsi="宋体" w:cs="Times New Roman"/>
                <w:b/>
                <w:bCs/>
                <w:sz w:val="24"/>
                <w:szCs w:val="21"/>
                <w:lang w:val="en-US" w:eastAsia="zh-CN"/>
              </w:rPr>
            </w:pPr>
            <w:r>
              <w:rPr>
                <w:rFonts w:hint="eastAsia" w:ascii="宋体" w:hAnsi="宋体" w:cs="Times New Roman"/>
                <w:b/>
                <w:bCs/>
                <w:sz w:val="24"/>
                <w:szCs w:val="21"/>
                <w:lang w:val="en-US" w:eastAsia="zh-CN"/>
              </w:rPr>
              <w:t>1.公司下半年净利润预测怎么样，能扭亏为盈吗？海外的项目对营收的进展怎么样？</w:t>
            </w:r>
          </w:p>
          <w:p w14:paraId="652D3AE2">
            <w:pPr>
              <w:pStyle w:val="25"/>
              <w:spacing w:before="156" w:line="360" w:lineRule="auto"/>
              <w:ind w:firstLine="480"/>
              <w:rPr>
                <w:rFonts w:hint="eastAsia"/>
                <w:color w:val="000000"/>
                <w:lang w:val="en-US" w:eastAsia="zh-CN"/>
              </w:rPr>
            </w:pPr>
            <w:r>
              <w:rPr>
                <w:rFonts w:hint="eastAsia"/>
                <w:color w:val="000000"/>
                <w:lang w:val="en-US" w:eastAsia="zh-CN"/>
              </w:rPr>
              <w:t>尊敬的投资者，您好！公司下半年将继续以“稳中进，韧中赢”为经营方针，在坚持研发创新的同时，更加注重费用管控和资源配置效率，力争在下半年逐步改善盈利水平，努力实现扭亏为盈，为股东创造更好的回报。</w:t>
            </w:r>
          </w:p>
          <w:p w14:paraId="3ADFA79F">
            <w:pPr>
              <w:pStyle w:val="25"/>
              <w:spacing w:before="156" w:line="360" w:lineRule="auto"/>
              <w:ind w:firstLine="480"/>
              <w:rPr>
                <w:rFonts w:hint="eastAsia"/>
                <w:color w:val="000000"/>
                <w:lang w:val="en-US" w:eastAsia="zh-CN"/>
              </w:rPr>
            </w:pPr>
            <w:r>
              <w:rPr>
                <w:rFonts w:hint="eastAsia"/>
                <w:color w:val="000000"/>
                <w:lang w:val="en-US" w:eastAsia="zh-CN"/>
              </w:rPr>
              <w:t>海外业务方面，公司2024年设立的香港子公司已成为亚太区域的重要支点，2025年上半年实现境外收入148.67万元，同比保持快速增长，占比稳步提升。香港子公司正积极承接母公司在数据复制与灾备技术领域的优势，已经成功落地多个海外项目，并与欧洲、东南亚和中东的客户和伙伴保持良好进展。</w:t>
            </w:r>
          </w:p>
          <w:p w14:paraId="767660D0">
            <w:pPr>
              <w:pStyle w:val="25"/>
              <w:spacing w:before="156" w:line="360" w:lineRule="auto"/>
              <w:ind w:firstLine="480"/>
              <w:rPr>
                <w:rFonts w:hint="eastAsia"/>
                <w:color w:val="000000"/>
                <w:lang w:val="en-US" w:eastAsia="zh-CN"/>
              </w:rPr>
            </w:pPr>
            <w:r>
              <w:rPr>
                <w:rFonts w:hint="eastAsia"/>
                <w:color w:val="000000"/>
                <w:lang w:val="en-US" w:eastAsia="zh-CN"/>
              </w:rPr>
              <w:t>未来，公司将持续加大国际化布局，通过引进国际专业人才、完善合规与知识产权管理机制，推动英方软件的数据复制与韧性方案进一步走向全球，增强长期盈利能力和国际竞争力。感谢您的关注。</w:t>
            </w:r>
          </w:p>
          <w:p w14:paraId="56980192">
            <w:pPr>
              <w:pStyle w:val="25"/>
              <w:spacing w:before="156"/>
              <w:ind w:firstLine="480"/>
              <w:rPr>
                <w:rFonts w:hint="eastAsia" w:ascii="宋体" w:hAnsi="宋体"/>
                <w:b/>
                <w:bCs/>
                <w:sz w:val="24"/>
                <w:szCs w:val="21"/>
                <w:lang w:val="en-US" w:eastAsia="zh-CN"/>
              </w:rPr>
            </w:pPr>
            <w:r>
              <w:rPr>
                <w:rFonts w:hint="eastAsia" w:ascii="宋体" w:hAnsi="宋体"/>
                <w:b/>
                <w:bCs/>
                <w:szCs w:val="21"/>
                <w:lang w:val="en-US" w:eastAsia="zh-CN"/>
              </w:rPr>
              <w:t>2.</w:t>
            </w:r>
            <w:r>
              <w:rPr>
                <w:rFonts w:hint="eastAsia" w:ascii="宋体" w:hAnsi="宋体"/>
                <w:b/>
                <w:bCs/>
                <w:sz w:val="24"/>
                <w:szCs w:val="21"/>
                <w:lang w:val="en-US" w:eastAsia="zh-CN"/>
              </w:rPr>
              <w:t>公司如何评估海外市场的长期潜力？未来是否有进一步加大海外投入的计划，以确保高增长势头得以延续？</w:t>
            </w:r>
          </w:p>
          <w:p w14:paraId="65E63FE5">
            <w:pPr>
              <w:pStyle w:val="25"/>
              <w:spacing w:before="156" w:line="360" w:lineRule="auto"/>
              <w:ind w:firstLine="480"/>
              <w:rPr>
                <w:rFonts w:hint="eastAsia"/>
                <w:color w:val="000000"/>
                <w:lang w:val="en-US" w:eastAsia="zh-CN"/>
              </w:rPr>
            </w:pPr>
            <w:r>
              <w:rPr>
                <w:rFonts w:hint="eastAsia"/>
                <w:color w:val="000000"/>
                <w:lang w:val="en-US" w:eastAsia="zh-CN"/>
              </w:rPr>
              <w:t>尊敬的投资者，您好！海外容灾与备份市场正迎来长期、确定性的增长机遇。</w:t>
            </w:r>
          </w:p>
          <w:p w14:paraId="6A408D73">
            <w:pPr>
              <w:pStyle w:val="25"/>
              <w:numPr>
                <w:ilvl w:val="0"/>
                <w:numId w:val="1"/>
              </w:numPr>
              <w:spacing w:before="156" w:line="360" w:lineRule="auto"/>
              <w:ind w:firstLine="480"/>
              <w:rPr>
                <w:rFonts w:hint="eastAsia"/>
                <w:color w:val="000000"/>
                <w:lang w:val="en-US" w:eastAsia="zh-CN"/>
              </w:rPr>
            </w:pPr>
            <w:r>
              <w:rPr>
                <w:rFonts w:hint="eastAsia"/>
                <w:color w:val="000000"/>
                <w:lang w:val="en-US" w:eastAsia="zh-CN"/>
              </w:rPr>
              <w:t>全球数字化与智能化转型加速，各国企业和机构的数字化规模不断扩大，数据已成为生产和监管的核心要素，对数据安全和连续性的需求呈现刚性增长。</w:t>
            </w:r>
          </w:p>
          <w:p w14:paraId="534A5EAE">
            <w:pPr>
              <w:pStyle w:val="25"/>
              <w:numPr>
                <w:ilvl w:val="0"/>
                <w:numId w:val="1"/>
              </w:numPr>
              <w:spacing w:before="156" w:line="360" w:lineRule="auto"/>
              <w:ind w:firstLine="480"/>
              <w:rPr>
                <w:rFonts w:hint="eastAsia"/>
                <w:color w:val="000000"/>
                <w:lang w:val="en-US" w:eastAsia="zh-CN"/>
              </w:rPr>
            </w:pPr>
            <w:r>
              <w:rPr>
                <w:rFonts w:hint="eastAsia"/>
                <w:color w:val="000000"/>
                <w:lang w:val="en-US" w:eastAsia="zh-CN"/>
              </w:rPr>
              <w:t>合规与监管驱动方面，欧盟GDPR、DORA、香港金管局STDB等，包括东南亚及中东市场的本地监管，都在不断提升对备份、容灾、合规可恢复性的要求，形成了一个全球性的市场拉动。</w:t>
            </w:r>
          </w:p>
          <w:p w14:paraId="1727D869">
            <w:pPr>
              <w:pStyle w:val="25"/>
              <w:numPr>
                <w:ilvl w:val="0"/>
                <w:numId w:val="1"/>
              </w:numPr>
              <w:spacing w:before="156" w:line="360" w:lineRule="auto"/>
              <w:ind w:firstLine="480"/>
              <w:rPr>
                <w:rFonts w:hint="eastAsia"/>
                <w:color w:val="000000"/>
                <w:lang w:val="en-US" w:eastAsia="zh-CN"/>
              </w:rPr>
            </w:pPr>
            <w:r>
              <w:rPr>
                <w:rFonts w:hint="eastAsia"/>
                <w:color w:val="000000"/>
                <w:lang w:val="en-US" w:eastAsia="zh-CN"/>
              </w:rPr>
              <w:t>混合云与多云架构普及，越来越多的企业采用混合云、多云策略，这使得跨环境、跨地域的数据复制与保护成为刚需，从而孕育出新的增量市场。</w:t>
            </w:r>
          </w:p>
          <w:p w14:paraId="2462CADB">
            <w:pPr>
              <w:pStyle w:val="25"/>
              <w:numPr>
                <w:ilvl w:val="0"/>
                <w:numId w:val="1"/>
              </w:numPr>
              <w:spacing w:before="156" w:line="360" w:lineRule="auto"/>
              <w:ind w:firstLine="480"/>
              <w:rPr>
                <w:rFonts w:hint="eastAsia"/>
                <w:color w:val="000000"/>
                <w:lang w:val="en-US" w:eastAsia="zh-CN"/>
              </w:rPr>
            </w:pPr>
            <w:r>
              <w:rPr>
                <w:rFonts w:hint="eastAsia"/>
                <w:color w:val="000000"/>
                <w:lang w:val="en-US" w:eastAsia="zh-CN"/>
              </w:rPr>
              <w:t>目前海外市场整体渗透率仍有较大提升空间，凭借公司在数据库复制、灾备、容灾切换等方面的技术积累，以及海外的布局，公司有望逐步建立品牌与渠道优势，获取长期稳定的增长动能。</w:t>
            </w:r>
          </w:p>
          <w:p w14:paraId="645332C5">
            <w:pPr>
              <w:pStyle w:val="25"/>
              <w:numPr>
                <w:numId w:val="0"/>
              </w:numPr>
              <w:spacing w:before="156" w:line="360" w:lineRule="auto"/>
              <w:ind w:firstLine="480" w:firstLineChars="200"/>
              <w:rPr>
                <w:rFonts w:hint="eastAsia"/>
                <w:color w:val="000000"/>
                <w:lang w:val="en-US" w:eastAsia="zh-CN"/>
              </w:rPr>
            </w:pPr>
            <w:r>
              <w:rPr>
                <w:rFonts w:hint="eastAsia"/>
                <w:color w:val="000000"/>
                <w:lang w:val="en-US" w:eastAsia="zh-CN"/>
              </w:rPr>
              <w:t>海外市场是公司未来持续发展的重要蓝海，公司将持续投入资源，推进产品本地化与合规适配，逐步释放长期潜力。感谢您的关注。</w:t>
            </w:r>
          </w:p>
          <w:p w14:paraId="13939946">
            <w:pPr>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rPr>
                <w:rFonts w:hint="default"/>
                <w:b/>
                <w:bCs/>
                <w:color w:val="000000"/>
                <w:sz w:val="24"/>
                <w:szCs w:val="24"/>
                <w:lang w:val="en-US" w:eastAsia="zh-CN"/>
              </w:rPr>
            </w:pPr>
            <w:r>
              <w:rPr>
                <w:rFonts w:hint="eastAsia"/>
                <w:b/>
                <w:bCs/>
                <w:color w:val="000000"/>
                <w:sz w:val="24"/>
                <w:szCs w:val="24"/>
                <w:lang w:val="en-US" w:eastAsia="zh-CN"/>
              </w:rPr>
              <w:t>3、</w:t>
            </w:r>
            <w:r>
              <w:rPr>
                <w:rFonts w:hint="default"/>
                <w:b/>
                <w:bCs/>
                <w:color w:val="000000"/>
                <w:sz w:val="24"/>
                <w:szCs w:val="24"/>
                <w:lang w:val="en-US" w:eastAsia="zh-CN"/>
              </w:rPr>
              <w:t>在高研发投入的背景下，公司如何平衡短期财务表现与长期技术领先性的关系？对未来研发投入的节奏和方向有何规划？</w:t>
            </w:r>
          </w:p>
          <w:p w14:paraId="561D32F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color w:val="000000"/>
                <w:lang w:val="en-US" w:eastAsia="zh-CN"/>
              </w:rPr>
            </w:pPr>
            <w:r>
              <w:rPr>
                <w:rFonts w:hint="default"/>
                <w:color w:val="000000"/>
                <w:sz w:val="24"/>
                <w:szCs w:val="24"/>
                <w:lang w:val="en-US" w:eastAsia="zh-CN"/>
              </w:rPr>
              <w:t>尊敬的投资者，您好！公司未来会持续投入研发，提高产品竞争力，加强渠道建设，注重费用管控和资源配置效率，以长期战略愿景为指引，通过精细化的资源管理和开放创新的模式，将持续的研发投入转化为不可替代的技术</w:t>
            </w:r>
            <w:bookmarkStart w:id="0" w:name="_GoBack"/>
            <w:bookmarkEnd w:id="0"/>
            <w:r>
              <w:rPr>
                <w:rFonts w:hint="default"/>
                <w:color w:val="000000"/>
                <w:sz w:val="24"/>
                <w:szCs w:val="24"/>
                <w:lang w:val="en-US" w:eastAsia="zh-CN"/>
              </w:rPr>
              <w:t>优势，长期的研发投入为短期业务开辟新的增长空间，形成良性循环。感谢您的关注。</w:t>
            </w:r>
          </w:p>
        </w:tc>
      </w:tr>
      <w:tr w14:paraId="726C4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14:paraId="6FB51469">
            <w:pPr>
              <w:spacing w:line="360" w:lineRule="auto"/>
              <w:rPr>
                <w:rFonts w:ascii="宋体" w:hAnsi="宋体"/>
                <w:bCs/>
                <w:iCs/>
                <w:color w:val="000000"/>
                <w:sz w:val="24"/>
              </w:rPr>
            </w:pPr>
            <w:r>
              <w:rPr>
                <w:rFonts w:ascii="宋体" w:hAnsi="宋体"/>
                <w:bCs/>
                <w:iCs/>
                <w:color w:val="000000"/>
                <w:sz w:val="24"/>
              </w:rPr>
              <w:t xml:space="preserve">附件清单（如有） </w:t>
            </w:r>
          </w:p>
        </w:tc>
        <w:tc>
          <w:tcPr>
            <w:tcW w:w="7009" w:type="dxa"/>
            <w:vAlign w:val="center"/>
          </w:tcPr>
          <w:p w14:paraId="3C72AE43">
            <w:pPr>
              <w:spacing w:line="360" w:lineRule="auto"/>
              <w:rPr>
                <w:rFonts w:ascii="宋体" w:hAnsi="宋体"/>
                <w:bCs/>
                <w:iCs/>
                <w:color w:val="000000"/>
                <w:sz w:val="24"/>
              </w:rPr>
            </w:pPr>
            <w:r>
              <w:rPr>
                <w:rFonts w:hint="eastAsia" w:ascii="宋体" w:hAnsi="宋体"/>
                <w:bCs/>
                <w:iCs/>
                <w:color w:val="000000"/>
                <w:sz w:val="24"/>
              </w:rPr>
              <w:t>无</w:t>
            </w:r>
          </w:p>
        </w:tc>
      </w:tr>
      <w:tr w14:paraId="1AAD3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14:paraId="6F8799EF">
            <w:pPr>
              <w:spacing w:line="360" w:lineRule="auto"/>
              <w:jc w:val="center"/>
              <w:rPr>
                <w:rFonts w:ascii="宋体" w:hAnsi="宋体"/>
                <w:bCs/>
                <w:iCs/>
                <w:color w:val="000000"/>
                <w:sz w:val="24"/>
              </w:rPr>
            </w:pPr>
            <w:r>
              <w:rPr>
                <w:rFonts w:hint="eastAsia" w:ascii="宋体" w:hAnsi="宋体"/>
                <w:bCs/>
                <w:iCs/>
                <w:color w:val="000000"/>
                <w:sz w:val="24"/>
              </w:rPr>
              <w:t>日期</w:t>
            </w:r>
          </w:p>
        </w:tc>
        <w:tc>
          <w:tcPr>
            <w:tcW w:w="7009" w:type="dxa"/>
            <w:vAlign w:val="center"/>
          </w:tcPr>
          <w:p w14:paraId="0642838F">
            <w:pPr>
              <w:spacing w:line="360" w:lineRule="auto"/>
              <w:rPr>
                <w:rFonts w:ascii="宋体" w:hAnsi="宋体"/>
                <w:bCs/>
                <w:iCs/>
                <w:color w:val="000000"/>
                <w:sz w:val="24"/>
              </w:rPr>
            </w:pPr>
            <w:r>
              <w:rPr>
                <w:rFonts w:hint="eastAsia" w:ascii="宋体" w:hAnsi="宋体"/>
                <w:bCs/>
                <w:iCs/>
                <w:color w:val="000000"/>
                <w:sz w:val="24"/>
              </w:rPr>
              <w:t>20</w:t>
            </w:r>
            <w:r>
              <w:rPr>
                <w:rFonts w:ascii="宋体" w:hAnsi="宋体"/>
                <w:bCs/>
                <w:iCs/>
                <w:color w:val="000000"/>
                <w:sz w:val="24"/>
              </w:rPr>
              <w:t>2</w:t>
            </w:r>
            <w:r>
              <w:rPr>
                <w:rFonts w:hint="eastAsia" w:ascii="宋体" w:hAnsi="宋体"/>
                <w:bCs/>
                <w:iCs/>
                <w:color w:val="000000"/>
                <w:sz w:val="24"/>
                <w:lang w:val="en-US" w:eastAsia="zh-CN"/>
              </w:rPr>
              <w:t>5</w:t>
            </w:r>
            <w:r>
              <w:rPr>
                <w:rFonts w:hint="eastAsia" w:ascii="宋体" w:hAnsi="宋体"/>
                <w:bCs/>
                <w:iCs/>
                <w:color w:val="000000"/>
                <w:sz w:val="24"/>
              </w:rPr>
              <w:t>年</w:t>
            </w:r>
            <w:r>
              <w:rPr>
                <w:rFonts w:hint="eastAsia" w:ascii="宋体" w:hAnsi="宋体"/>
                <w:bCs/>
                <w:iCs/>
                <w:color w:val="000000"/>
                <w:sz w:val="24"/>
                <w:lang w:val="en-US" w:eastAsia="zh-CN"/>
              </w:rPr>
              <w:t>9</w:t>
            </w:r>
            <w:r>
              <w:rPr>
                <w:rFonts w:hint="eastAsia" w:ascii="宋体" w:hAnsi="宋体"/>
                <w:bCs/>
                <w:iCs/>
                <w:color w:val="000000"/>
                <w:sz w:val="24"/>
              </w:rPr>
              <w:t>月</w:t>
            </w:r>
          </w:p>
        </w:tc>
      </w:tr>
    </w:tbl>
    <w:p w14:paraId="50C3BF69">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B47801"/>
    <w:multiLevelType w:val="singleLevel"/>
    <w:tmpl w:val="56B478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kZjViNzI2NzFjNmI5NTFlN2UzMjNkNWYyMzdlOTkifQ=="/>
  </w:docVars>
  <w:rsids>
    <w:rsidRoot w:val="00907AA5"/>
    <w:rsid w:val="00035D2C"/>
    <w:rsid w:val="00054467"/>
    <w:rsid w:val="00062355"/>
    <w:rsid w:val="0006573D"/>
    <w:rsid w:val="00081366"/>
    <w:rsid w:val="000976CB"/>
    <w:rsid w:val="000B335E"/>
    <w:rsid w:val="000B7FAD"/>
    <w:rsid w:val="000C0A51"/>
    <w:rsid w:val="000D33F6"/>
    <w:rsid w:val="000E4B16"/>
    <w:rsid w:val="000F4D5F"/>
    <w:rsid w:val="00103A33"/>
    <w:rsid w:val="001057DB"/>
    <w:rsid w:val="00112B54"/>
    <w:rsid w:val="00124C9C"/>
    <w:rsid w:val="00131F47"/>
    <w:rsid w:val="00153D01"/>
    <w:rsid w:val="0016141B"/>
    <w:rsid w:val="0016246C"/>
    <w:rsid w:val="0016659B"/>
    <w:rsid w:val="001871D6"/>
    <w:rsid w:val="001940DF"/>
    <w:rsid w:val="001C1FFD"/>
    <w:rsid w:val="001C6D89"/>
    <w:rsid w:val="001D1897"/>
    <w:rsid w:val="001F2FDC"/>
    <w:rsid w:val="001F6A53"/>
    <w:rsid w:val="00230EE5"/>
    <w:rsid w:val="0023557C"/>
    <w:rsid w:val="0024568A"/>
    <w:rsid w:val="0025174B"/>
    <w:rsid w:val="002660F3"/>
    <w:rsid w:val="00270394"/>
    <w:rsid w:val="002A1899"/>
    <w:rsid w:val="002A4B9A"/>
    <w:rsid w:val="002C08C9"/>
    <w:rsid w:val="003039FA"/>
    <w:rsid w:val="00320313"/>
    <w:rsid w:val="0037673B"/>
    <w:rsid w:val="00383F8C"/>
    <w:rsid w:val="00397ABA"/>
    <w:rsid w:val="003A2691"/>
    <w:rsid w:val="003B1531"/>
    <w:rsid w:val="003B4E38"/>
    <w:rsid w:val="003D7149"/>
    <w:rsid w:val="003E3A99"/>
    <w:rsid w:val="00400BEE"/>
    <w:rsid w:val="00443C87"/>
    <w:rsid w:val="00444C44"/>
    <w:rsid w:val="00452CDD"/>
    <w:rsid w:val="00453980"/>
    <w:rsid w:val="00456F4C"/>
    <w:rsid w:val="00473824"/>
    <w:rsid w:val="00494439"/>
    <w:rsid w:val="004A48F7"/>
    <w:rsid w:val="004C0C6E"/>
    <w:rsid w:val="004D3744"/>
    <w:rsid w:val="004E18E4"/>
    <w:rsid w:val="00506587"/>
    <w:rsid w:val="00513FDB"/>
    <w:rsid w:val="00521F29"/>
    <w:rsid w:val="005457B4"/>
    <w:rsid w:val="00547A95"/>
    <w:rsid w:val="005562E9"/>
    <w:rsid w:val="00565CBB"/>
    <w:rsid w:val="0056752E"/>
    <w:rsid w:val="00587CDD"/>
    <w:rsid w:val="005A0F28"/>
    <w:rsid w:val="005C3B58"/>
    <w:rsid w:val="005D14B5"/>
    <w:rsid w:val="005D3623"/>
    <w:rsid w:val="005E7811"/>
    <w:rsid w:val="005F1972"/>
    <w:rsid w:val="00615EC7"/>
    <w:rsid w:val="006274D0"/>
    <w:rsid w:val="00634127"/>
    <w:rsid w:val="0064264E"/>
    <w:rsid w:val="00655619"/>
    <w:rsid w:val="00693040"/>
    <w:rsid w:val="00694A61"/>
    <w:rsid w:val="006A3D9A"/>
    <w:rsid w:val="006F2BE0"/>
    <w:rsid w:val="00752478"/>
    <w:rsid w:val="0078554E"/>
    <w:rsid w:val="0079056C"/>
    <w:rsid w:val="007906EC"/>
    <w:rsid w:val="007922E7"/>
    <w:rsid w:val="00793F45"/>
    <w:rsid w:val="007C279C"/>
    <w:rsid w:val="007C3675"/>
    <w:rsid w:val="007C770C"/>
    <w:rsid w:val="007E3A9B"/>
    <w:rsid w:val="00803617"/>
    <w:rsid w:val="00804C00"/>
    <w:rsid w:val="0081771C"/>
    <w:rsid w:val="00825818"/>
    <w:rsid w:val="00861607"/>
    <w:rsid w:val="00884602"/>
    <w:rsid w:val="0089311C"/>
    <w:rsid w:val="008A04D2"/>
    <w:rsid w:val="00907AA5"/>
    <w:rsid w:val="00914677"/>
    <w:rsid w:val="0092359A"/>
    <w:rsid w:val="009647B7"/>
    <w:rsid w:val="00982B5B"/>
    <w:rsid w:val="009A24D2"/>
    <w:rsid w:val="009D66DC"/>
    <w:rsid w:val="009E612F"/>
    <w:rsid w:val="009F4B8F"/>
    <w:rsid w:val="00A2072F"/>
    <w:rsid w:val="00A23E71"/>
    <w:rsid w:val="00A4497E"/>
    <w:rsid w:val="00A65C79"/>
    <w:rsid w:val="00AD31A0"/>
    <w:rsid w:val="00B03471"/>
    <w:rsid w:val="00B05289"/>
    <w:rsid w:val="00B428D4"/>
    <w:rsid w:val="00B4496D"/>
    <w:rsid w:val="00B457BA"/>
    <w:rsid w:val="00B50874"/>
    <w:rsid w:val="00B869F3"/>
    <w:rsid w:val="00B945FD"/>
    <w:rsid w:val="00B95355"/>
    <w:rsid w:val="00BA5388"/>
    <w:rsid w:val="00BA56F4"/>
    <w:rsid w:val="00BA680C"/>
    <w:rsid w:val="00BB4088"/>
    <w:rsid w:val="00BB6B7D"/>
    <w:rsid w:val="00BC23C1"/>
    <w:rsid w:val="00BC50A6"/>
    <w:rsid w:val="00BE0DA7"/>
    <w:rsid w:val="00BF3B19"/>
    <w:rsid w:val="00BF7123"/>
    <w:rsid w:val="00C1132F"/>
    <w:rsid w:val="00C115FB"/>
    <w:rsid w:val="00C60B00"/>
    <w:rsid w:val="00C87D0F"/>
    <w:rsid w:val="00C94D1E"/>
    <w:rsid w:val="00C95D38"/>
    <w:rsid w:val="00CB5B0F"/>
    <w:rsid w:val="00CB628D"/>
    <w:rsid w:val="00CC5F19"/>
    <w:rsid w:val="00CD4F4D"/>
    <w:rsid w:val="00CE7CDB"/>
    <w:rsid w:val="00D109BC"/>
    <w:rsid w:val="00D11273"/>
    <w:rsid w:val="00D13893"/>
    <w:rsid w:val="00D14267"/>
    <w:rsid w:val="00D17B26"/>
    <w:rsid w:val="00D24D2C"/>
    <w:rsid w:val="00D2667B"/>
    <w:rsid w:val="00D304E2"/>
    <w:rsid w:val="00D30929"/>
    <w:rsid w:val="00D43E8B"/>
    <w:rsid w:val="00D51945"/>
    <w:rsid w:val="00D75783"/>
    <w:rsid w:val="00D902F5"/>
    <w:rsid w:val="00DB385E"/>
    <w:rsid w:val="00DC39B0"/>
    <w:rsid w:val="00DF0083"/>
    <w:rsid w:val="00E00B7F"/>
    <w:rsid w:val="00E02931"/>
    <w:rsid w:val="00E0671B"/>
    <w:rsid w:val="00E22EA9"/>
    <w:rsid w:val="00E35D51"/>
    <w:rsid w:val="00E41004"/>
    <w:rsid w:val="00E41A04"/>
    <w:rsid w:val="00E51509"/>
    <w:rsid w:val="00E55598"/>
    <w:rsid w:val="00EA2D7D"/>
    <w:rsid w:val="00EB1594"/>
    <w:rsid w:val="00EC6259"/>
    <w:rsid w:val="00ED0943"/>
    <w:rsid w:val="00ED17BA"/>
    <w:rsid w:val="00ED6D17"/>
    <w:rsid w:val="00F01E74"/>
    <w:rsid w:val="00F31D0F"/>
    <w:rsid w:val="00F34116"/>
    <w:rsid w:val="00F34D15"/>
    <w:rsid w:val="00F94B3D"/>
    <w:rsid w:val="00FA61D1"/>
    <w:rsid w:val="00FC69E5"/>
    <w:rsid w:val="00FF279D"/>
    <w:rsid w:val="026E141F"/>
    <w:rsid w:val="027B6D79"/>
    <w:rsid w:val="04C87066"/>
    <w:rsid w:val="05DE1F43"/>
    <w:rsid w:val="073164B5"/>
    <w:rsid w:val="0A4056A9"/>
    <w:rsid w:val="0AB02BCD"/>
    <w:rsid w:val="0AEB20D2"/>
    <w:rsid w:val="0D046532"/>
    <w:rsid w:val="0F5645BD"/>
    <w:rsid w:val="10797AFB"/>
    <w:rsid w:val="11337CBF"/>
    <w:rsid w:val="14147227"/>
    <w:rsid w:val="166A2EB1"/>
    <w:rsid w:val="16E235F1"/>
    <w:rsid w:val="1A986F4F"/>
    <w:rsid w:val="1D074E56"/>
    <w:rsid w:val="1DE826EC"/>
    <w:rsid w:val="1E6D231E"/>
    <w:rsid w:val="1F171D44"/>
    <w:rsid w:val="1F5B6C81"/>
    <w:rsid w:val="1F5E3D65"/>
    <w:rsid w:val="23775F59"/>
    <w:rsid w:val="24E23D7C"/>
    <w:rsid w:val="25416D14"/>
    <w:rsid w:val="25C01E7E"/>
    <w:rsid w:val="26DF7048"/>
    <w:rsid w:val="26F57EA0"/>
    <w:rsid w:val="270C409F"/>
    <w:rsid w:val="27C7486A"/>
    <w:rsid w:val="27E06986"/>
    <w:rsid w:val="28700AC7"/>
    <w:rsid w:val="2AB51407"/>
    <w:rsid w:val="2B601F23"/>
    <w:rsid w:val="2F3839FD"/>
    <w:rsid w:val="2F437013"/>
    <w:rsid w:val="2F5922B5"/>
    <w:rsid w:val="2F835A02"/>
    <w:rsid w:val="316E496E"/>
    <w:rsid w:val="346C0F8D"/>
    <w:rsid w:val="34E24AFB"/>
    <w:rsid w:val="34E50FB5"/>
    <w:rsid w:val="35ED5885"/>
    <w:rsid w:val="396A0841"/>
    <w:rsid w:val="3AC64E24"/>
    <w:rsid w:val="3B645409"/>
    <w:rsid w:val="3B966657"/>
    <w:rsid w:val="3E0F64B4"/>
    <w:rsid w:val="3F204B9F"/>
    <w:rsid w:val="401873FE"/>
    <w:rsid w:val="40221ED0"/>
    <w:rsid w:val="40624D42"/>
    <w:rsid w:val="40EC58C2"/>
    <w:rsid w:val="42487538"/>
    <w:rsid w:val="438F3899"/>
    <w:rsid w:val="448E592F"/>
    <w:rsid w:val="456D41C6"/>
    <w:rsid w:val="469519CD"/>
    <w:rsid w:val="486017CE"/>
    <w:rsid w:val="488D48BB"/>
    <w:rsid w:val="48C61172"/>
    <w:rsid w:val="49F92FBC"/>
    <w:rsid w:val="4A506A7B"/>
    <w:rsid w:val="4AC31770"/>
    <w:rsid w:val="4B04143D"/>
    <w:rsid w:val="4BE97027"/>
    <w:rsid w:val="4C8B34F6"/>
    <w:rsid w:val="4CA8313E"/>
    <w:rsid w:val="4CE723A1"/>
    <w:rsid w:val="4E3F7116"/>
    <w:rsid w:val="4E4610A1"/>
    <w:rsid w:val="4F4B58B4"/>
    <w:rsid w:val="4F734876"/>
    <w:rsid w:val="501E4BFD"/>
    <w:rsid w:val="5587376C"/>
    <w:rsid w:val="588C69A8"/>
    <w:rsid w:val="58E95FEA"/>
    <w:rsid w:val="5C3E620B"/>
    <w:rsid w:val="5D993739"/>
    <w:rsid w:val="5DAB1F64"/>
    <w:rsid w:val="606C2A77"/>
    <w:rsid w:val="60F45BE7"/>
    <w:rsid w:val="62A156F1"/>
    <w:rsid w:val="63AF3EC4"/>
    <w:rsid w:val="641E0D86"/>
    <w:rsid w:val="648A23AF"/>
    <w:rsid w:val="6A1D41BC"/>
    <w:rsid w:val="6A7B723E"/>
    <w:rsid w:val="6CD773CF"/>
    <w:rsid w:val="6F8E06AB"/>
    <w:rsid w:val="71136A90"/>
    <w:rsid w:val="739972EB"/>
    <w:rsid w:val="73DF15F2"/>
    <w:rsid w:val="748E002A"/>
    <w:rsid w:val="74AE1D28"/>
    <w:rsid w:val="77683805"/>
    <w:rsid w:val="78206C22"/>
    <w:rsid w:val="792D3904"/>
    <w:rsid w:val="798D4BFB"/>
    <w:rsid w:val="7A9274BD"/>
    <w:rsid w:val="7AFD55E3"/>
    <w:rsid w:val="7C0670B3"/>
    <w:rsid w:val="7D540579"/>
    <w:rsid w:val="7DA82479"/>
    <w:rsid w:val="7E5B5B46"/>
    <w:rsid w:val="7E747B3F"/>
    <w:rsid w:val="7F610F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ind w:left="100" w:leftChars="100" w:right="100" w:rightChars="100"/>
      <w:outlineLvl w:val="1"/>
    </w:pPr>
    <w:rPr>
      <w:rFonts w:asciiTheme="majorHAnsi" w:hAnsiTheme="majorHAnsi" w:cstheme="majorBidi"/>
      <w:b/>
      <w:bCs/>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6"/>
    <w:semiHidden/>
    <w:unhideWhenUsed/>
    <w:qFormat/>
    <w:uiPriority w:val="99"/>
    <w:rPr>
      <w:rFonts w:ascii="宋体" w:eastAsia="宋体"/>
      <w:sz w:val="18"/>
      <w:szCs w:val="18"/>
    </w:rPr>
  </w:style>
  <w:style w:type="paragraph" w:styleId="4">
    <w:name w:val="annotation text"/>
    <w:basedOn w:val="1"/>
    <w:link w:val="23"/>
    <w:semiHidden/>
    <w:unhideWhenUsed/>
    <w:qFormat/>
    <w:uiPriority w:val="99"/>
    <w:pPr>
      <w:jc w:val="left"/>
    </w:pPr>
  </w:style>
  <w:style w:type="paragraph" w:styleId="5">
    <w:name w:val="Balloon Text"/>
    <w:basedOn w:val="1"/>
    <w:link w:val="17"/>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0"/>
    <w:semiHidden/>
    <w:unhideWhenUsed/>
    <w:qFormat/>
    <w:uiPriority w:val="99"/>
    <w:pPr>
      <w:snapToGrid w:val="0"/>
      <w:jc w:val="left"/>
    </w:pPr>
    <w:rPr>
      <w:rFonts w:eastAsia="华文楷体"/>
      <w:sz w:val="18"/>
      <w:szCs w:val="18"/>
    </w:rPr>
  </w:style>
  <w:style w:type="paragraph" w:styleId="9">
    <w:name w:val="annotation subject"/>
    <w:basedOn w:val="4"/>
    <w:next w:val="4"/>
    <w:link w:val="24"/>
    <w:semiHidden/>
    <w:unhideWhenUsed/>
    <w:qFormat/>
    <w:uiPriority w:val="99"/>
    <w:rPr>
      <w:b/>
      <w:bCs/>
    </w:rPr>
  </w:style>
  <w:style w:type="character" w:styleId="12">
    <w:name w:val="annotation reference"/>
    <w:basedOn w:val="11"/>
    <w:semiHidden/>
    <w:unhideWhenUsed/>
    <w:qFormat/>
    <w:uiPriority w:val="99"/>
    <w:rPr>
      <w:sz w:val="21"/>
      <w:szCs w:val="21"/>
    </w:rPr>
  </w:style>
  <w:style w:type="character" w:styleId="13">
    <w:name w:val="footnote reference"/>
    <w:semiHidden/>
    <w:unhideWhenUsed/>
    <w:qFormat/>
    <w:uiPriority w:val="99"/>
    <w:rPr>
      <w:vertAlign w:val="superscript"/>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character" w:customStyle="1" w:styleId="16">
    <w:name w:val="文档结构图 字符"/>
    <w:basedOn w:val="11"/>
    <w:link w:val="3"/>
    <w:semiHidden/>
    <w:qFormat/>
    <w:uiPriority w:val="99"/>
    <w:rPr>
      <w:rFonts w:ascii="宋体" w:eastAsia="宋体"/>
      <w:sz w:val="18"/>
      <w:szCs w:val="18"/>
    </w:rPr>
  </w:style>
  <w:style w:type="character" w:customStyle="1" w:styleId="17">
    <w:name w:val="批注框文本 字符"/>
    <w:basedOn w:val="11"/>
    <w:link w:val="5"/>
    <w:semiHidden/>
    <w:qFormat/>
    <w:uiPriority w:val="99"/>
    <w:rPr>
      <w:sz w:val="18"/>
      <w:szCs w:val="18"/>
    </w:rPr>
  </w:style>
  <w:style w:type="paragraph" w:customStyle="1" w:styleId="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9">
    <w:name w:val="脚注文本 Char"/>
    <w:semiHidden/>
    <w:qFormat/>
    <w:uiPriority w:val="99"/>
    <w:rPr>
      <w:rFonts w:eastAsia="华文楷体"/>
      <w:sz w:val="18"/>
      <w:szCs w:val="18"/>
    </w:rPr>
  </w:style>
  <w:style w:type="character" w:customStyle="1" w:styleId="20">
    <w:name w:val="脚注文本 字符"/>
    <w:basedOn w:val="11"/>
    <w:link w:val="8"/>
    <w:semiHidden/>
    <w:qFormat/>
    <w:uiPriority w:val="99"/>
    <w:rPr>
      <w:sz w:val="18"/>
      <w:szCs w:val="18"/>
    </w:rPr>
  </w:style>
  <w:style w:type="paragraph" w:styleId="21">
    <w:name w:val="List Paragraph"/>
    <w:basedOn w:val="1"/>
    <w:qFormat/>
    <w:uiPriority w:val="34"/>
    <w:pPr>
      <w:ind w:firstLine="420" w:firstLineChars="200"/>
    </w:pPr>
    <w:rPr>
      <w:rFonts w:ascii="Times New Roman" w:hAnsi="Times New Roman" w:eastAsia="宋体" w:cs="Times New Roman"/>
      <w:szCs w:val="24"/>
    </w:rPr>
  </w:style>
  <w:style w:type="paragraph" w:customStyle="1" w:styleId="22">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3">
    <w:name w:val="批注文字 字符"/>
    <w:basedOn w:val="11"/>
    <w:link w:val="4"/>
    <w:semiHidden/>
    <w:qFormat/>
    <w:uiPriority w:val="99"/>
    <w:rPr>
      <w:rFonts w:asciiTheme="minorHAnsi" w:hAnsiTheme="minorHAnsi" w:eastAsiaTheme="minorEastAsia" w:cstheme="minorBidi"/>
      <w:kern w:val="2"/>
      <w:sz w:val="21"/>
      <w:szCs w:val="22"/>
    </w:rPr>
  </w:style>
  <w:style w:type="character" w:customStyle="1" w:styleId="24">
    <w:name w:val="批注主题 字符"/>
    <w:basedOn w:val="23"/>
    <w:link w:val="9"/>
    <w:semiHidden/>
    <w:qFormat/>
    <w:uiPriority w:val="99"/>
    <w:rPr>
      <w:rFonts w:asciiTheme="minorHAnsi" w:hAnsiTheme="minorHAnsi" w:eastAsiaTheme="minorEastAsia" w:cstheme="minorBidi"/>
      <w:b/>
      <w:bCs/>
      <w:kern w:val="2"/>
      <w:sz w:val="21"/>
      <w:szCs w:val="22"/>
    </w:rPr>
  </w:style>
  <w:style w:type="paragraph" w:customStyle="1" w:styleId="25">
    <w:name w:val="005正文"/>
    <w:qFormat/>
    <w:uiPriority w:val="99"/>
    <w:pPr>
      <w:widowControl w:val="0"/>
      <w:spacing w:before="50" w:beforeLines="50"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26">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C63F0-5463-4442-B6F8-C000103F7A4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2658</Words>
  <Characters>2835</Characters>
  <Lines>12</Lines>
  <Paragraphs>3</Paragraphs>
  <TotalTime>12</TotalTime>
  <ScaleCrop>false</ScaleCrop>
  <LinksUpToDate>false</LinksUpToDate>
  <CharactersWithSpaces>2975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2023-02-06T01:53:00Z</dcterms:created>
  <dc:creator>fangz</dc:creator>
  <cp:lastModifiedBy>沈蔡娟</cp:lastModifiedBy>
  <dcterms:modified xsi:type="dcterms:W3CDTF">2025-09-16T06:18:36Z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FDC3F2207ADE4FEA8F8E884D0B9055AB</vt:lpwstr>
  </property>
  <property fmtid="{D5CDD505-2E9C-101B-9397-08002B2CF9AE}" pid="4" name="KSOTemplateDocerSaveRecord">
    <vt:lpwstr>eyJoZGlkIjoiODhjMzM2YzNmOTE2ZjViMDYxNDA0OGY2ZmJjNjZjOWEiLCJ1c2VySWQiOiIyMTc3MDAzOTkifQ==</vt:lpwstr>
  </property>
</Properties>
</file>