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F7F93">
      <w:pPr>
        <w:keepNext/>
        <w:keepLines/>
        <w:spacing w:before="260" w:after="260" w:line="360" w:lineRule="auto"/>
        <w:outlineLvl w:val="1"/>
        <w:rPr>
          <w:rFonts w:hint="eastAsia" w:ascii="宋体" w:hAnsi="宋体"/>
          <w:b/>
          <w:bCs/>
          <w:iCs/>
          <w:sz w:val="24"/>
          <w:szCs w:val="24"/>
        </w:rPr>
      </w:pPr>
      <w:r>
        <w:rPr>
          <w:rFonts w:hint="eastAsia" w:ascii="宋体" w:hAnsi="宋体"/>
          <w:b/>
          <w:bCs/>
          <w:iCs/>
          <w:sz w:val="24"/>
          <w:szCs w:val="24"/>
        </w:rPr>
        <w:t>证券代码：688621                                证券简称：阳光诺和</w:t>
      </w:r>
    </w:p>
    <w:p w14:paraId="193C9A26">
      <w:pPr>
        <w:keepNext/>
        <w:keepLines/>
        <w:spacing w:before="20" w:after="20"/>
        <w:jc w:val="center"/>
        <w:outlineLvl w:val="1"/>
        <w:rPr>
          <w:rFonts w:hint="eastAsia" w:ascii="宋体" w:hAnsi="宋体"/>
          <w:b/>
          <w:bCs/>
          <w:sz w:val="36"/>
          <w:szCs w:val="36"/>
        </w:rPr>
      </w:pPr>
      <w:r>
        <w:rPr>
          <w:rFonts w:hint="eastAsia" w:ascii="宋体" w:hAnsi="宋体"/>
          <w:b/>
          <w:sz w:val="36"/>
          <w:szCs w:val="36"/>
        </w:rPr>
        <w:t>北京阳光诺和药物研究</w:t>
      </w:r>
      <w:r>
        <w:rPr>
          <w:rFonts w:hint="eastAsia" w:ascii="宋体" w:hAnsi="宋体"/>
          <w:b/>
          <w:bCs/>
          <w:sz w:val="36"/>
          <w:szCs w:val="36"/>
        </w:rPr>
        <w:t>股份有限公司</w:t>
      </w:r>
    </w:p>
    <w:p w14:paraId="1DE76FD4">
      <w:pPr>
        <w:keepNext/>
        <w:keepLines/>
        <w:spacing w:before="20" w:after="20"/>
        <w:jc w:val="center"/>
        <w:outlineLvl w:val="1"/>
        <w:rPr>
          <w:rFonts w:hint="eastAsia" w:ascii="宋体" w:hAnsi="宋体"/>
          <w:b/>
          <w:bCs/>
          <w:sz w:val="36"/>
          <w:szCs w:val="36"/>
        </w:rPr>
      </w:pPr>
      <w:r>
        <w:rPr>
          <w:rFonts w:hint="eastAsia" w:ascii="宋体" w:hAnsi="宋体"/>
          <w:b/>
          <w:bCs/>
          <w:sz w:val="36"/>
          <w:szCs w:val="36"/>
        </w:rPr>
        <w:t>投资者关系活动记录表</w:t>
      </w:r>
    </w:p>
    <w:p w14:paraId="1D3EAABF">
      <w:pPr>
        <w:spacing w:line="360" w:lineRule="auto"/>
        <w:jc w:val="center"/>
        <w:rPr>
          <w:rFonts w:hint="eastAsia" w:ascii="宋体" w:hAnsi="宋体"/>
          <w:b/>
          <w:iCs/>
          <w:sz w:val="24"/>
          <w:szCs w:val="24"/>
        </w:rPr>
      </w:pPr>
      <w:r>
        <w:rPr>
          <w:rFonts w:hint="eastAsia" w:ascii="宋体" w:hAnsi="宋体"/>
          <w:b/>
          <w:iCs/>
          <w:sz w:val="24"/>
          <w:szCs w:val="24"/>
        </w:rPr>
        <w:t>（20</w:t>
      </w:r>
      <w:r>
        <w:rPr>
          <w:rFonts w:ascii="宋体" w:hAnsi="宋体"/>
          <w:b/>
          <w:iCs/>
          <w:sz w:val="24"/>
          <w:szCs w:val="24"/>
        </w:rPr>
        <w:t>2</w:t>
      </w:r>
      <w:r>
        <w:rPr>
          <w:rFonts w:hint="eastAsia" w:ascii="宋体" w:hAnsi="宋体"/>
          <w:b/>
          <w:iCs/>
          <w:sz w:val="24"/>
          <w:szCs w:val="24"/>
          <w:lang w:val="en-US" w:eastAsia="zh-CN"/>
        </w:rPr>
        <w:t>5</w:t>
      </w:r>
      <w:r>
        <w:rPr>
          <w:rFonts w:hint="eastAsia" w:ascii="宋体" w:hAnsi="宋体"/>
          <w:b/>
          <w:iCs/>
          <w:sz w:val="24"/>
          <w:szCs w:val="24"/>
        </w:rPr>
        <w:t>年</w:t>
      </w:r>
      <w:r>
        <w:rPr>
          <w:rFonts w:hint="eastAsia" w:ascii="宋体" w:hAnsi="宋体"/>
          <w:b/>
          <w:iCs/>
          <w:sz w:val="24"/>
          <w:szCs w:val="24"/>
          <w:lang w:val="en-US" w:eastAsia="zh-CN"/>
        </w:rPr>
        <w:t>9</w:t>
      </w:r>
      <w:r>
        <w:rPr>
          <w:rFonts w:hint="eastAsia" w:ascii="宋体" w:hAnsi="宋体"/>
          <w:b/>
          <w:iCs/>
          <w:sz w:val="24"/>
          <w:szCs w:val="24"/>
        </w:rPr>
        <w:t>月）</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93"/>
        <w:gridCol w:w="6203"/>
      </w:tblGrid>
      <w:tr w14:paraId="2F973973">
        <w:tc>
          <w:tcPr>
            <w:tcW w:w="2093" w:type="dxa"/>
            <w:vAlign w:val="center"/>
          </w:tcPr>
          <w:p w14:paraId="199D38DD">
            <w:pPr>
              <w:spacing w:line="360" w:lineRule="auto"/>
              <w:jc w:val="center"/>
              <w:rPr>
                <w:rFonts w:hint="eastAsia" w:ascii="宋体" w:hAnsi="宋体"/>
                <w:b/>
                <w:bCs/>
                <w:iCs/>
                <w:sz w:val="24"/>
                <w:szCs w:val="24"/>
              </w:rPr>
            </w:pPr>
            <w:r>
              <w:rPr>
                <w:rFonts w:hint="eastAsia" w:ascii="宋体" w:hAnsi="宋体"/>
                <w:b/>
                <w:bCs/>
                <w:iCs/>
                <w:sz w:val="24"/>
                <w:szCs w:val="24"/>
              </w:rPr>
              <w:t>投资者关系活动类别</w:t>
            </w:r>
          </w:p>
        </w:tc>
        <w:tc>
          <w:tcPr>
            <w:tcW w:w="6203" w:type="dxa"/>
            <w:vAlign w:val="center"/>
          </w:tcPr>
          <w:p w14:paraId="4936C92A">
            <w:pPr>
              <w:spacing w:line="360" w:lineRule="auto"/>
              <w:rPr>
                <w:rFonts w:hint="eastAsia" w:ascii="宋体" w:hAnsi="宋体"/>
                <w:bCs/>
                <w:iCs/>
                <w:sz w:val="24"/>
                <w:szCs w:val="24"/>
              </w:rPr>
            </w:pPr>
            <w:r>
              <w:rPr>
                <w:rFonts w:hint="eastAsia" w:ascii="宋体" w:hAnsi="宋体"/>
                <w:bCs/>
                <w:iCs/>
                <w:sz w:val="24"/>
                <w:szCs w:val="24"/>
              </w:rPr>
              <w:sym w:font="Wingdings 2" w:char="0052"/>
            </w:r>
            <w:r>
              <w:rPr>
                <w:rFonts w:hint="eastAsia" w:ascii="宋体" w:hAnsi="宋体"/>
                <w:sz w:val="24"/>
                <w:szCs w:val="24"/>
              </w:rPr>
              <w:t xml:space="preserve">特定对象调研        </w:t>
            </w:r>
            <w:r>
              <w:rPr>
                <w:rFonts w:hint="eastAsia" w:ascii="宋体" w:hAnsi="宋体"/>
                <w:bCs/>
                <w:iCs/>
                <w:sz w:val="24"/>
                <w:szCs w:val="24"/>
              </w:rPr>
              <w:sym w:font="Wingdings 2" w:char="00A3"/>
            </w:r>
            <w:r>
              <w:rPr>
                <w:rFonts w:hint="eastAsia" w:ascii="宋体" w:hAnsi="宋体"/>
                <w:sz w:val="24"/>
                <w:szCs w:val="24"/>
              </w:rPr>
              <w:t>分析师会议</w:t>
            </w:r>
          </w:p>
          <w:p w14:paraId="39B80EF3">
            <w:pPr>
              <w:spacing w:line="360" w:lineRule="auto"/>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媒体采访            </w:t>
            </w:r>
            <w:r>
              <w:rPr>
                <w:rFonts w:hint="eastAsia" w:ascii="宋体" w:hAnsi="宋体"/>
                <w:bCs/>
                <w:iCs/>
                <w:sz w:val="24"/>
                <w:szCs w:val="24"/>
              </w:rPr>
              <w:sym w:font="Wingdings 2" w:char="00A3"/>
            </w:r>
            <w:r>
              <w:rPr>
                <w:rFonts w:hint="eastAsia" w:ascii="宋体" w:hAnsi="宋体"/>
                <w:sz w:val="24"/>
                <w:szCs w:val="24"/>
              </w:rPr>
              <w:t>业绩说明会</w:t>
            </w:r>
          </w:p>
          <w:p w14:paraId="7EBD013F">
            <w:pPr>
              <w:spacing w:line="360" w:lineRule="auto"/>
              <w:rPr>
                <w:rFonts w:hint="eastAsia" w:ascii="宋体" w:hAnsi="宋体"/>
                <w:bCs/>
                <w:iCs/>
                <w:sz w:val="24"/>
                <w:szCs w:val="24"/>
              </w:rPr>
            </w:pPr>
            <w:r>
              <w:rPr>
                <w:rFonts w:hint="eastAsia" w:ascii="宋体" w:hAnsi="宋体"/>
                <w:bCs/>
                <w:iCs/>
                <w:sz w:val="24"/>
                <w:szCs w:val="24"/>
              </w:rPr>
              <w:t>□</w:t>
            </w:r>
            <w:r>
              <w:rPr>
                <w:rFonts w:hint="eastAsia" w:ascii="宋体" w:hAnsi="宋体"/>
                <w:sz w:val="24"/>
                <w:szCs w:val="24"/>
              </w:rPr>
              <w:t xml:space="preserve">新闻发布会          </w:t>
            </w:r>
            <w:r>
              <w:rPr>
                <w:rFonts w:hint="eastAsia" w:ascii="宋体" w:hAnsi="宋体"/>
                <w:bCs/>
                <w:iCs/>
                <w:sz w:val="24"/>
                <w:szCs w:val="24"/>
              </w:rPr>
              <w:t>□</w:t>
            </w:r>
            <w:r>
              <w:rPr>
                <w:rFonts w:hint="eastAsia" w:ascii="宋体" w:hAnsi="宋体"/>
                <w:sz w:val="24"/>
                <w:szCs w:val="24"/>
              </w:rPr>
              <w:t>路演活动</w:t>
            </w:r>
          </w:p>
          <w:p w14:paraId="51719483">
            <w:pPr>
              <w:tabs>
                <w:tab w:val="left" w:pos="3045"/>
                <w:tab w:val="center" w:pos="3199"/>
              </w:tabs>
              <w:spacing w:line="360" w:lineRule="auto"/>
              <w:rPr>
                <w:rFonts w:hint="eastAsia" w:ascii="宋体" w:hAnsi="宋体"/>
                <w:bCs/>
                <w:iCs/>
                <w:sz w:val="24"/>
                <w:szCs w:val="24"/>
              </w:rPr>
            </w:pPr>
            <w:r>
              <w:rPr>
                <w:rFonts w:hint="eastAsia" w:ascii="宋体" w:hAnsi="宋体"/>
                <w:bCs/>
                <w:iCs/>
                <w:sz w:val="24"/>
                <w:szCs w:val="24"/>
              </w:rPr>
              <w:sym w:font="Wingdings 2" w:char="F0A3"/>
            </w:r>
            <w:r>
              <w:rPr>
                <w:rFonts w:hint="eastAsia" w:ascii="宋体" w:hAnsi="宋体"/>
                <w:sz w:val="24"/>
                <w:szCs w:val="24"/>
              </w:rPr>
              <w:t>现场参观</w:t>
            </w:r>
            <w:r>
              <w:rPr>
                <w:rFonts w:ascii="宋体" w:hAnsi="宋体"/>
                <w:bCs/>
                <w:iCs/>
                <w:sz w:val="24"/>
                <w:szCs w:val="24"/>
              </w:rPr>
              <w:tab/>
            </w:r>
          </w:p>
          <w:p w14:paraId="232496E4">
            <w:pPr>
              <w:tabs>
                <w:tab w:val="center" w:pos="3199"/>
              </w:tabs>
              <w:spacing w:line="360" w:lineRule="auto"/>
              <w:rPr>
                <w:rFonts w:hint="eastAsia" w:ascii="宋体" w:hAnsi="宋体"/>
                <w:bCs/>
                <w:iCs/>
                <w:sz w:val="24"/>
                <w:szCs w:val="24"/>
              </w:rPr>
            </w:pPr>
            <w:r>
              <w:rPr>
                <w:rFonts w:hint="eastAsia" w:ascii="宋体" w:hAnsi="宋体"/>
                <w:bCs/>
                <w:iCs/>
                <w:sz w:val="24"/>
                <w:szCs w:val="24"/>
              </w:rPr>
              <w:sym w:font="Wingdings 2" w:char="00A3"/>
            </w:r>
            <w:r>
              <w:rPr>
                <w:rFonts w:hint="eastAsia" w:ascii="宋体" w:hAnsi="宋体"/>
                <w:sz w:val="24"/>
                <w:szCs w:val="24"/>
              </w:rPr>
              <w:t>其他（电话会议）</w:t>
            </w:r>
          </w:p>
        </w:tc>
      </w:tr>
      <w:tr w14:paraId="622A330B">
        <w:tc>
          <w:tcPr>
            <w:tcW w:w="2093" w:type="dxa"/>
            <w:vAlign w:val="center"/>
          </w:tcPr>
          <w:p w14:paraId="72B2D1EE">
            <w:pPr>
              <w:spacing w:line="360" w:lineRule="auto"/>
              <w:jc w:val="center"/>
              <w:rPr>
                <w:rFonts w:hint="eastAsia" w:ascii="宋体" w:hAnsi="宋体"/>
                <w:b/>
                <w:bCs/>
                <w:iCs/>
                <w:sz w:val="24"/>
                <w:szCs w:val="24"/>
              </w:rPr>
            </w:pPr>
            <w:r>
              <w:rPr>
                <w:rFonts w:hint="eastAsia" w:ascii="宋体" w:hAnsi="宋体"/>
                <w:b/>
                <w:bCs/>
                <w:iCs/>
                <w:sz w:val="24"/>
                <w:szCs w:val="24"/>
              </w:rPr>
              <w:t>参与单位名称</w:t>
            </w:r>
          </w:p>
        </w:tc>
        <w:tc>
          <w:tcPr>
            <w:tcW w:w="6203" w:type="dxa"/>
          </w:tcPr>
          <w:p w14:paraId="7CE61A69">
            <w:pPr>
              <w:spacing w:line="360" w:lineRule="auto"/>
              <w:rPr>
                <w:rFonts w:hint="default" w:ascii="宋体" w:hAnsi="宋体" w:eastAsia="宋体" w:cs="宋体"/>
                <w:sz w:val="24"/>
                <w:szCs w:val="24"/>
                <w:lang w:val="en-US" w:eastAsia="zh-CN"/>
              </w:rPr>
            </w:pPr>
            <w:r>
              <w:rPr>
                <w:rFonts w:hint="eastAsia" w:ascii="宋体" w:hAnsi="宋体" w:cs="宋体"/>
                <w:sz w:val="24"/>
                <w:szCs w:val="24"/>
                <w:lang w:val="en-US" w:eastAsia="zh-CN"/>
              </w:rPr>
              <w:t>开源证券、华夏基金、华安基金、东北证券、东方资管、兴业证券、广发证券、太平洋证券、东方证券、财通基金、长盛基金、太平资产、易正朗投资、国投证券、摩根基金、西部证券、中信资管、国投瑞银、人保养老、</w:t>
            </w:r>
            <w:bookmarkStart w:id="0" w:name="_GoBack"/>
            <w:bookmarkEnd w:id="0"/>
            <w:r>
              <w:rPr>
                <w:rFonts w:hint="eastAsia" w:ascii="宋体" w:hAnsi="宋体" w:cs="宋体"/>
                <w:sz w:val="24"/>
                <w:szCs w:val="24"/>
                <w:lang w:val="en-US" w:eastAsia="zh-CN"/>
              </w:rPr>
              <w:t>华鑫证券、建信基金、国寿养老、上证资管、国泰海通证券</w:t>
            </w:r>
          </w:p>
        </w:tc>
      </w:tr>
      <w:tr w14:paraId="63BC6D09">
        <w:tc>
          <w:tcPr>
            <w:tcW w:w="2093" w:type="dxa"/>
            <w:vAlign w:val="center"/>
          </w:tcPr>
          <w:p w14:paraId="1A8094E6">
            <w:pPr>
              <w:spacing w:line="360" w:lineRule="auto"/>
              <w:jc w:val="center"/>
              <w:rPr>
                <w:rFonts w:hint="eastAsia" w:ascii="宋体" w:hAnsi="宋体"/>
                <w:b/>
                <w:bCs/>
                <w:iCs/>
                <w:sz w:val="24"/>
                <w:szCs w:val="24"/>
              </w:rPr>
            </w:pPr>
            <w:r>
              <w:rPr>
                <w:rFonts w:hint="eastAsia" w:ascii="宋体" w:hAnsi="宋体"/>
                <w:b/>
                <w:bCs/>
                <w:iCs/>
                <w:sz w:val="24"/>
                <w:szCs w:val="24"/>
              </w:rPr>
              <w:t>时间</w:t>
            </w:r>
          </w:p>
        </w:tc>
        <w:tc>
          <w:tcPr>
            <w:tcW w:w="6203" w:type="dxa"/>
          </w:tcPr>
          <w:p w14:paraId="326BC5A2">
            <w:pPr>
              <w:spacing w:line="360" w:lineRule="auto"/>
              <w:rPr>
                <w:rFonts w:hint="default" w:ascii="宋体" w:hAnsi="宋体" w:eastAsia="宋体"/>
                <w:bCs/>
                <w:iCs/>
                <w:sz w:val="24"/>
                <w:szCs w:val="24"/>
                <w:lang w:val="en-US" w:eastAsia="zh-CN"/>
              </w:rPr>
            </w:pPr>
            <w:r>
              <w:rPr>
                <w:rFonts w:hint="eastAsia" w:ascii="宋体" w:hAnsi="宋体"/>
                <w:bCs/>
                <w:iCs/>
                <w:sz w:val="24"/>
                <w:szCs w:val="24"/>
              </w:rPr>
              <w:t>20</w:t>
            </w:r>
            <w:r>
              <w:rPr>
                <w:rFonts w:ascii="宋体" w:hAnsi="宋体"/>
                <w:bCs/>
                <w:iCs/>
                <w:sz w:val="24"/>
                <w:szCs w:val="24"/>
              </w:rPr>
              <w:t>2</w:t>
            </w:r>
            <w:r>
              <w:rPr>
                <w:rFonts w:hint="eastAsia" w:ascii="宋体" w:hAnsi="宋体"/>
                <w:bCs/>
                <w:iCs/>
                <w:sz w:val="24"/>
                <w:szCs w:val="24"/>
                <w:lang w:val="en-US" w:eastAsia="zh-CN"/>
              </w:rPr>
              <w:t>5</w:t>
            </w:r>
            <w:r>
              <w:rPr>
                <w:rFonts w:hint="eastAsia" w:ascii="宋体" w:hAnsi="宋体"/>
                <w:bCs/>
                <w:iCs/>
                <w:sz w:val="24"/>
                <w:szCs w:val="24"/>
              </w:rPr>
              <w:t>年</w:t>
            </w:r>
            <w:r>
              <w:rPr>
                <w:rFonts w:hint="eastAsia" w:ascii="宋体" w:hAnsi="宋体"/>
                <w:bCs/>
                <w:iCs/>
                <w:sz w:val="24"/>
                <w:szCs w:val="24"/>
                <w:lang w:val="en-US" w:eastAsia="zh-CN"/>
              </w:rPr>
              <w:t>9</w:t>
            </w:r>
            <w:r>
              <w:rPr>
                <w:rFonts w:hint="eastAsia" w:ascii="宋体" w:hAnsi="宋体"/>
                <w:bCs/>
                <w:iCs/>
                <w:sz w:val="24"/>
                <w:szCs w:val="24"/>
              </w:rPr>
              <w:t>月</w:t>
            </w:r>
            <w:r>
              <w:rPr>
                <w:rFonts w:hint="eastAsia" w:ascii="宋体" w:hAnsi="宋体"/>
                <w:bCs/>
                <w:iCs/>
                <w:sz w:val="24"/>
                <w:szCs w:val="24"/>
                <w:lang w:val="en-US" w:eastAsia="zh-CN"/>
              </w:rPr>
              <w:t>15-16</w:t>
            </w:r>
            <w:r>
              <w:rPr>
                <w:rFonts w:hint="eastAsia" w:ascii="宋体" w:hAnsi="宋体"/>
                <w:bCs/>
                <w:iCs/>
                <w:sz w:val="24"/>
                <w:szCs w:val="24"/>
              </w:rPr>
              <w:t>日</w:t>
            </w:r>
          </w:p>
        </w:tc>
      </w:tr>
      <w:tr w14:paraId="2448A6CD">
        <w:tc>
          <w:tcPr>
            <w:tcW w:w="2093" w:type="dxa"/>
            <w:vAlign w:val="center"/>
          </w:tcPr>
          <w:p w14:paraId="3FEB7A8D">
            <w:pPr>
              <w:spacing w:line="360" w:lineRule="auto"/>
              <w:jc w:val="center"/>
              <w:rPr>
                <w:rFonts w:hint="eastAsia" w:ascii="宋体" w:hAnsi="宋体"/>
                <w:b/>
                <w:bCs/>
                <w:iCs/>
                <w:sz w:val="24"/>
                <w:szCs w:val="24"/>
              </w:rPr>
            </w:pPr>
            <w:r>
              <w:rPr>
                <w:rFonts w:hint="eastAsia" w:ascii="宋体" w:hAnsi="宋体"/>
                <w:b/>
                <w:bCs/>
                <w:iCs/>
                <w:sz w:val="24"/>
                <w:szCs w:val="24"/>
              </w:rPr>
              <w:t>参会方式</w:t>
            </w:r>
          </w:p>
        </w:tc>
        <w:tc>
          <w:tcPr>
            <w:tcW w:w="6203" w:type="dxa"/>
          </w:tcPr>
          <w:p w14:paraId="4C5F5090">
            <w:pPr>
              <w:spacing w:line="360" w:lineRule="auto"/>
              <w:rPr>
                <w:rFonts w:hint="eastAsia" w:ascii="宋体" w:hAnsi="宋体"/>
                <w:bCs/>
                <w:iCs/>
                <w:sz w:val="24"/>
                <w:szCs w:val="24"/>
              </w:rPr>
            </w:pPr>
            <w:r>
              <w:rPr>
                <w:rFonts w:hint="eastAsia" w:ascii="宋体" w:hAnsi="宋体"/>
                <w:bCs/>
                <w:iCs/>
                <w:sz w:val="24"/>
                <w:szCs w:val="24"/>
                <w:lang w:val="en-US" w:eastAsia="zh-CN"/>
              </w:rPr>
              <w:t>线下</w:t>
            </w:r>
            <w:r>
              <w:rPr>
                <w:rFonts w:hint="eastAsia" w:ascii="宋体" w:hAnsi="宋体"/>
                <w:bCs/>
                <w:iCs/>
                <w:sz w:val="24"/>
                <w:szCs w:val="24"/>
              </w:rPr>
              <w:t>会议</w:t>
            </w:r>
          </w:p>
        </w:tc>
      </w:tr>
      <w:tr w14:paraId="2200319B">
        <w:tc>
          <w:tcPr>
            <w:tcW w:w="2093" w:type="dxa"/>
            <w:vAlign w:val="center"/>
          </w:tcPr>
          <w:p w14:paraId="25249036">
            <w:pPr>
              <w:spacing w:line="360" w:lineRule="auto"/>
              <w:jc w:val="center"/>
              <w:rPr>
                <w:rFonts w:hint="eastAsia" w:ascii="宋体" w:hAnsi="宋体"/>
                <w:b/>
                <w:bCs/>
                <w:iCs/>
                <w:sz w:val="24"/>
                <w:szCs w:val="24"/>
              </w:rPr>
            </w:pPr>
            <w:r>
              <w:rPr>
                <w:rFonts w:hint="eastAsia" w:ascii="宋体" w:hAnsi="宋体"/>
                <w:b/>
                <w:bCs/>
                <w:iCs/>
                <w:sz w:val="24"/>
                <w:szCs w:val="24"/>
              </w:rPr>
              <w:t>上市公司接待人员姓名</w:t>
            </w:r>
          </w:p>
        </w:tc>
        <w:tc>
          <w:tcPr>
            <w:tcW w:w="6203" w:type="dxa"/>
            <w:vAlign w:val="center"/>
          </w:tcPr>
          <w:p w14:paraId="3DF08B4D">
            <w:pPr>
              <w:spacing w:line="360" w:lineRule="auto"/>
              <w:rPr>
                <w:rFonts w:hint="default" w:ascii="宋体" w:hAnsi="宋体"/>
                <w:bCs/>
                <w:iCs/>
                <w:sz w:val="24"/>
                <w:szCs w:val="24"/>
                <w:lang w:val="en-US" w:eastAsia="zh-CN"/>
              </w:rPr>
            </w:pPr>
            <w:r>
              <w:rPr>
                <w:rFonts w:hint="eastAsia" w:ascii="宋体" w:hAnsi="宋体"/>
                <w:bCs/>
                <w:iCs/>
                <w:sz w:val="24"/>
                <w:szCs w:val="24"/>
                <w:lang w:val="en-US" w:eastAsia="zh-CN"/>
              </w:rPr>
              <w:t>董事会秘书：魏丽萍女士</w:t>
            </w:r>
          </w:p>
          <w:p w14:paraId="5422822E">
            <w:pPr>
              <w:spacing w:line="360" w:lineRule="auto"/>
              <w:rPr>
                <w:rFonts w:hint="default" w:ascii="宋体" w:hAnsi="宋体"/>
                <w:bCs/>
                <w:iCs/>
                <w:sz w:val="24"/>
                <w:szCs w:val="24"/>
                <w:lang w:val="en-US"/>
              </w:rPr>
            </w:pPr>
            <w:r>
              <w:rPr>
                <w:rFonts w:hint="eastAsia" w:ascii="宋体" w:hAnsi="宋体"/>
                <w:bCs/>
                <w:iCs/>
                <w:sz w:val="24"/>
                <w:szCs w:val="24"/>
                <w:lang w:val="en-US" w:eastAsia="zh-CN"/>
              </w:rPr>
              <w:t>投资者关系总监</w:t>
            </w:r>
            <w:r>
              <w:rPr>
                <w:rFonts w:hint="eastAsia" w:ascii="宋体" w:hAnsi="宋体"/>
                <w:sz w:val="24"/>
                <w:lang w:eastAsia="zh-CN"/>
              </w:rPr>
              <w:t>：</w:t>
            </w:r>
            <w:r>
              <w:rPr>
                <w:rFonts w:hint="eastAsia" w:ascii="宋体" w:hAnsi="宋体"/>
                <w:bCs/>
                <w:iCs/>
                <w:sz w:val="24"/>
                <w:szCs w:val="24"/>
                <w:lang w:val="en-US" w:eastAsia="zh-CN"/>
              </w:rPr>
              <w:t>郭心驰女士</w:t>
            </w:r>
          </w:p>
        </w:tc>
      </w:tr>
      <w:tr w14:paraId="276D98E0">
        <w:tc>
          <w:tcPr>
            <w:tcW w:w="2093" w:type="dxa"/>
            <w:vAlign w:val="center"/>
          </w:tcPr>
          <w:p w14:paraId="0394FAC4">
            <w:pPr>
              <w:spacing w:line="360" w:lineRule="auto"/>
              <w:jc w:val="center"/>
              <w:rPr>
                <w:rFonts w:hint="eastAsia" w:ascii="宋体" w:hAnsi="宋体"/>
                <w:b/>
                <w:bCs/>
                <w:iCs/>
                <w:sz w:val="24"/>
                <w:szCs w:val="24"/>
              </w:rPr>
            </w:pPr>
            <w:r>
              <w:rPr>
                <w:rFonts w:hint="eastAsia" w:ascii="宋体" w:hAnsi="宋体"/>
                <w:b/>
                <w:bCs/>
                <w:iCs/>
                <w:sz w:val="24"/>
                <w:szCs w:val="24"/>
              </w:rPr>
              <w:t>投资者关系活动主要内容介绍</w:t>
            </w:r>
          </w:p>
        </w:tc>
        <w:tc>
          <w:tcPr>
            <w:tcW w:w="6203" w:type="dxa"/>
          </w:tcPr>
          <w:p w14:paraId="1DF44911">
            <w:pPr>
              <w:numPr>
                <w:ilvl w:val="255"/>
                <w:numId w:val="0"/>
              </w:numPr>
              <w:spacing w:before="156" w:beforeLines="50" w:line="360" w:lineRule="auto"/>
              <w:ind w:firstLine="480" w:firstLineChars="200"/>
              <w:rPr>
                <w:sz w:val="24"/>
              </w:rPr>
            </w:pPr>
            <w:r>
              <w:rPr>
                <w:rFonts w:hint="eastAsia"/>
                <w:sz w:val="24"/>
              </w:rPr>
              <w:t>一、公司介绍环节</w:t>
            </w:r>
          </w:p>
          <w:p w14:paraId="7B9DA2E2">
            <w:pPr>
              <w:numPr>
                <w:ilvl w:val="255"/>
                <w:numId w:val="0"/>
              </w:numPr>
              <w:spacing w:before="156" w:beforeLines="50" w:line="360" w:lineRule="auto"/>
              <w:ind w:firstLine="480" w:firstLineChars="200"/>
              <w:rPr>
                <w:rFonts w:hint="eastAsia"/>
                <w:kern w:val="0"/>
                <w:sz w:val="24"/>
                <w:lang w:val="en-US" w:eastAsia="zh-CN"/>
              </w:rPr>
            </w:pPr>
            <w:r>
              <w:rPr>
                <w:rFonts w:hint="eastAsia"/>
                <w:sz w:val="24"/>
              </w:rPr>
              <w:t>公司是一家专业的药物临床前及临床综合研发服务 CRO，为国内医药企业和科研机构提供全方位的一站式药物研发服务，致力于协助国内医药制造企业加速实现进口替代和自主创新。服务内容主要包括药物发现、药理药效、药学研究、临床研究和生物分析。</w:t>
            </w:r>
            <w:r>
              <w:rPr>
                <w:rFonts w:hint="eastAsia" w:ascii="Times New Roman" w:hAnsi="Times New Roman" w:eastAsia="宋体" w:cs="Times New Roman"/>
                <w:sz w:val="24"/>
                <w:szCs w:val="24"/>
              </w:rPr>
              <w:t>作为一家专注于药物创新研发的综合性企业，阳光诺和通过“研发服务+管线培育+新质产业链”三位一体战略，在自研创新、技术升级及全球化布局上实现多重突破，展现出从CRO“委托方”向创新驱动型“合作方”转型的强劲势能。</w:t>
            </w:r>
          </w:p>
          <w:p w14:paraId="3C74F722">
            <w:pPr>
              <w:numPr>
                <w:ilvl w:val="255"/>
                <w:numId w:val="0"/>
              </w:numPr>
              <w:spacing w:before="156" w:beforeLines="50" w:line="360" w:lineRule="auto"/>
              <w:ind w:firstLine="480" w:firstLineChars="200"/>
              <w:rPr>
                <w:rFonts w:hint="default"/>
                <w:sz w:val="24"/>
                <w:lang w:val="en-US" w:eastAsia="zh-CN"/>
              </w:rPr>
            </w:pPr>
            <w:r>
              <w:rPr>
                <w:rFonts w:hint="eastAsia" w:ascii="Times New Roman" w:hAnsi="Times New Roman" w:eastAsia="宋体" w:cs="Times New Roman"/>
                <w:sz w:val="24"/>
                <w:szCs w:val="24"/>
                <w:lang w:bidi="ar"/>
              </w:rPr>
              <w:t>202</w:t>
            </w:r>
            <w:r>
              <w:rPr>
                <w:rFonts w:hint="eastAsia" w:ascii="Times New Roman" w:hAnsi="Times New Roman" w:eastAsia="宋体" w:cs="Times New Roman"/>
                <w:sz w:val="24"/>
                <w:szCs w:val="24"/>
                <w:lang w:val="en-US" w:eastAsia="zh-CN" w:bidi="ar"/>
              </w:rPr>
              <w:t>5</w:t>
            </w:r>
            <w:r>
              <w:rPr>
                <w:rFonts w:hint="eastAsia" w:ascii="Times New Roman" w:hAnsi="Times New Roman" w:eastAsia="宋体" w:cs="Times New Roman"/>
                <w:sz w:val="24"/>
                <w:szCs w:val="24"/>
                <w:lang w:bidi="ar"/>
              </w:rPr>
              <w:t>年</w:t>
            </w:r>
            <w:r>
              <w:rPr>
                <w:rFonts w:hint="eastAsia" w:ascii="Times New Roman" w:hAnsi="Times New Roman" w:eastAsia="宋体" w:cs="Times New Roman"/>
                <w:sz w:val="24"/>
                <w:szCs w:val="24"/>
                <w:lang w:val="en-US" w:eastAsia="zh-CN" w:bidi="ar"/>
              </w:rPr>
              <w:t>上半年</w:t>
            </w:r>
            <w:r>
              <w:rPr>
                <w:rFonts w:hint="eastAsia" w:ascii="Times New Roman" w:hAnsi="Times New Roman" w:eastAsia="宋体" w:cs="Times New Roman"/>
                <w:sz w:val="24"/>
                <w:szCs w:val="24"/>
                <w:lang w:bidi="ar"/>
              </w:rPr>
              <w:t>公司实现营业收入</w:t>
            </w:r>
            <w:r>
              <w:rPr>
                <w:rFonts w:hint="eastAsia" w:ascii="Times New Roman" w:hAnsi="Times New Roman" w:eastAsia="宋体" w:cs="Times New Roman"/>
                <w:sz w:val="24"/>
                <w:szCs w:val="24"/>
                <w:lang w:val="en-US" w:eastAsia="zh-CN" w:bidi="ar"/>
              </w:rPr>
              <w:t>5.90</w:t>
            </w:r>
            <w:r>
              <w:rPr>
                <w:rFonts w:hint="eastAsia" w:ascii="Times New Roman" w:hAnsi="Times New Roman" w:eastAsia="宋体" w:cs="Times New Roman"/>
                <w:sz w:val="24"/>
                <w:szCs w:val="24"/>
                <w:lang w:bidi="ar"/>
              </w:rPr>
              <w:t>亿元，同比增长</w:t>
            </w:r>
            <w:r>
              <w:rPr>
                <w:rFonts w:hint="eastAsia" w:ascii="Times New Roman" w:hAnsi="Times New Roman" w:eastAsia="宋体" w:cs="Times New Roman"/>
                <w:sz w:val="24"/>
                <w:szCs w:val="24"/>
                <w:lang w:val="en-US" w:eastAsia="zh-CN" w:bidi="ar"/>
              </w:rPr>
              <w:t>4.87</w:t>
            </w:r>
            <w:r>
              <w:rPr>
                <w:rFonts w:hint="eastAsia" w:ascii="Times New Roman" w:hAnsi="Times New Roman" w:eastAsia="宋体" w:cs="Times New Roman"/>
                <w:sz w:val="24"/>
                <w:szCs w:val="24"/>
                <w:lang w:bidi="ar"/>
              </w:rPr>
              <w:t>%；</w:t>
            </w:r>
            <w:r>
              <w:rPr>
                <w:rFonts w:hint="eastAsia" w:ascii="Times New Roman" w:hAnsi="Times New Roman" w:eastAsia="宋体" w:cs="Times New Roman"/>
                <w:sz w:val="24"/>
                <w:szCs w:val="24"/>
                <w:lang w:val="en-US" w:eastAsia="zh-CN" w:bidi="ar"/>
              </w:rPr>
              <w:t>报告期内，公司</w:t>
            </w:r>
            <w:r>
              <w:rPr>
                <w:rFonts w:hint="eastAsia" w:ascii="Times New Roman" w:hAnsi="Times New Roman" w:eastAsia="宋体" w:cs="Times New Roman"/>
                <w:sz w:val="24"/>
                <w:szCs w:val="24"/>
                <w:lang w:bidi="ar"/>
              </w:rPr>
              <w:t>研发费用为</w:t>
            </w:r>
            <w:r>
              <w:rPr>
                <w:rFonts w:hint="eastAsia" w:ascii="Times New Roman" w:hAnsi="Times New Roman" w:eastAsia="宋体" w:cs="Times New Roman"/>
                <w:sz w:val="24"/>
                <w:szCs w:val="24"/>
                <w:lang w:val="en-US" w:eastAsia="zh-CN" w:bidi="ar"/>
              </w:rPr>
              <w:t>7,626.90</w:t>
            </w:r>
            <w:r>
              <w:rPr>
                <w:rFonts w:hint="eastAsia" w:ascii="Times New Roman" w:hAnsi="Times New Roman" w:eastAsia="宋体" w:cs="Times New Roman"/>
                <w:sz w:val="24"/>
                <w:szCs w:val="24"/>
                <w:lang w:bidi="ar"/>
              </w:rPr>
              <w:t>万元，同比增长</w:t>
            </w:r>
            <w:r>
              <w:rPr>
                <w:rFonts w:hint="eastAsia" w:ascii="Times New Roman" w:hAnsi="Times New Roman" w:eastAsia="宋体" w:cs="Times New Roman"/>
                <w:sz w:val="24"/>
                <w:szCs w:val="24"/>
                <w:lang w:val="en-US" w:eastAsia="zh-CN" w:bidi="ar"/>
              </w:rPr>
              <w:t>10.39</w:t>
            </w:r>
            <w:r>
              <w:rPr>
                <w:rFonts w:hint="eastAsia" w:ascii="Times New Roman" w:hAnsi="Times New Roman" w:eastAsia="宋体" w:cs="Times New Roman"/>
                <w:sz w:val="24"/>
                <w:szCs w:val="24"/>
                <w:lang w:bidi="ar"/>
              </w:rPr>
              <w:t>%，</w:t>
            </w:r>
            <w:r>
              <w:rPr>
                <w:rFonts w:hint="default"/>
                <w:sz w:val="24"/>
                <w:lang w:val="en-US" w:eastAsia="zh-CN"/>
              </w:rPr>
              <w:t>研发创新方面，公司不断加大研发投入，</w:t>
            </w:r>
            <w:r>
              <w:rPr>
                <w:rFonts w:hint="eastAsia" w:ascii="Times New Roman" w:hAnsi="Times New Roman" w:eastAsia="宋体" w:cs="Times New Roman"/>
                <w:sz w:val="24"/>
                <w:szCs w:val="24"/>
                <w:lang w:bidi="ar"/>
              </w:rPr>
              <w:t>研发费用占营业收入的比例为</w:t>
            </w:r>
            <w:r>
              <w:rPr>
                <w:rFonts w:hint="eastAsia" w:ascii="Times New Roman" w:hAnsi="Times New Roman" w:eastAsia="宋体" w:cs="Times New Roman"/>
                <w:sz w:val="24"/>
                <w:szCs w:val="24"/>
                <w:lang w:val="en-US" w:eastAsia="zh-CN" w:bidi="ar"/>
              </w:rPr>
              <w:t>12.92</w:t>
            </w:r>
            <w:r>
              <w:rPr>
                <w:rFonts w:hint="eastAsia" w:ascii="Times New Roman" w:hAnsi="Times New Roman" w:eastAsia="宋体" w:cs="Times New Roman"/>
                <w:sz w:val="24"/>
                <w:szCs w:val="24"/>
                <w:lang w:bidi="ar"/>
              </w:rPr>
              <w:t>%，</w:t>
            </w:r>
            <w:r>
              <w:rPr>
                <w:rFonts w:hint="eastAsia" w:cs="Times New Roman"/>
                <w:sz w:val="24"/>
                <w:szCs w:val="24"/>
                <w:lang w:val="en-US" w:eastAsia="zh-CN" w:bidi="ar"/>
              </w:rPr>
              <w:t>创新药在研管线20+条，</w:t>
            </w:r>
            <w:r>
              <w:rPr>
                <w:rFonts w:hint="eastAsia" w:ascii="Times New Roman" w:hAnsi="Times New Roman" w:eastAsia="宋体" w:cs="Times New Roman"/>
                <w:sz w:val="24"/>
                <w:szCs w:val="24"/>
                <w:lang w:bidi="ar"/>
              </w:rPr>
              <w:t>研发项目累计已超4</w:t>
            </w:r>
            <w:r>
              <w:rPr>
                <w:rFonts w:hint="eastAsia" w:ascii="Times New Roman" w:hAnsi="Times New Roman" w:eastAsia="宋体" w:cs="Times New Roman"/>
                <w:sz w:val="24"/>
                <w:szCs w:val="24"/>
                <w:lang w:val="en-US" w:eastAsia="zh-CN" w:bidi="ar"/>
              </w:rPr>
              <w:t>6</w:t>
            </w:r>
            <w:r>
              <w:rPr>
                <w:rFonts w:hint="eastAsia" w:ascii="Times New Roman" w:hAnsi="Times New Roman" w:eastAsia="宋体" w:cs="Times New Roman"/>
                <w:sz w:val="24"/>
                <w:szCs w:val="24"/>
                <w:lang w:bidi="ar"/>
              </w:rPr>
              <w:t>0项。</w:t>
            </w:r>
            <w:r>
              <w:rPr>
                <w:rFonts w:hint="default"/>
                <w:sz w:val="24"/>
                <w:lang w:val="en-US" w:eastAsia="zh-CN"/>
              </w:rPr>
              <w:t>在创新药研发方面在研产品主要应用在镇痛、肾病与透析、肿瘤辅助、心脑血管、抗菌用药等适应症领域，并有多个创新药在研项目在国内无相同产品上市，竞争格局良好，极具市场价值。后续随着这些药品上市，将为公司拓展更多临床应用场景提供可能性。例如在多肽领域</w:t>
            </w:r>
            <w:r>
              <w:rPr>
                <w:rFonts w:hint="eastAsia"/>
                <w:sz w:val="24"/>
                <w:lang w:val="en-US" w:eastAsia="zh-CN"/>
              </w:rPr>
              <w:t>，</w:t>
            </w:r>
            <w:r>
              <w:rPr>
                <w:rFonts w:hint="default"/>
                <w:sz w:val="24"/>
                <w:lang w:val="en-US" w:eastAsia="zh-CN"/>
              </w:rPr>
              <w:t>公司目前已有3个适应症管线进入临床</w:t>
            </w:r>
            <w:r>
              <w:rPr>
                <w:rFonts w:hint="eastAsia"/>
                <w:sz w:val="24"/>
                <w:lang w:val="en-US" w:eastAsia="zh-CN"/>
              </w:rPr>
              <w:t>，</w:t>
            </w:r>
            <w:r>
              <w:rPr>
                <w:rFonts w:hint="default"/>
                <w:sz w:val="24"/>
                <w:lang w:val="en-US" w:eastAsia="zh-CN"/>
              </w:rPr>
              <w:t>其中STC007注射液目前具有手术</w:t>
            </w:r>
            <w:r>
              <w:rPr>
                <w:rFonts w:hint="eastAsia"/>
                <w:sz w:val="24"/>
                <w:lang w:val="en-US" w:eastAsia="zh-CN"/>
              </w:rPr>
              <w:t>后</w:t>
            </w:r>
            <w:r>
              <w:rPr>
                <w:rFonts w:hint="default"/>
                <w:sz w:val="24"/>
                <w:lang w:val="en-US" w:eastAsia="zh-CN"/>
              </w:rPr>
              <w:t>镇痛和尿毒症瘙痒两个适应症</w:t>
            </w:r>
            <w:r>
              <w:rPr>
                <w:rFonts w:hint="eastAsia"/>
                <w:sz w:val="24"/>
                <w:lang w:val="en-US" w:eastAsia="zh-CN"/>
              </w:rPr>
              <w:t>，手术后镇痛适应症II期临床试验已圆满达成预期目标，III期临床试验正按既定计划有序推进。STC007注射液治疗</w:t>
            </w:r>
            <w:r>
              <w:rPr>
                <w:rFonts w:hint="default"/>
                <w:sz w:val="24"/>
                <w:lang w:val="en-US" w:eastAsia="zh-CN"/>
              </w:rPr>
              <w:t>尿毒症瘙痒</w:t>
            </w:r>
            <w:r>
              <w:rPr>
                <w:rFonts w:hint="eastAsia"/>
                <w:sz w:val="24"/>
                <w:lang w:val="en-US" w:eastAsia="zh-CN"/>
              </w:rPr>
              <w:t>适应症也</w:t>
            </w:r>
            <w:r>
              <w:rPr>
                <w:rFonts w:hint="default"/>
                <w:sz w:val="24"/>
                <w:lang w:val="en-US" w:eastAsia="zh-CN"/>
              </w:rPr>
              <w:t>已进入二期临床试验阶段，</w:t>
            </w:r>
            <w:r>
              <w:rPr>
                <w:rFonts w:hint="eastAsia"/>
                <w:sz w:val="24"/>
                <w:lang w:val="en-US" w:eastAsia="zh-CN"/>
              </w:rPr>
              <w:t>同时</w:t>
            </w:r>
            <w:r>
              <w:rPr>
                <w:rFonts w:hint="default"/>
                <w:sz w:val="24"/>
                <w:lang w:val="en-US" w:eastAsia="zh-CN"/>
              </w:rPr>
              <w:t>STC008注射液已进入一期临床试验阶段，其主要适应症为治疗晚期实体瘤相关的肿瘤恶液质，其他管线在临床前研究不同阶段，进展顺利。</w:t>
            </w:r>
          </w:p>
          <w:p w14:paraId="5CC9A466">
            <w:pPr>
              <w:numPr>
                <w:ilvl w:val="255"/>
                <w:numId w:val="0"/>
              </w:numPr>
              <w:spacing w:before="156" w:beforeLines="50" w:line="360" w:lineRule="auto"/>
              <w:ind w:firstLine="480" w:firstLineChars="200"/>
              <w:rPr>
                <w:rFonts w:hint="default"/>
                <w:sz w:val="24"/>
                <w:lang w:val="en-US" w:eastAsia="zh-CN"/>
              </w:rPr>
            </w:pPr>
            <w:r>
              <w:rPr>
                <w:rFonts w:hint="eastAsia" w:ascii="宋体" w:hAnsi="宋体"/>
                <w:b/>
                <w:iCs/>
                <w:sz w:val="24"/>
                <w:szCs w:val="24"/>
              </w:rPr>
              <w:t>二、问答环节</w:t>
            </w:r>
          </w:p>
          <w:p w14:paraId="3321A73D">
            <w:pPr>
              <w:numPr>
                <w:ilvl w:val="0"/>
                <w:numId w:val="1"/>
              </w:numPr>
              <w:spacing w:before="156" w:beforeLines="50" w:line="360" w:lineRule="auto"/>
              <w:ind w:left="425" w:leftChars="0" w:firstLine="1" w:firstLineChars="0"/>
              <w:rPr>
                <w:rFonts w:hint="eastAsia" w:ascii="宋体" w:hAnsi="宋体"/>
                <w:b w:val="0"/>
                <w:bCs/>
                <w:iCs/>
                <w:sz w:val="24"/>
                <w:szCs w:val="24"/>
                <w:lang w:val="en-US" w:eastAsia="zh-CN"/>
              </w:rPr>
            </w:pPr>
            <w:r>
              <w:rPr>
                <w:rFonts w:hint="eastAsia"/>
                <w:b/>
                <w:iCs/>
                <w:sz w:val="24"/>
                <w:szCs w:val="24"/>
                <w:lang w:val="en-US" w:eastAsia="zh-CN"/>
              </w:rPr>
              <w:t>公司在多肽领域的研发优势？</w:t>
            </w:r>
          </w:p>
          <w:p w14:paraId="6A496777">
            <w:pPr>
              <w:keepNext w:val="0"/>
              <w:keepLines w:val="0"/>
              <w:pageBreakBefore w:val="0"/>
              <w:widowControl w:val="0"/>
              <w:numPr>
                <w:ilvl w:val="255"/>
                <w:numId w:val="0"/>
              </w:numPr>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b w:val="0"/>
                <w:bCs/>
                <w:iCs/>
                <w:sz w:val="24"/>
                <w:szCs w:val="24"/>
                <w:lang w:val="en-US" w:eastAsia="zh-CN"/>
              </w:rPr>
            </w:pPr>
            <w:r>
              <w:rPr>
                <w:rFonts w:hint="eastAsia" w:ascii="宋体" w:hAnsi="宋体"/>
                <w:b w:val="0"/>
                <w:bCs/>
                <w:iCs/>
                <w:sz w:val="24"/>
                <w:szCs w:val="24"/>
                <w:lang w:val="en-US" w:eastAsia="zh-CN"/>
              </w:rPr>
              <w:t>公司在多肽以及多肽偶联药物具有多年开发经验，已建立iCVETide®多肽新药发现技术平台，专注于类肽创新药的深入挖掘。在多肽偶联药物方面，公司掌握多肽偶联PDC药物的关键技术，包括靶向多肽序列、连接子类别及连接位点等，实现了多肽类分子与靶蛋白模拟对接的计算机辅助药物分子设计（CADD）和大规模化合物库的虚拟筛选，开展多肽分子与靶蛋白的精确动力学模拟和分子对接实验。</w:t>
            </w:r>
          </w:p>
          <w:p w14:paraId="2C9225E9">
            <w:pPr>
              <w:keepNext w:val="0"/>
              <w:keepLines w:val="0"/>
              <w:pageBreakBefore w:val="0"/>
              <w:widowControl w:val="0"/>
              <w:numPr>
                <w:ilvl w:val="255"/>
                <w:numId w:val="0"/>
              </w:numPr>
              <w:kinsoku/>
              <w:wordWrap/>
              <w:overflowPunct/>
              <w:topLinePunct w:val="0"/>
              <w:autoSpaceDE/>
              <w:autoSpaceDN/>
              <w:bidi w:val="0"/>
              <w:adjustRightInd/>
              <w:snapToGrid/>
              <w:spacing w:before="156" w:beforeLines="50" w:line="360" w:lineRule="auto"/>
              <w:ind w:firstLine="480" w:firstLineChars="200"/>
              <w:textAlignment w:val="auto"/>
              <w:rPr>
                <w:rFonts w:hint="eastAsia" w:ascii="宋体" w:hAnsi="宋体"/>
                <w:b w:val="0"/>
                <w:bCs/>
                <w:iCs/>
                <w:sz w:val="24"/>
                <w:szCs w:val="24"/>
                <w:lang w:val="en-US" w:eastAsia="zh-CN"/>
              </w:rPr>
            </w:pPr>
            <w:r>
              <w:rPr>
                <w:rFonts w:hint="eastAsia" w:ascii="宋体" w:hAnsi="宋体"/>
                <w:b w:val="0"/>
                <w:bCs/>
                <w:iCs/>
                <w:sz w:val="24"/>
                <w:szCs w:val="24"/>
                <w:lang w:val="en-US" w:eastAsia="zh-CN"/>
              </w:rPr>
              <w:t>结合人工智能技术，公司多肽创新药物研发平台通过与华为云的合作，开发基于盘古大模型的AI多肽分子发现平台，整合iCVETide®在分子发现与优化方面的能力，建立基于庞大多肽类肽数据库的亲和力模型、条件生成模型、力场模型等。AI赋能将加速多肽和多肽偶联创新药物的研发进度，提升研发效率、节约开发成本，并有望在全球范围内开发出具有领先意义的创新药物分子。</w:t>
            </w:r>
          </w:p>
          <w:p w14:paraId="404DB656">
            <w:pPr>
              <w:keepNext w:val="0"/>
              <w:keepLines w:val="0"/>
              <w:pageBreakBefore w:val="0"/>
              <w:widowControl w:val="0"/>
              <w:numPr>
                <w:ilvl w:val="255"/>
                <w:numId w:val="0"/>
              </w:numPr>
              <w:kinsoku/>
              <w:wordWrap/>
              <w:overflowPunct/>
              <w:topLinePunct w:val="0"/>
              <w:autoSpaceDE/>
              <w:autoSpaceDN/>
              <w:bidi w:val="0"/>
              <w:adjustRightInd/>
              <w:snapToGrid/>
              <w:spacing w:before="156" w:beforeLines="50" w:line="360" w:lineRule="auto"/>
              <w:ind w:firstLine="480" w:firstLineChars="200"/>
              <w:textAlignment w:val="auto"/>
              <w:rPr>
                <w:rFonts w:hint="eastAsia"/>
                <w:b/>
                <w:sz w:val="24"/>
              </w:rPr>
            </w:pPr>
            <w:r>
              <w:rPr>
                <w:rFonts w:hint="eastAsia" w:ascii="宋体" w:hAnsi="宋体"/>
                <w:b w:val="0"/>
                <w:bCs/>
                <w:iCs/>
                <w:sz w:val="24"/>
                <w:szCs w:val="24"/>
                <w:lang w:val="en-US" w:eastAsia="zh-CN"/>
              </w:rPr>
              <w:t>公司多肽领域的在研药物管线中，已有3个适应症管线进入临床阶段。其中，“STC007注射液”其主要适应症为治疗术后疼痛及成人慢性肾脏疾病相关的中至重度瘙痒，这两种适应症均为临床常见且亟待有效治疗的疾病领域。截至2025年半年度报告出具日，“STC007注射液”在临床进展上取得阶段性成果：针对腹部手术后中、重度疼痛的II期临床试验已圆满达成预期目标，III期临床试验正按既定计划有序推进，该突破有望为术后疼痛患者带来全新的治疗方案。与此同时，针对瘙痒适应症的II期临床试验正在进行中，目前入组顺利，研究进展态势良好，未来有望为慢性肾脏疾病患者的症状改善提供重要助力。“STC008注射液”也正在开展I期临床试验研究，其中，Ia期试验计划招募74例健康受试者，以系统评估其安全性与耐受性；截至目前，已完成全部入组。该药物的主要适应症为治疗晚期实体瘤的肿瘤恶液质，这是一种在肿瘤患者中常见的严重并发症，严重影响患者的生活质量和生存期，市场巨大且临床急需，目前国内市场尚无针对该适应症的专用治疗药物。STC008注射液的临床试验进展标志着公司在肿瘤治疗领域的进一步拓展，有望填补该领域国内治疗药物的空白，为肿瘤成为可控慢病这一愿景提供强有力的支撑作用。</w:t>
            </w:r>
          </w:p>
          <w:p w14:paraId="1630CA43">
            <w:pPr>
              <w:numPr>
                <w:ilvl w:val="0"/>
                <w:numId w:val="1"/>
              </w:numPr>
              <w:spacing w:before="156" w:beforeLines="50" w:line="360" w:lineRule="auto"/>
              <w:ind w:left="425" w:leftChars="0" w:firstLine="1" w:firstLineChars="0"/>
              <w:rPr>
                <w:rFonts w:hint="eastAsia"/>
                <w:b/>
                <w:sz w:val="24"/>
                <w:highlight w:val="none"/>
              </w:rPr>
            </w:pPr>
            <w:r>
              <w:rPr>
                <w:rFonts w:hint="default"/>
                <w:b/>
                <w:sz w:val="24"/>
                <w:highlight w:val="none"/>
                <w:lang w:val="en-US" w:eastAsia="zh-CN"/>
              </w:rPr>
              <w:t>公司在</w:t>
            </w:r>
            <w:r>
              <w:rPr>
                <w:rFonts w:hint="eastAsia"/>
                <w:b/>
                <w:sz w:val="24"/>
                <w:highlight w:val="none"/>
                <w:lang w:val="en-US" w:eastAsia="zh-CN"/>
              </w:rPr>
              <w:t>细胞治疗、小核酸</w:t>
            </w:r>
            <w:r>
              <w:rPr>
                <w:rFonts w:hint="default"/>
                <w:b/>
                <w:sz w:val="24"/>
                <w:highlight w:val="none"/>
                <w:lang w:val="en-US" w:eastAsia="zh-CN"/>
              </w:rPr>
              <w:t>领域的研发优势？</w:t>
            </w:r>
          </w:p>
          <w:p w14:paraId="37707B2E">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rPr>
                <w:rFonts w:hint="eastAsia"/>
                <w:b w:val="0"/>
                <w:bCs/>
                <w:sz w:val="24"/>
                <w:highlight w:val="none"/>
                <w:lang w:val="en-US" w:eastAsia="zh-CN"/>
              </w:rPr>
            </w:pPr>
            <w:r>
              <w:rPr>
                <w:rFonts w:hint="eastAsia"/>
                <w:b w:val="0"/>
                <w:bCs/>
                <w:sz w:val="24"/>
                <w:highlight w:val="none"/>
                <w:lang w:val="en-US" w:eastAsia="zh-CN"/>
              </w:rPr>
              <w:t>公司与艺妙神州合作研发的ZM001注射液，是一种利用慢病毒载体将靶向CD19的CAR分子整合至T细胞的自体CAR-T细胞治疗产品，其特点是通过特异清除SLE患者体内的B细胞，进而缓解患者红斑狼疮症状，并维持长期疗效，是一种潜在的中度和重度SLE治疗药物。在临床研究中，ZM001展现出快速清除B细胞且持续性的疗效，以及极低的严重不良反应发生率，是一款安全有效的CAR-T治疗药物。截至公告披露前，该产品已获得药物临床试验批准通知书，正处于I期临床试验阶段。</w:t>
            </w:r>
          </w:p>
          <w:p w14:paraId="77C15178">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rPr>
                <w:rFonts w:hint="default"/>
                <w:b w:val="0"/>
                <w:bCs/>
                <w:sz w:val="24"/>
                <w:highlight w:val="none"/>
                <w:lang w:val="en-US" w:eastAsia="zh-CN"/>
              </w:rPr>
            </w:pPr>
            <w:r>
              <w:rPr>
                <w:rFonts w:hint="eastAsia"/>
                <w:b w:val="0"/>
                <w:bCs/>
                <w:sz w:val="24"/>
                <w:highlight w:val="none"/>
                <w:lang w:val="en-US" w:eastAsia="zh-CN"/>
              </w:rPr>
              <w:t>在小核酸药物开发领域，公司建立小核酸药物载药系统开发平台。该平台专注于小核酸药物的递送系统研究，致力于解决小核酸药物在体内稳定性、靶向性及生物利用度等方面的挑战。通过创新的载药系统设计，公司能够有效提高小核酸药物的递送效率和治疗效果，为小核酸药物的临床应用奠定了坚实基础。公司开发的方向有siRNA、AOC、APDC，目前有10余条在研管线，根据研发进度会陆续推进IND，适应症为高血压、减脂增肌、阿尔兹海默症等。</w:t>
            </w:r>
          </w:p>
          <w:p w14:paraId="4326E310">
            <w:pPr>
              <w:numPr>
                <w:ilvl w:val="0"/>
                <w:numId w:val="1"/>
              </w:numPr>
              <w:spacing w:before="156" w:beforeLines="50" w:line="360" w:lineRule="auto"/>
              <w:ind w:left="425" w:leftChars="0" w:firstLine="1" w:firstLineChars="0"/>
              <w:rPr>
                <w:rFonts w:hint="eastAsia"/>
                <w:b/>
                <w:sz w:val="24"/>
                <w:highlight w:val="none"/>
              </w:rPr>
            </w:pPr>
            <w:r>
              <w:rPr>
                <w:rFonts w:hint="default"/>
                <w:b/>
                <w:sz w:val="24"/>
                <w:highlight w:val="none"/>
                <w:lang w:val="en-US" w:eastAsia="zh-CN"/>
              </w:rPr>
              <w:t>公司</w:t>
            </w:r>
            <w:r>
              <w:rPr>
                <w:rFonts w:hint="eastAsia"/>
                <w:b/>
                <w:sz w:val="24"/>
                <w:highlight w:val="none"/>
                <w:lang w:val="en-US" w:eastAsia="zh-CN"/>
              </w:rPr>
              <w:t>在特殊高端制剂开发方面的优势？</w:t>
            </w:r>
          </w:p>
          <w:p w14:paraId="3C467322">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rPr>
                <w:rFonts w:hint="eastAsia"/>
                <w:b w:val="0"/>
                <w:bCs/>
                <w:sz w:val="24"/>
                <w:highlight w:val="none"/>
                <w:lang w:val="en-US" w:eastAsia="zh-CN"/>
              </w:rPr>
            </w:pPr>
            <w:r>
              <w:rPr>
                <w:rFonts w:hint="eastAsia"/>
                <w:b w:val="0"/>
                <w:bCs/>
                <w:sz w:val="24"/>
                <w:highlight w:val="none"/>
                <w:lang w:val="en-US" w:eastAsia="zh-CN"/>
              </w:rPr>
              <w:t>在特殊制剂方面，公司具备较强的开发能力，特别是在经皮递送（贴剂）、长效微球制剂、缓控释制剂、多肽制剂、儿童用药、罕见病用药等领域。</w:t>
            </w:r>
          </w:p>
          <w:p w14:paraId="0B87426C">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rPr>
                <w:rFonts w:hint="eastAsia"/>
                <w:b w:val="0"/>
                <w:bCs/>
                <w:sz w:val="24"/>
                <w:highlight w:val="none"/>
                <w:lang w:val="en-US" w:eastAsia="zh-CN"/>
              </w:rPr>
            </w:pPr>
            <w:r>
              <w:rPr>
                <w:rFonts w:hint="eastAsia"/>
                <w:b w:val="0"/>
                <w:bCs/>
                <w:sz w:val="24"/>
                <w:highlight w:val="none"/>
                <w:lang w:val="en-US" w:eastAsia="zh-CN"/>
              </w:rPr>
              <w:t>子公司诺和恒光已成功验证多个贴剂产品工艺，如洛索洛芬钠凝胶贴膏、氟比洛芬凝胶贴膏等，并处于上市申报阶段。</w:t>
            </w:r>
          </w:p>
          <w:p w14:paraId="49C52F2D">
            <w:pPr>
              <w:keepNext w:val="0"/>
              <w:keepLines w:val="0"/>
              <w:pageBreakBefore w:val="0"/>
              <w:widowControl w:val="0"/>
              <w:numPr>
                <w:ilvl w:val="0"/>
                <w:numId w:val="0"/>
              </w:numPr>
              <w:kinsoku/>
              <w:wordWrap/>
              <w:overflowPunct/>
              <w:topLinePunct w:val="0"/>
              <w:autoSpaceDE/>
              <w:autoSpaceDN/>
              <w:bidi w:val="0"/>
              <w:adjustRightInd/>
              <w:snapToGrid/>
              <w:spacing w:before="156" w:beforeLines="50" w:line="360" w:lineRule="auto"/>
              <w:ind w:firstLine="480" w:firstLineChars="200"/>
              <w:textAlignment w:val="auto"/>
              <w:rPr>
                <w:rFonts w:hint="default"/>
                <w:b/>
                <w:sz w:val="24"/>
                <w:highlight w:val="none"/>
                <w:lang w:val="en-US" w:eastAsia="zh-CN"/>
              </w:rPr>
            </w:pPr>
            <w:r>
              <w:rPr>
                <w:rFonts w:hint="eastAsia"/>
                <w:b w:val="0"/>
                <w:bCs/>
                <w:sz w:val="24"/>
                <w:highlight w:val="none"/>
                <w:lang w:val="en-US" w:eastAsia="zh-CN"/>
              </w:rPr>
              <w:t>公司重点在研品种BTS0327基于注射用缓释微球技术开发，具有较长的药物作用时间和较高的安全性，预计将在高端制剂市场形成竞争优势。</w:t>
            </w:r>
          </w:p>
        </w:tc>
      </w:tr>
      <w:tr w14:paraId="4A63DE4C">
        <w:trPr>
          <w:trHeight w:val="821" w:hRule="atLeast"/>
        </w:trPr>
        <w:tc>
          <w:tcPr>
            <w:tcW w:w="2093" w:type="dxa"/>
            <w:vAlign w:val="center"/>
          </w:tcPr>
          <w:p w14:paraId="49E359F1">
            <w:pPr>
              <w:spacing w:line="360" w:lineRule="auto"/>
              <w:jc w:val="left"/>
              <w:rPr>
                <w:rFonts w:hint="eastAsia" w:ascii="宋体" w:hAnsi="宋体"/>
                <w:b/>
                <w:bCs/>
                <w:iCs/>
                <w:sz w:val="24"/>
                <w:szCs w:val="24"/>
              </w:rPr>
            </w:pPr>
            <w:r>
              <w:rPr>
                <w:rFonts w:hint="eastAsia" w:ascii="宋体" w:hAnsi="宋体"/>
                <w:b/>
                <w:bCs/>
                <w:iCs/>
                <w:sz w:val="24"/>
                <w:szCs w:val="24"/>
              </w:rPr>
              <w:t>附件清单（如有）</w:t>
            </w:r>
          </w:p>
        </w:tc>
        <w:tc>
          <w:tcPr>
            <w:tcW w:w="6203" w:type="dxa"/>
          </w:tcPr>
          <w:p w14:paraId="41A52917">
            <w:pPr>
              <w:spacing w:line="360" w:lineRule="auto"/>
              <w:rPr>
                <w:rFonts w:hint="eastAsia" w:ascii="宋体" w:hAnsi="宋体" w:cs="宋体"/>
                <w:sz w:val="24"/>
                <w:szCs w:val="24"/>
              </w:rPr>
            </w:pPr>
            <w:r>
              <w:rPr>
                <w:rFonts w:hint="eastAsia" w:ascii="宋体" w:hAnsi="宋体"/>
                <w:bCs/>
                <w:iCs/>
                <w:sz w:val="24"/>
                <w:szCs w:val="24"/>
              </w:rPr>
              <w:t>无</w:t>
            </w:r>
          </w:p>
        </w:tc>
      </w:tr>
      <w:tr w14:paraId="5D6C77D5">
        <w:tc>
          <w:tcPr>
            <w:tcW w:w="2093" w:type="dxa"/>
            <w:vAlign w:val="center"/>
          </w:tcPr>
          <w:p w14:paraId="717A6FD2">
            <w:pPr>
              <w:spacing w:line="360" w:lineRule="auto"/>
              <w:jc w:val="left"/>
              <w:rPr>
                <w:rFonts w:hint="eastAsia" w:ascii="宋体" w:hAnsi="宋体"/>
                <w:b/>
                <w:bCs/>
                <w:iCs/>
                <w:sz w:val="24"/>
                <w:szCs w:val="24"/>
              </w:rPr>
            </w:pPr>
            <w:r>
              <w:rPr>
                <w:rFonts w:hint="eastAsia" w:ascii="宋体" w:hAnsi="宋体"/>
                <w:b/>
                <w:bCs/>
                <w:iCs/>
                <w:sz w:val="24"/>
                <w:szCs w:val="24"/>
              </w:rPr>
              <w:t>日期</w:t>
            </w:r>
          </w:p>
        </w:tc>
        <w:tc>
          <w:tcPr>
            <w:tcW w:w="6203" w:type="dxa"/>
          </w:tcPr>
          <w:p w14:paraId="1087953D">
            <w:pPr>
              <w:spacing w:line="360" w:lineRule="auto"/>
              <w:rPr>
                <w:rFonts w:hint="eastAsia" w:ascii="宋体" w:hAnsi="宋体"/>
                <w:bCs/>
                <w:iCs/>
                <w:sz w:val="24"/>
                <w:szCs w:val="24"/>
              </w:rPr>
            </w:pPr>
            <w:r>
              <w:rPr>
                <w:rFonts w:hint="default" w:ascii="Times New Roman" w:hAnsi="Times New Roman"/>
                <w:bCs/>
                <w:iCs/>
                <w:sz w:val="24"/>
                <w:szCs w:val="24"/>
              </w:rPr>
              <w:t>20</w:t>
            </w:r>
            <w:r>
              <w:rPr>
                <w:rFonts w:ascii="Times New Roman" w:hAnsi="Times New Roman"/>
                <w:bCs/>
                <w:iCs/>
                <w:sz w:val="24"/>
                <w:szCs w:val="24"/>
              </w:rPr>
              <w:t>2</w:t>
            </w:r>
            <w:r>
              <w:rPr>
                <w:rFonts w:hint="eastAsia"/>
                <w:bCs/>
                <w:iCs/>
                <w:sz w:val="24"/>
                <w:szCs w:val="24"/>
                <w:lang w:val="en-US" w:eastAsia="zh-CN"/>
              </w:rPr>
              <w:t>5</w:t>
            </w:r>
            <w:r>
              <w:rPr>
                <w:rFonts w:hint="default" w:ascii="Times New Roman" w:hAnsi="Times New Roman"/>
                <w:bCs/>
                <w:iCs/>
                <w:sz w:val="24"/>
                <w:szCs w:val="24"/>
              </w:rPr>
              <w:t>年</w:t>
            </w:r>
            <w:r>
              <w:rPr>
                <w:rFonts w:hint="eastAsia"/>
                <w:bCs/>
                <w:iCs/>
                <w:sz w:val="24"/>
                <w:szCs w:val="24"/>
                <w:lang w:val="en-US" w:eastAsia="zh-CN"/>
              </w:rPr>
              <w:t>9</w:t>
            </w:r>
            <w:r>
              <w:rPr>
                <w:rFonts w:hint="default" w:ascii="Times New Roman" w:hAnsi="Times New Roman"/>
                <w:bCs/>
                <w:iCs/>
                <w:sz w:val="24"/>
                <w:szCs w:val="24"/>
              </w:rPr>
              <w:t>月</w:t>
            </w:r>
            <w:r>
              <w:rPr>
                <w:rFonts w:hint="eastAsia"/>
                <w:bCs/>
                <w:iCs/>
                <w:sz w:val="24"/>
                <w:szCs w:val="24"/>
                <w:lang w:val="en-US" w:eastAsia="zh-CN"/>
              </w:rPr>
              <w:t>16</w:t>
            </w:r>
            <w:r>
              <w:rPr>
                <w:rFonts w:hint="default" w:ascii="Times New Roman" w:hAnsi="Times New Roman"/>
                <w:bCs/>
                <w:iCs/>
                <w:sz w:val="24"/>
                <w:szCs w:val="24"/>
              </w:rPr>
              <w:t>日</w:t>
            </w:r>
          </w:p>
        </w:tc>
      </w:tr>
    </w:tbl>
    <w:p w14:paraId="3B62B907"/>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Wingdings 2">
    <w:panose1 w:val="05020102010507070707"/>
    <w:charset w:val="02"/>
    <w:family w:val="roman"/>
    <w:pitch w:val="default"/>
    <w:sig w:usb0="00000000" w:usb1="00000000" w:usb2="00000000" w:usb3="00000000" w:csb0="80000000" w:csb1="00000000"/>
  </w:font>
  <w:font w:name="汉仪书宋二KW">
    <w:panose1 w:val="00020600040101010101"/>
    <w:charset w:val="86"/>
    <w:family w:val="auto"/>
    <w:pitch w:val="default"/>
    <w:sig w:usb0="A00002BF" w:usb1="18EF7CFA" w:usb2="00000016" w:usb3="00000000" w:csb0="00040000" w:csb1="00000000"/>
  </w:font>
  <w:font w:name="宋体-简">
    <w:panose1 w:val="02010800040101010101"/>
    <w:charset w:val="86"/>
    <w:family w:val="auto"/>
    <w:pitch w:val="default"/>
    <w:sig w:usb0="00000001" w:usb1="080F0000" w:usb2="00000000"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D3353"/>
    <w:multiLevelType w:val="singleLevel"/>
    <w:tmpl w:val="FFFD3353"/>
    <w:lvl w:ilvl="0" w:tentative="0">
      <w:start w:val="1"/>
      <w:numFmt w:val="decimal"/>
      <w:lvlText w:val="%1."/>
      <w:lvlJc w:val="left"/>
      <w:pPr>
        <w:tabs>
          <w:tab w:val="left" w:pos="425"/>
        </w:tabs>
        <w:ind w:left="425" w:leftChars="0" w:firstLine="1" w:firstLineChars="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01245BEB"/>
    <w:rsid w:val="13132E6E"/>
    <w:rsid w:val="24FF6B67"/>
    <w:rsid w:val="5ADF7FF3"/>
    <w:rsid w:val="5C2F0412"/>
    <w:rsid w:val="5F8E4261"/>
    <w:rsid w:val="745A752B"/>
    <w:rsid w:val="7BF5BCA2"/>
    <w:rsid w:val="7DEEB279"/>
    <w:rsid w:val="AB8F5DCA"/>
    <w:rsid w:val="CB6796A3"/>
    <w:rsid w:val="DFEDA011"/>
    <w:rsid w:val="F6FF6463"/>
    <w:rsid w:val="FDBD0D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6">
    <w:name w:val="Default Paragraph Font"/>
    <w:unhideWhenUsed/>
    <w:qFormat/>
    <w:uiPriority w:val="1"/>
  </w:style>
  <w:style w:type="table" w:default="1" w:styleId="5">
    <w:name w:val="Normal Table"/>
    <w:unhideWhenUsed/>
    <w:qFormat/>
    <w:uiPriority w:val="99"/>
    <w:tblPr>
      <w:tblCellMar>
        <w:top w:w="0" w:type="dxa"/>
        <w:left w:w="108" w:type="dxa"/>
        <w:bottom w:w="0" w:type="dxa"/>
        <w:right w:w="108" w:type="dxa"/>
      </w:tblCellMar>
    </w:tblPr>
  </w:style>
  <w:style w:type="paragraph" w:styleId="2">
    <w:name w:val="annotation text"/>
    <w:basedOn w:val="1"/>
    <w:link w:val="9"/>
    <w:qFormat/>
    <w:uiPriority w:val="0"/>
    <w:pPr>
      <w:jc w:val="left"/>
    </w:p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paragraph" w:styleId="4">
    <w:name w:val="annotation subject"/>
    <w:basedOn w:val="2"/>
    <w:next w:val="2"/>
    <w:link w:val="10"/>
    <w:qFormat/>
    <w:uiPriority w:val="0"/>
    <w:rPr>
      <w:b/>
      <w:bCs/>
    </w:rPr>
  </w:style>
  <w:style w:type="character" w:styleId="7">
    <w:name w:val="annotation reference"/>
    <w:basedOn w:val="6"/>
    <w:qFormat/>
    <w:uiPriority w:val="0"/>
    <w:rPr>
      <w:sz w:val="21"/>
      <w:szCs w:val="21"/>
    </w:rPr>
  </w:style>
  <w:style w:type="paragraph" w:customStyle="1" w:styleId="8">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9">
    <w:name w:val="批注文字 字符"/>
    <w:basedOn w:val="6"/>
    <w:link w:val="2"/>
    <w:qFormat/>
    <w:uiPriority w:val="0"/>
    <w:rPr>
      <w:kern w:val="2"/>
      <w:sz w:val="21"/>
    </w:rPr>
  </w:style>
  <w:style w:type="character" w:customStyle="1" w:styleId="10">
    <w:name w:val="批注主题 字符"/>
    <w:basedOn w:val="9"/>
    <w:link w:val="4"/>
    <w:qFormat/>
    <w:uiPriority w:val="0"/>
    <w:rPr>
      <w:b/>
      <w:bCs/>
      <w:kern w:val="2"/>
      <w:sz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4059</Words>
  <Characters>4266</Characters>
  <Lines>18</Lines>
  <Paragraphs>5</Paragraphs>
  <TotalTime>229</TotalTime>
  <ScaleCrop>false</ScaleCrop>
  <LinksUpToDate>false</LinksUpToDate>
  <CharactersWithSpaces>4330</CharactersWithSpaces>
  <Application>WPS Office_7.2.2.8955_F1E327BC-269C-435d-A152-05C5408002CA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2024-09-30T06:32:00Z</dcterms:created>
  <dc:creator>杨贵娇</dc:creator>
  <cp:lastModifiedBy>Anne马也</cp:lastModifiedBy>
  <dcterms:modified xsi:type="dcterms:W3CDTF">2025-09-16T15:52:58Z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2052-7.2.2.8955</vt:lpwstr>
  </property>
  <property fmtid="{D5CDD505-2E9C-101B-9397-08002B2CF9AE}" pid="3" name="ICV">
    <vt:lpwstr>19BA809CA64B667F8242C168258CEC2C_43</vt:lpwstr>
  </property>
  <property fmtid="{D5CDD505-2E9C-101B-9397-08002B2CF9AE}" pid="4" name="KSOTemplateDocerSaveRecord">
    <vt:lpwstr>eyJoZGlkIjoiZTM2MTRlOTE5NzU3Y2FhZmJjMTA4ODAwNjMyZWVhZDciLCJ1c2VySWQiOiIzOTQyNDEyNzQifQ==</vt:lpwstr>
  </property>
</Properties>
</file>