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2C4A">
      <w:pPr>
        <w:spacing w:after="93" w:afterLines="30" w:line="580" w:lineRule="exact"/>
        <w:jc w:val="center"/>
        <w:rPr>
          <w:rFonts w:ascii="仿宋" w:hAnsi="仿宋" w:eastAsia="仿宋"/>
          <w:b/>
          <w:color w:val="000000"/>
          <w:sz w:val="40"/>
          <w:szCs w:val="40"/>
        </w:rPr>
      </w:pPr>
      <w:bookmarkStart w:id="1" w:name="_GoBack"/>
      <w:bookmarkEnd w:id="1"/>
      <w:r>
        <w:rPr>
          <w:rFonts w:hint="eastAsia" w:ascii="仿宋" w:hAnsi="仿宋" w:eastAsia="仿宋"/>
          <w:b/>
          <w:color w:val="000000"/>
          <w:sz w:val="40"/>
          <w:szCs w:val="40"/>
        </w:rPr>
        <w:t>投资者关系活动记录表</w:t>
      </w:r>
    </w:p>
    <w:p w14:paraId="5650E720">
      <w:pPr>
        <w:spacing w:line="580" w:lineRule="exact"/>
        <w:jc w:val="center"/>
        <w:rPr>
          <w:rFonts w:ascii="仿宋" w:hAnsi="仿宋" w:eastAsia="仿宋"/>
          <w:color w:val="000000"/>
          <w:sz w:val="28"/>
          <w:szCs w:val="28"/>
        </w:rPr>
      </w:pPr>
      <w:r>
        <w:rPr>
          <w:rFonts w:hint="eastAsia" w:ascii="仿宋" w:hAnsi="仿宋" w:eastAsia="仿宋"/>
          <w:color w:val="000000"/>
          <w:sz w:val="28"/>
          <w:szCs w:val="28"/>
        </w:rPr>
        <w:t>证券代码：600693                  证券简称：东百集团</w:t>
      </w:r>
    </w:p>
    <w:p w14:paraId="340C19B4">
      <w:pPr>
        <w:spacing w:line="580" w:lineRule="exact"/>
        <w:ind w:right="1020"/>
        <w:jc w:val="right"/>
        <w:rPr>
          <w:rFonts w:hint="default" w:ascii="仿宋" w:hAnsi="仿宋" w:eastAsia="仿宋"/>
          <w:b/>
          <w:color w:val="000000"/>
          <w:sz w:val="28"/>
          <w:szCs w:val="28"/>
          <w:lang w:val="en-US" w:eastAsia="zh-CN"/>
        </w:rPr>
      </w:pPr>
      <w:r>
        <w:rPr>
          <w:rFonts w:hint="eastAsia" w:ascii="仿宋" w:hAnsi="仿宋" w:eastAsia="仿宋"/>
          <w:color w:val="000000"/>
          <w:sz w:val="28"/>
          <w:szCs w:val="28"/>
        </w:rPr>
        <w:t>编号：</w:t>
      </w:r>
      <w:r>
        <w:rPr>
          <w:rFonts w:ascii="仿宋" w:hAnsi="仿宋" w:eastAsia="仿宋"/>
          <w:color w:val="000000"/>
          <w:sz w:val="28"/>
          <w:szCs w:val="28"/>
        </w:rPr>
        <w:t>DBJT202</w:t>
      </w:r>
      <w:r>
        <w:rPr>
          <w:rFonts w:hint="eastAsia" w:ascii="仿宋" w:hAnsi="仿宋" w:eastAsia="仿宋"/>
          <w:color w:val="000000"/>
          <w:sz w:val="28"/>
          <w:szCs w:val="28"/>
          <w:lang w:val="en-US" w:eastAsia="zh-CN"/>
        </w:rPr>
        <w:t>50915</w:t>
      </w:r>
    </w:p>
    <w:tbl>
      <w:tblPr>
        <w:tblStyle w:val="9"/>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7376"/>
      </w:tblGrid>
      <w:tr w14:paraId="55AB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0EE5A6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641DAC36">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活动类别</w:t>
            </w:r>
          </w:p>
        </w:tc>
        <w:tc>
          <w:tcPr>
            <w:tcW w:w="7376" w:type="dxa"/>
            <w:vAlign w:val="center"/>
          </w:tcPr>
          <w:p w14:paraId="40B1A254">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□特定对象调研        □分析师会议</w:t>
            </w:r>
          </w:p>
          <w:p w14:paraId="59117978">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□媒体采访            </w:t>
            </w:r>
            <w:r>
              <w:rPr>
                <w:rFonts w:hint="eastAsia" w:ascii="仿宋" w:hAnsi="仿宋" w:eastAsia="仿宋" w:cs="宋?"/>
                <w:color w:val="000000"/>
                <w:kern w:val="0"/>
                <w:sz w:val="28"/>
                <w:szCs w:val="28"/>
              </w:rPr>
              <w:sym w:font="Wingdings 2" w:char="0052"/>
            </w:r>
            <w:r>
              <w:rPr>
                <w:rFonts w:hint="eastAsia" w:ascii="仿宋" w:hAnsi="仿宋" w:eastAsia="仿宋" w:cs="宋?"/>
                <w:color w:val="000000"/>
                <w:kern w:val="0"/>
                <w:sz w:val="28"/>
                <w:szCs w:val="28"/>
              </w:rPr>
              <w:t>业绩说明会</w:t>
            </w:r>
          </w:p>
          <w:p w14:paraId="4F248F35">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□新闻发布会          </w:t>
            </w:r>
            <w:r>
              <w:rPr>
                <w:rFonts w:hint="eastAsia" w:ascii="仿宋" w:hAnsi="仿宋" w:eastAsia="仿宋" w:cs="宋?"/>
                <w:color w:val="000000"/>
                <w:kern w:val="0"/>
                <w:sz w:val="28"/>
                <w:szCs w:val="28"/>
              </w:rPr>
              <w:sym w:font="Wingdings 2" w:char="00A3"/>
            </w:r>
            <w:r>
              <w:rPr>
                <w:rFonts w:hint="eastAsia" w:ascii="仿宋" w:hAnsi="仿宋" w:eastAsia="仿宋" w:cs="宋?"/>
                <w:color w:val="000000"/>
                <w:kern w:val="0"/>
                <w:sz w:val="28"/>
                <w:szCs w:val="28"/>
              </w:rPr>
              <w:t>路演活动</w:t>
            </w:r>
          </w:p>
          <w:p w14:paraId="7AE360A2">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□现场参观</w:t>
            </w:r>
          </w:p>
          <w:p w14:paraId="054CD448">
            <w:pPr>
              <w:autoSpaceDE w:val="0"/>
              <w:autoSpaceDN w:val="0"/>
              <w:adjustRightInd w:val="0"/>
              <w:spacing w:line="500" w:lineRule="exact"/>
              <w:ind w:left="108"/>
              <w:jc w:val="left"/>
              <w:rPr>
                <w:rFonts w:ascii="仿宋" w:hAnsi="仿宋" w:eastAsia="仿宋"/>
                <w:color w:val="000000"/>
                <w:sz w:val="28"/>
                <w:szCs w:val="28"/>
              </w:rPr>
            </w:pPr>
            <w:r>
              <w:rPr>
                <w:rFonts w:hint="eastAsia" w:ascii="仿宋" w:hAnsi="仿宋" w:eastAsia="仿宋" w:cs="宋?"/>
                <w:color w:val="000000"/>
                <w:kern w:val="0"/>
                <w:sz w:val="28"/>
                <w:szCs w:val="28"/>
              </w:rPr>
              <w:t>□其他</w:t>
            </w:r>
            <w:r>
              <w:rPr>
                <w:rFonts w:hint="eastAsia" w:ascii="仿宋" w:hAnsi="仿宋" w:eastAsia="仿宋" w:cs="宋?"/>
                <w:color w:val="000000"/>
                <w:kern w:val="0"/>
                <w:sz w:val="28"/>
                <w:szCs w:val="28"/>
                <w:u w:val="single"/>
              </w:rPr>
              <w:t xml:space="preserve">                </w:t>
            </w:r>
            <w:r>
              <w:rPr>
                <w:rFonts w:hint="eastAsia" w:ascii="仿宋" w:hAnsi="仿宋" w:eastAsia="仿宋" w:cs="宋?"/>
                <w:color w:val="000000"/>
                <w:kern w:val="0"/>
                <w:sz w:val="28"/>
                <w:szCs w:val="28"/>
              </w:rPr>
              <w:t>（请文字说明活动内容）</w:t>
            </w:r>
          </w:p>
        </w:tc>
      </w:tr>
      <w:tr w14:paraId="7F7D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7C8EB6D8">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参与单位名称</w:t>
            </w:r>
          </w:p>
          <w:p w14:paraId="70B595EC">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及人员姓名</w:t>
            </w:r>
          </w:p>
        </w:tc>
        <w:tc>
          <w:tcPr>
            <w:tcW w:w="7376" w:type="dxa"/>
            <w:vAlign w:val="center"/>
          </w:tcPr>
          <w:p w14:paraId="22254E61">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上证路演中心平台投资者与</w:t>
            </w:r>
          </w:p>
          <w:p w14:paraId="0E4A3A0A">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公司通过文字互动方式进行交流</w:t>
            </w:r>
          </w:p>
        </w:tc>
      </w:tr>
      <w:tr w14:paraId="6670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5B03083">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时     间</w:t>
            </w:r>
          </w:p>
        </w:tc>
        <w:tc>
          <w:tcPr>
            <w:tcW w:w="7376" w:type="dxa"/>
            <w:vAlign w:val="center"/>
          </w:tcPr>
          <w:p w14:paraId="7F248E9B">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p>
        </w:tc>
      </w:tr>
      <w:tr w14:paraId="19EF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C89F24E">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地     点</w:t>
            </w:r>
          </w:p>
        </w:tc>
        <w:tc>
          <w:tcPr>
            <w:tcW w:w="7376" w:type="dxa"/>
            <w:vAlign w:val="center"/>
          </w:tcPr>
          <w:p w14:paraId="11AA8028">
            <w:pPr>
              <w:spacing w:line="500" w:lineRule="exact"/>
              <w:jc w:val="left"/>
              <w:rPr>
                <w:rFonts w:hint="eastAsia" w:ascii="仿宋" w:hAnsi="仿宋" w:eastAsia="仿宋"/>
                <w:color w:val="000000"/>
                <w:sz w:val="28"/>
                <w:szCs w:val="28"/>
              </w:rPr>
            </w:pPr>
            <w:r>
              <w:rPr>
                <w:rFonts w:hint="eastAsia" w:ascii="仿宋" w:hAnsi="仿宋" w:eastAsia="仿宋"/>
                <w:color w:val="000000"/>
                <w:sz w:val="28"/>
                <w:szCs w:val="28"/>
              </w:rPr>
              <w:t>上海证券交易所上证路演中心（http://roadshow.sseinfo.com/）</w:t>
            </w:r>
          </w:p>
        </w:tc>
      </w:tr>
      <w:tr w14:paraId="58AB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1980" w:type="dxa"/>
            <w:vAlign w:val="center"/>
          </w:tcPr>
          <w:p w14:paraId="4268CB4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上市公司接</w:t>
            </w:r>
          </w:p>
          <w:p w14:paraId="24DFAE5F">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待人员姓名</w:t>
            </w:r>
          </w:p>
        </w:tc>
        <w:tc>
          <w:tcPr>
            <w:tcW w:w="7376" w:type="dxa"/>
            <w:vAlign w:val="center"/>
          </w:tcPr>
          <w:p w14:paraId="2B2B60E3">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董事长、总裁  施文义先生</w:t>
            </w:r>
          </w:p>
          <w:p w14:paraId="1DDB04A9">
            <w:pPr>
              <w:spacing w:line="500" w:lineRule="exact"/>
              <w:jc w:val="left"/>
              <w:rPr>
                <w:rFonts w:ascii="仿宋" w:hAnsi="仿宋" w:eastAsia="仿宋"/>
                <w:color w:val="000000"/>
                <w:sz w:val="28"/>
                <w:szCs w:val="28"/>
              </w:rPr>
            </w:pPr>
            <w:r>
              <w:rPr>
                <w:rFonts w:ascii="仿宋" w:hAnsi="仿宋" w:eastAsia="仿宋"/>
                <w:color w:val="000000"/>
                <w:sz w:val="28"/>
                <w:szCs w:val="28"/>
              </w:rPr>
              <w:t>董事、副总裁、财务总监</w:t>
            </w:r>
            <w:r>
              <w:rPr>
                <w:rFonts w:hint="eastAsia" w:ascii="仿宋" w:hAnsi="仿宋" w:eastAsia="仿宋"/>
                <w:color w:val="000000"/>
                <w:sz w:val="28"/>
                <w:szCs w:val="28"/>
              </w:rPr>
              <w:t xml:space="preserve">  林建兴先生</w:t>
            </w:r>
          </w:p>
          <w:p w14:paraId="35FF8D3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独立董事  </w:t>
            </w:r>
            <w:r>
              <w:rPr>
                <w:rFonts w:hint="eastAsia" w:ascii="仿宋" w:hAnsi="仿宋" w:eastAsia="仿宋"/>
                <w:color w:val="000000"/>
                <w:sz w:val="28"/>
                <w:szCs w:val="28"/>
                <w:lang w:val="en-US" w:eastAsia="zh-CN"/>
              </w:rPr>
              <w:t>赵仕坤先生</w:t>
            </w:r>
          </w:p>
          <w:p w14:paraId="3899B7C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董事会秘书  </w:t>
            </w:r>
            <w:r>
              <w:rPr>
                <w:rFonts w:hint="eastAsia" w:ascii="仿宋" w:hAnsi="仿宋" w:eastAsia="仿宋"/>
                <w:color w:val="000000"/>
                <w:sz w:val="28"/>
                <w:szCs w:val="28"/>
                <w:lang w:val="en-US" w:eastAsia="zh-CN"/>
              </w:rPr>
              <w:t>刘海芬女士</w:t>
            </w:r>
          </w:p>
        </w:tc>
      </w:tr>
      <w:tr w14:paraId="7D6BC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F6AE2E0">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2AF3498E">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活动主要</w:t>
            </w:r>
          </w:p>
          <w:p w14:paraId="471C5E04">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内容介绍</w:t>
            </w:r>
          </w:p>
        </w:tc>
        <w:tc>
          <w:tcPr>
            <w:tcW w:w="7376" w:type="dxa"/>
            <w:vAlign w:val="center"/>
          </w:tcPr>
          <w:p w14:paraId="03C1B5A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福建东百集团股份有限公司（以下简称“公司”）</w:t>
            </w:r>
            <w:r>
              <w:rPr>
                <w:rFonts w:hint="eastAsia" w:ascii="仿宋" w:hAnsi="仿宋" w:eastAsia="仿宋" w:cs="仿宋"/>
                <w:color w:val="000000"/>
                <w:sz w:val="28"/>
                <w:szCs w:val="28"/>
                <w:lang w:val="en-US" w:eastAsia="zh-CN"/>
              </w:rPr>
              <w:t>分别</w:t>
            </w:r>
            <w:r>
              <w:rPr>
                <w:rFonts w:hint="eastAsia" w:ascii="仿宋" w:hAnsi="仿宋" w:eastAsia="仿宋" w:cs="仿宋"/>
                <w:color w:val="000000"/>
                <w:sz w:val="28"/>
                <w:szCs w:val="28"/>
              </w:rPr>
              <w:t>于202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9月6日</w:t>
            </w:r>
            <w:r>
              <w:rPr>
                <w:rFonts w:hint="eastAsia" w:ascii="仿宋" w:hAnsi="仿宋" w:eastAsia="仿宋" w:cs="仿宋"/>
                <w:color w:val="000000"/>
                <w:sz w:val="28"/>
                <w:szCs w:val="28"/>
              </w:rPr>
              <w:t>披露了《公司202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半</w:t>
            </w:r>
            <w:r>
              <w:rPr>
                <w:rFonts w:hint="eastAsia" w:ascii="仿宋" w:hAnsi="仿宋" w:eastAsia="仿宋" w:cs="仿宋"/>
                <w:color w:val="000000"/>
                <w:sz w:val="28"/>
                <w:szCs w:val="28"/>
              </w:rPr>
              <w:t>年度报告》及《</w:t>
            </w:r>
            <w:r>
              <w:rPr>
                <w:rFonts w:hint="eastAsia" w:ascii="仿宋" w:hAnsi="仿宋" w:eastAsia="仿宋" w:cs="仿宋"/>
                <w:color w:val="000000"/>
                <w:sz w:val="28"/>
                <w:szCs w:val="28"/>
                <w:lang w:val="en-US" w:eastAsia="zh-CN"/>
              </w:rPr>
              <w:t>公司</w:t>
            </w:r>
            <w:r>
              <w:rPr>
                <w:rFonts w:hint="eastAsia" w:ascii="仿宋" w:hAnsi="仿宋" w:eastAsia="仿宋" w:cs="仿宋"/>
                <w:color w:val="000000"/>
                <w:sz w:val="28"/>
                <w:szCs w:val="28"/>
              </w:rPr>
              <w:t>关于召开202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半</w:t>
            </w:r>
            <w:r>
              <w:rPr>
                <w:rFonts w:hint="eastAsia" w:ascii="仿宋" w:hAnsi="仿宋" w:eastAsia="仿宋" w:cs="仿宋"/>
                <w:color w:val="000000"/>
                <w:sz w:val="28"/>
                <w:szCs w:val="28"/>
              </w:rPr>
              <w:t>年度业绩说明会的公告》等相关公告。为加强与投资者的交流，公司于</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rPr>
              <w:t>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r>
              <w:rPr>
                <w:rFonts w:hint="eastAsia" w:ascii="仿宋" w:hAnsi="仿宋" w:eastAsia="仿宋" w:cs="仿宋"/>
                <w:color w:val="000000"/>
                <w:sz w:val="28"/>
                <w:szCs w:val="28"/>
              </w:rPr>
              <w:t>通过上证路演平台召开了202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半</w:t>
            </w:r>
            <w:r>
              <w:rPr>
                <w:rFonts w:hint="eastAsia" w:ascii="仿宋" w:hAnsi="仿宋" w:eastAsia="仿宋" w:cs="仿宋"/>
                <w:color w:val="000000"/>
                <w:sz w:val="28"/>
                <w:szCs w:val="28"/>
              </w:rPr>
              <w:t>年度业绩说明会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本次说明会</w:t>
            </w:r>
            <w:r>
              <w:rPr>
                <w:rFonts w:hint="eastAsia" w:ascii="仿宋" w:hAnsi="仿宋" w:eastAsia="仿宋"/>
                <w:color w:val="000000"/>
                <w:sz w:val="28"/>
                <w:szCs w:val="28"/>
              </w:rPr>
              <w:t>通过文字互动方式</w:t>
            </w:r>
            <w:r>
              <w:rPr>
                <w:rFonts w:hint="eastAsia" w:ascii="仿宋" w:hAnsi="仿宋" w:eastAsia="仿宋" w:cs="仿宋"/>
                <w:color w:val="000000"/>
                <w:sz w:val="28"/>
                <w:szCs w:val="28"/>
              </w:rPr>
              <w:t>与广大投资者就公司202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半</w:t>
            </w:r>
            <w:r>
              <w:rPr>
                <w:rFonts w:hint="eastAsia" w:ascii="仿宋" w:hAnsi="仿宋" w:eastAsia="仿宋" w:cs="仿宋"/>
                <w:color w:val="000000"/>
                <w:sz w:val="28"/>
                <w:szCs w:val="28"/>
              </w:rPr>
              <w:t>年度</w:t>
            </w:r>
            <w:r>
              <w:rPr>
                <w:rFonts w:hint="eastAsia" w:ascii="仿宋" w:hAnsi="仿宋" w:eastAsia="仿宋"/>
                <w:sz w:val="28"/>
                <w:szCs w:val="28"/>
              </w:rPr>
              <w:t>经营成果、</w:t>
            </w:r>
            <w:r>
              <w:rPr>
                <w:rFonts w:hint="eastAsia" w:ascii="仿宋" w:hAnsi="仿宋" w:eastAsia="仿宋"/>
                <w:sz w:val="28"/>
                <w:szCs w:val="28"/>
                <w:lang w:val="en-US" w:eastAsia="zh-CN"/>
              </w:rPr>
              <w:t>财务指标、利润分配</w:t>
            </w:r>
            <w:r>
              <w:rPr>
                <w:rFonts w:hint="eastAsia" w:ascii="仿宋" w:hAnsi="仿宋" w:eastAsia="仿宋" w:cs="仿宋"/>
                <w:color w:val="000000"/>
                <w:sz w:val="28"/>
                <w:szCs w:val="28"/>
              </w:rPr>
              <w:t>等相关问题进行交流。具体交流内容整理如下:</w:t>
            </w:r>
          </w:p>
          <w:p w14:paraId="08A9EF7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Q1：</w:t>
            </w:r>
            <w:r>
              <w:rPr>
                <w:rFonts w:hint="eastAsia" w:ascii="仿宋" w:hAnsi="仿宋" w:eastAsia="仿宋" w:cs="仿宋"/>
                <w:b/>
                <w:bCs/>
                <w:color w:val="000000"/>
                <w:sz w:val="28"/>
                <w:szCs w:val="28"/>
              </w:rPr>
              <w:t>公司本期分红策略如何？</w:t>
            </w:r>
          </w:p>
          <w:p w14:paraId="7234B06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持续践行“以投资者为本”的理念，积极回报全体股东，共享公司经营发展成果。公司已于7月实施完成2024年年度利润分配工作，共计派发现金红利2,609.54万元；此外，根据公司董事会审议通过的《公司2025年半年度利润分配方案》，2025年半年度公司拟向全体股东每股派发现金红利0.05元，拟派发现金红利4,349.23万元，具体实施计划可持续关注公司后续公告。感谢您的关注。</w:t>
            </w:r>
          </w:p>
          <w:p w14:paraId="1F6FFFB1">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Q2：</w:t>
            </w:r>
            <w:r>
              <w:rPr>
                <w:rFonts w:hint="eastAsia" w:ascii="仿宋" w:hAnsi="仿宋" w:eastAsia="仿宋" w:cs="仿宋"/>
                <w:b/>
                <w:bCs/>
                <w:color w:val="000000"/>
                <w:sz w:val="28"/>
                <w:szCs w:val="28"/>
              </w:rPr>
              <w:t>东百物流目前发展如何？有多少项目了？</w:t>
            </w:r>
          </w:p>
          <w:p w14:paraId="799D1E1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自布局仓储物流业务以来，累计获取18个仓储物流项目，主要位于粤港澳大湾区、长三角、京津冀等全国物流核心区域，总建筑面积约180万㎡。根据公司仓储物流业务经营思路，目前已顺利完成7个项目的退出，涉及建筑面积约70万㎡。2025年上半年，公司新增竣工项目3个，建筑面积约30万㎡，至此所有物流项目全部竣工。目前自持11个仓储物流项目，建筑面积约110万㎡，上半年仓储物流业务实现主营业务收入8,348.07万元，同比增长29.52%。感谢您的关注。</w:t>
            </w:r>
          </w:p>
          <w:p w14:paraId="03CCDD74">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Q3：</w:t>
            </w:r>
            <w:r>
              <w:rPr>
                <w:rFonts w:hint="default" w:ascii="仿宋" w:hAnsi="仿宋" w:eastAsia="仿宋" w:cs="仿宋"/>
                <w:b/>
                <w:bCs/>
                <w:color w:val="000000"/>
                <w:sz w:val="28"/>
                <w:szCs w:val="28"/>
              </w:rPr>
              <w:t>商务部等部门近期推出优化离境退税政策，鼓励在商圈、景区设退税商店。东百在这方面业务开展的怎么样，有在旗下商业体中增设离境退税商店的计划嘛？</w:t>
            </w:r>
          </w:p>
          <w:p w14:paraId="59AC09B5">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作为商业零售区域龙头企业，自2018年起东百中心、东百爱琴海、东百元洪城、兰州中心陆续开通离境退税服务，商品涵盖化妆品、服装、鞋帽、钟表、首饰等多个品类。近年来，国家持续优化离境退税政策，包括降低境外旅客办理退税的门槛、推广“即买即退”服务、离境退税商店扩容等，公司积极响应并落实优化政策，今年福州首单离境退税“即买即退”业务在东百中心成功办理。后续公司将持续优化离境退税服务，为顾客提供更为优质便捷的服务。感谢您的关注。</w:t>
            </w:r>
          </w:p>
          <w:p w14:paraId="67F6FBE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Q4：</w:t>
            </w:r>
            <w:r>
              <w:rPr>
                <w:rFonts w:hint="default" w:ascii="仿宋" w:hAnsi="仿宋" w:eastAsia="仿宋" w:cs="仿宋"/>
                <w:b/>
                <w:bCs/>
                <w:color w:val="000000"/>
                <w:sz w:val="28"/>
                <w:szCs w:val="28"/>
              </w:rPr>
              <w:t>首店经济对商业零售业务的促进作用越来越大，东百上半年在商业零售的品牌引进情况如何，首店策略效果怎么样？</w:t>
            </w:r>
          </w:p>
          <w:p w14:paraId="5E45FB7D">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尊敬的投资者您好，近年来公司持续推进首店战略，上半年新引进品牌201个，其中首店品牌67个，包括FASCINO、裕莲茶楼、野果餐饮、星星地堡、MOODY TIGER等，为区域消费者带来丰富的“首购、首尝、首体验”机会，也点燃了消费增长引擎。上半年，东百中心23个品牌销售额跻身全国TOP10，169个品牌福建省第一，197个品牌福州第一；兰州中心22个品牌销售额进入全国TOP10，159个品牌甘肃省第一，43个品牌兰州第一。感谢您的关注。</w:t>
            </w:r>
          </w:p>
          <w:p w14:paraId="14E63FB3">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Q5：</w:t>
            </w:r>
            <w:r>
              <w:rPr>
                <w:rFonts w:hint="default" w:ascii="仿宋" w:hAnsi="仿宋" w:eastAsia="仿宋" w:cs="仿宋"/>
                <w:b/>
                <w:bCs/>
                <w:color w:val="000000"/>
                <w:sz w:val="28"/>
                <w:szCs w:val="28"/>
              </w:rPr>
              <w:t>公司2025年下半年发展预期如何，重点推进哪些工作？</w:t>
            </w:r>
          </w:p>
          <w:p w14:paraId="2CDB67B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公司下半年将围绕几个重点方向发力：一是继续深化首店策略，加强品牌引进和调改升级；二是加快推进仓储物流ABS专项计划发行，加速轻资产转型；三是拓展商业轻资产管理项目，依托公司在福州、兰州地区的影响力，寻求相关区域更多项目合作机会；四是深化文商旅融合，发挥福清利桥古街等项目的示范效应；五是持续完善数字化运营体系，持续优化“东百会员中心”服务功能等。感谢您的关注。</w:t>
            </w:r>
          </w:p>
          <w:p w14:paraId="37831F72">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Q6：</w:t>
            </w:r>
            <w:r>
              <w:rPr>
                <w:rFonts w:hint="eastAsia" w:ascii="仿宋" w:hAnsi="仿宋" w:eastAsia="仿宋" w:cs="仿宋"/>
                <w:b/>
                <w:bCs/>
                <w:color w:val="000000"/>
                <w:sz w:val="28"/>
                <w:szCs w:val="28"/>
              </w:rPr>
              <w:t>公司2025年上半年营收9.29亿，与去年基本持平，但净利润实现增长2.40%，盈利质量提升的主要驱动因素是什么？</w:t>
            </w:r>
          </w:p>
          <w:p w14:paraId="7D60C1B3">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公司盈利质量提升主要得益于主营业务毛利率稳步增长以及费用管控措施较好实施。2025年上半年，公司主营业务盈利能力表现稳健，商业零售业务通过持续深化首店战略、创新经营举措，在新消费趋势下，展现出强劲的经营韧性；仓储物流业务随着项目陆续竣工，持续加大招商运营力度，充分发挥与商业零售业务的协同效应，实现租金收入增加。此外，公司通过精细化管理，销售及管理等费用实现有效控制。感谢您的关注。</w:t>
            </w:r>
          </w:p>
          <w:p w14:paraId="0A0E6CDE">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Q7：</w:t>
            </w:r>
            <w:r>
              <w:rPr>
                <w:rFonts w:hint="default" w:ascii="仿宋" w:hAnsi="仿宋" w:eastAsia="仿宋" w:cs="仿宋"/>
                <w:b/>
                <w:bCs/>
                <w:color w:val="000000"/>
                <w:sz w:val="28"/>
                <w:szCs w:val="28"/>
              </w:rPr>
              <w:t>看到仓储物流业务增长29.52%，表现的不错，能否具体介绍一下合作客户情况？</w:t>
            </w:r>
          </w:p>
          <w:p w14:paraId="0FC3828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公司持续推进客户结构优化升级，持续深化与京东、顺丰、SHEIN（希音）、中国邮政等战略合作伙伴的紧密联动，夯实核心客户基本盘，同时精准捕捉新能源汽车、电商新模式、快消茶饮等领域的增长机遇，成功吸引比亚迪、小米、美团、霸王茶姬、古茗茶饮、沃尔玛山姆等行业标杆企业入驻，覆盖领域更趋多元。感谢您的关注。</w:t>
            </w:r>
          </w:p>
        </w:tc>
      </w:tr>
      <w:tr w14:paraId="3CB9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3CC3CC0">
            <w:pPr>
              <w:autoSpaceDE w:val="0"/>
              <w:autoSpaceDN w:val="0"/>
              <w:adjustRightInd w:val="0"/>
              <w:spacing w:line="500" w:lineRule="exact"/>
              <w:ind w:left="108"/>
              <w:jc w:val="center"/>
              <w:rPr>
                <w:rFonts w:ascii="仿宋" w:hAnsi="仿宋" w:eastAsia="仿宋" w:cs="宋?"/>
                <w:color w:val="000000"/>
                <w:kern w:val="0"/>
                <w:sz w:val="28"/>
                <w:szCs w:val="28"/>
              </w:rPr>
            </w:pPr>
            <w:bookmarkStart w:id="0" w:name="_Hlk103253471"/>
            <w:r>
              <w:rPr>
                <w:rFonts w:hint="eastAsia" w:ascii="仿宋" w:hAnsi="仿宋" w:eastAsia="仿宋" w:cs="宋?"/>
                <w:color w:val="000000"/>
                <w:kern w:val="0"/>
                <w:sz w:val="28"/>
                <w:szCs w:val="28"/>
              </w:rPr>
              <w:t>附件清单</w:t>
            </w:r>
          </w:p>
          <w:p w14:paraId="4B706431">
            <w:pPr>
              <w:autoSpaceDE w:val="0"/>
              <w:autoSpaceDN w:val="0"/>
              <w:adjustRightInd w:val="0"/>
              <w:spacing w:line="500" w:lineRule="exact"/>
              <w:ind w:left="108"/>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（如有）</w:t>
            </w:r>
          </w:p>
        </w:tc>
        <w:tc>
          <w:tcPr>
            <w:tcW w:w="7376" w:type="dxa"/>
            <w:vAlign w:val="center"/>
          </w:tcPr>
          <w:p w14:paraId="111EA02F">
            <w:pPr>
              <w:spacing w:line="500" w:lineRule="exact"/>
              <w:jc w:val="left"/>
              <w:rPr>
                <w:rFonts w:ascii="仿宋" w:hAnsi="仿宋" w:eastAsia="仿宋" w:cs="仿宋"/>
                <w:sz w:val="28"/>
                <w:szCs w:val="28"/>
              </w:rPr>
            </w:pPr>
            <w:r>
              <w:rPr>
                <w:rFonts w:hint="eastAsia" w:ascii="仿宋" w:hAnsi="仿宋" w:eastAsia="仿宋" w:cs="仿宋"/>
                <w:sz w:val="28"/>
                <w:szCs w:val="28"/>
              </w:rPr>
              <w:t>无</w:t>
            </w:r>
          </w:p>
        </w:tc>
      </w:tr>
      <w:tr w14:paraId="1A0A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980" w:type="dxa"/>
            <w:vAlign w:val="center"/>
          </w:tcPr>
          <w:p w14:paraId="5D6CA2E9">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日     期</w:t>
            </w:r>
          </w:p>
        </w:tc>
        <w:tc>
          <w:tcPr>
            <w:tcW w:w="7376" w:type="dxa"/>
            <w:vAlign w:val="center"/>
          </w:tcPr>
          <w:p w14:paraId="3F195E89">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w:t>
            </w:r>
            <w:r>
              <w:rPr>
                <w:rFonts w:hint="eastAsia" w:ascii="仿宋" w:hAnsi="仿宋" w:eastAsia="仿宋"/>
                <w:color w:val="000000"/>
                <w:sz w:val="28"/>
                <w:szCs w:val="28"/>
                <w:lang w:val="en-US" w:eastAsia="zh-CN"/>
              </w:rPr>
              <w:t>25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rPr>
              <w:t>日</w:t>
            </w:r>
          </w:p>
        </w:tc>
      </w:tr>
      <w:bookmarkEnd w:id="0"/>
    </w:tbl>
    <w:p w14:paraId="74904FB9">
      <w:pPr>
        <w:rPr>
          <w:rFonts w:ascii="仿宋" w:hAnsi="仿宋" w:eastAsia="仿宋"/>
        </w:rPr>
      </w:pPr>
    </w:p>
    <w:sectPr>
      <w:headerReference r:id="rId3" w:type="default"/>
      <w:footerReference r:id="rId4" w:type="default"/>
      <w:pgSz w:w="11906" w:h="16838"/>
      <w:pgMar w:top="1418" w:right="1304" w:bottom="1418" w:left="1304"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356209"/>
    </w:sdtPr>
    <w:sdtEndPr>
      <w:rPr>
        <w:rFonts w:ascii="Times New Roman" w:hAnsi="Times New Roman" w:cs="Times New Roman"/>
      </w:rPr>
    </w:sdtEndPr>
    <w:sdtContent>
      <w:p w14:paraId="302ACCD5">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9609">
    <w:pPr>
      <w:pStyle w:val="6"/>
      <w:jc w:val="both"/>
    </w:pPr>
    <w:r>
      <w:drawing>
        <wp:inline distT="0" distB="0" distL="0" distR="0">
          <wp:extent cx="1285875" cy="335280"/>
          <wp:effectExtent l="19050" t="0" r="9525" b="0"/>
          <wp:docPr id="2" name="图片 1" descr="C:\Users\Administrator\Desktop\logo\东百集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logo\东百集团.png"/>
                  <pic:cNvPicPr>
                    <a:picLocks noChangeAspect="1" noChangeArrowheads="1"/>
                  </pic:cNvPicPr>
                </pic:nvPicPr>
                <pic:blipFill>
                  <a:blip r:embed="rId1"/>
                  <a:srcRect/>
                  <a:stretch>
                    <a:fillRect/>
                  </a:stretch>
                </pic:blipFill>
                <pic:spPr>
                  <a:xfrm>
                    <a:off x="0" y="0"/>
                    <a:ext cx="1285875" cy="335280"/>
                  </a:xfrm>
                  <a:prstGeom prst="rect">
                    <a:avLst/>
                  </a:prstGeom>
                  <a:noFill/>
                  <a:ln w="9525">
                    <a:noFill/>
                    <a:miter lim="800000"/>
                    <a:headEnd/>
                    <a:tailEnd/>
                  </a:ln>
                </pic:spPr>
              </pic:pic>
            </a:graphicData>
          </a:graphic>
        </wp:inline>
      </w:drawing>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kNTBjOWRmNGVhNzk2MmFlZmIzOTllZmFhOWM1YjkifQ=="/>
  </w:docVars>
  <w:rsids>
    <w:rsidRoot w:val="006D09E4"/>
    <w:rsid w:val="00000E72"/>
    <w:rsid w:val="00043E23"/>
    <w:rsid w:val="00047A4C"/>
    <w:rsid w:val="000600F4"/>
    <w:rsid w:val="0007000E"/>
    <w:rsid w:val="000C3E4D"/>
    <w:rsid w:val="000C70F1"/>
    <w:rsid w:val="0010531C"/>
    <w:rsid w:val="00107B2A"/>
    <w:rsid w:val="00216439"/>
    <w:rsid w:val="002463A0"/>
    <w:rsid w:val="002F0BCC"/>
    <w:rsid w:val="0032579E"/>
    <w:rsid w:val="003A3A6B"/>
    <w:rsid w:val="00452644"/>
    <w:rsid w:val="004716F8"/>
    <w:rsid w:val="004B3CF0"/>
    <w:rsid w:val="004D5176"/>
    <w:rsid w:val="004E1EA8"/>
    <w:rsid w:val="004F0BA1"/>
    <w:rsid w:val="0052240E"/>
    <w:rsid w:val="00570D70"/>
    <w:rsid w:val="005C7614"/>
    <w:rsid w:val="005F3CA8"/>
    <w:rsid w:val="00622CAE"/>
    <w:rsid w:val="006843DF"/>
    <w:rsid w:val="006D09E4"/>
    <w:rsid w:val="0070463B"/>
    <w:rsid w:val="00722CB2"/>
    <w:rsid w:val="00753115"/>
    <w:rsid w:val="00791E26"/>
    <w:rsid w:val="007E5458"/>
    <w:rsid w:val="00823DBB"/>
    <w:rsid w:val="00830681"/>
    <w:rsid w:val="008761F8"/>
    <w:rsid w:val="0087697D"/>
    <w:rsid w:val="00886220"/>
    <w:rsid w:val="008C791B"/>
    <w:rsid w:val="00951FA2"/>
    <w:rsid w:val="009B1D4F"/>
    <w:rsid w:val="009B6701"/>
    <w:rsid w:val="009C0E9A"/>
    <w:rsid w:val="00A1347F"/>
    <w:rsid w:val="00A24393"/>
    <w:rsid w:val="00A36E07"/>
    <w:rsid w:val="00A56F4B"/>
    <w:rsid w:val="00A77AEA"/>
    <w:rsid w:val="00A86839"/>
    <w:rsid w:val="00A96F5A"/>
    <w:rsid w:val="00AB43B7"/>
    <w:rsid w:val="00AD5791"/>
    <w:rsid w:val="00AE0A95"/>
    <w:rsid w:val="00AF467D"/>
    <w:rsid w:val="00B5297E"/>
    <w:rsid w:val="00B7156F"/>
    <w:rsid w:val="00B73D7D"/>
    <w:rsid w:val="00B82E22"/>
    <w:rsid w:val="00BB2802"/>
    <w:rsid w:val="00C12464"/>
    <w:rsid w:val="00C406CE"/>
    <w:rsid w:val="00C50308"/>
    <w:rsid w:val="00C63DCF"/>
    <w:rsid w:val="00C8126B"/>
    <w:rsid w:val="00C95CC3"/>
    <w:rsid w:val="00CB10E6"/>
    <w:rsid w:val="00CB5360"/>
    <w:rsid w:val="00CB67BD"/>
    <w:rsid w:val="00CD14B3"/>
    <w:rsid w:val="00CD1F1B"/>
    <w:rsid w:val="00CF72FC"/>
    <w:rsid w:val="00D04FB3"/>
    <w:rsid w:val="00D36775"/>
    <w:rsid w:val="00D7509E"/>
    <w:rsid w:val="00DA2F14"/>
    <w:rsid w:val="00DC2BD9"/>
    <w:rsid w:val="00DF3910"/>
    <w:rsid w:val="00E414C9"/>
    <w:rsid w:val="00E50DFA"/>
    <w:rsid w:val="00E81B7C"/>
    <w:rsid w:val="00E94D7E"/>
    <w:rsid w:val="00EB2D71"/>
    <w:rsid w:val="00F87EF0"/>
    <w:rsid w:val="04943ACF"/>
    <w:rsid w:val="04D4193C"/>
    <w:rsid w:val="09620D4B"/>
    <w:rsid w:val="0B781BBB"/>
    <w:rsid w:val="0BF606D3"/>
    <w:rsid w:val="10223DB2"/>
    <w:rsid w:val="15442068"/>
    <w:rsid w:val="15656E1F"/>
    <w:rsid w:val="197822EC"/>
    <w:rsid w:val="1CD53EA9"/>
    <w:rsid w:val="1E9D44FA"/>
    <w:rsid w:val="1F100F1A"/>
    <w:rsid w:val="25532192"/>
    <w:rsid w:val="287C3E30"/>
    <w:rsid w:val="29CE4854"/>
    <w:rsid w:val="2CD1662F"/>
    <w:rsid w:val="2D9445D7"/>
    <w:rsid w:val="2DE47F8D"/>
    <w:rsid w:val="2E1A1CB3"/>
    <w:rsid w:val="2F1F1056"/>
    <w:rsid w:val="329E2502"/>
    <w:rsid w:val="34E925CE"/>
    <w:rsid w:val="37063652"/>
    <w:rsid w:val="393D67A4"/>
    <w:rsid w:val="3D1F5146"/>
    <w:rsid w:val="491A14E6"/>
    <w:rsid w:val="55046C49"/>
    <w:rsid w:val="56D55E34"/>
    <w:rsid w:val="5C2701FF"/>
    <w:rsid w:val="5F8211E2"/>
    <w:rsid w:val="60B04B8C"/>
    <w:rsid w:val="68F23590"/>
    <w:rsid w:val="69655DEC"/>
    <w:rsid w:val="6C7A3B4E"/>
    <w:rsid w:val="6FD56090"/>
    <w:rsid w:val="70472E3E"/>
    <w:rsid w:val="74E24525"/>
    <w:rsid w:val="76D637B8"/>
    <w:rsid w:val="79152894"/>
    <w:rsid w:val="79660FA7"/>
    <w:rsid w:val="79D52776"/>
    <w:rsid w:val="7B97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2028</Words>
  <Characters>2239</Characters>
  <Lines>14</Lines>
  <Paragraphs>4</Paragraphs>
  <TotalTime>28</TotalTime>
  <ScaleCrop>false</ScaleCrop>
  <LinksUpToDate>false</LinksUpToDate>
  <CharactersWithSpaces>2327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2023-06-07T01:39:00Z</dcterms:created>
  <dc:creator>刘海芬</dc:creator>
  <cp:lastModifiedBy>LCK</cp:lastModifiedBy>
  <cp:lastPrinted>2018-12-20T06:09:00Z</cp:lastPrinted>
  <dcterms:modified xsi:type="dcterms:W3CDTF">2025-09-16T08:10:54Z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C94B6C2241E8469BA5A9CC7A84613E14_13</vt:lpwstr>
  </property>
  <property fmtid="{D5CDD505-2E9C-101B-9397-08002B2CF9AE}" pid="4" name="KSOTemplateDocerSaveRecord">
    <vt:lpwstr>eyJoZGlkIjoiMGVkNTBjOWRmNGVhNzk2MmFlZmIzOTllZmFhOWM1YjkiLCJ1c2VySWQiOiI2NTA4NzcwIn0=</vt:lpwstr>
  </property>
</Properties>
</file>