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7A82A">
      <w:pPr>
        <w:widowControl/>
        <w:shd w:val="clear" w:color="auto" w:fill="FFFFFF"/>
        <w:spacing w:line="480" w:lineRule="auto"/>
        <w:rPr>
          <w:rFonts w:cs="宋体" w:asciiTheme="minorEastAsia" w:hAnsiTheme="minorEastAsia"/>
          <w:color w:val="000000"/>
          <w:kern w:val="0"/>
          <w:sz w:val="24"/>
          <w:szCs w:val="21"/>
        </w:rPr>
      </w:pPr>
      <w:r>
        <w:rPr>
          <w:rFonts w:cs="宋体" w:asciiTheme="minorEastAsia" w:hAnsiTheme="minorEastAsia"/>
          <w:color w:val="000000"/>
          <w:kern w:val="0"/>
          <w:sz w:val="24"/>
          <w:szCs w:val="21"/>
        </w:rPr>
        <w:t xml:space="preserve">证券代码：688379         </w:t>
      </w:r>
      <w:r>
        <w:rPr>
          <w:rFonts w:hint="eastAsia" w:cs="宋体" w:asciiTheme="minorEastAsia" w:hAnsiTheme="minorEastAsia"/>
          <w:color w:val="000000"/>
          <w:kern w:val="0"/>
          <w:sz w:val="24"/>
          <w:szCs w:val="21"/>
        </w:rPr>
        <w:t xml:space="preserve">    </w:t>
      </w:r>
      <w:r>
        <w:rPr>
          <w:rFonts w:cs="宋体" w:asciiTheme="minorEastAsia" w:hAnsiTheme="minorEastAsia"/>
          <w:color w:val="000000"/>
          <w:kern w:val="0"/>
          <w:sz w:val="24"/>
          <w:szCs w:val="21"/>
        </w:rPr>
        <w:t xml:space="preserve">                      </w:t>
      </w:r>
      <w:r>
        <w:rPr>
          <w:rFonts w:hint="eastAsia" w:cs="宋体" w:asciiTheme="minorEastAsia" w:hAnsiTheme="minorEastAsia"/>
          <w:color w:val="000000"/>
          <w:kern w:val="0"/>
          <w:sz w:val="24"/>
          <w:szCs w:val="21"/>
        </w:rPr>
        <w:t xml:space="preserve">   </w:t>
      </w:r>
      <w:r>
        <w:rPr>
          <w:rFonts w:cs="宋体" w:asciiTheme="minorEastAsia" w:hAnsiTheme="minorEastAsia"/>
          <w:color w:val="000000"/>
          <w:kern w:val="0"/>
          <w:sz w:val="24"/>
          <w:szCs w:val="21"/>
        </w:rPr>
        <w:t>证券简称：华光新材</w:t>
      </w:r>
    </w:p>
    <w:p w14:paraId="5CEF468A">
      <w:pPr>
        <w:widowControl/>
        <w:shd w:val="clear" w:color="auto" w:fill="FFFFFF"/>
        <w:spacing w:line="480" w:lineRule="auto"/>
        <w:jc w:val="center"/>
        <w:rPr>
          <w:rFonts w:ascii="Courier New" w:hAnsi="Courier New" w:eastAsia="宋体" w:cs="宋体"/>
          <w:color w:val="000000"/>
          <w:kern w:val="0"/>
          <w:sz w:val="30"/>
          <w:szCs w:val="30"/>
        </w:rPr>
      </w:pPr>
      <w:r>
        <w:rPr>
          <w:rFonts w:ascii="Courier New" w:hAnsi="Courier New" w:eastAsia="宋体" w:cs="宋体"/>
          <w:b/>
          <w:bCs/>
          <w:color w:val="000000"/>
          <w:kern w:val="0"/>
          <w:sz w:val="30"/>
          <w:szCs w:val="30"/>
        </w:rPr>
        <w:t>杭州华光焊接新材料股份有限公司投资者关系活动记录表</w:t>
      </w:r>
    </w:p>
    <w:p w14:paraId="736F1EC5">
      <w:pPr>
        <w:widowControl/>
        <w:shd w:val="clear" w:color="auto" w:fill="FFFFFF"/>
        <w:spacing w:line="480" w:lineRule="auto"/>
        <w:ind w:firstLine="480" w:firstLineChars="200"/>
        <w:jc w:val="right"/>
        <w:rPr>
          <w:rFonts w:cs="宋体" w:asciiTheme="minorEastAsia" w:hAnsiTheme="minorEastAsia"/>
          <w:color w:val="000000"/>
          <w:kern w:val="0"/>
          <w:sz w:val="24"/>
          <w:szCs w:val="21"/>
        </w:rPr>
      </w:pPr>
      <w:r>
        <w:rPr>
          <w:rFonts w:cs="宋体" w:asciiTheme="minorEastAsia" w:hAnsiTheme="minorEastAsia"/>
          <w:color w:val="000000"/>
          <w:kern w:val="0"/>
          <w:sz w:val="24"/>
          <w:szCs w:val="21"/>
        </w:rPr>
        <w:t>编号：202</w:t>
      </w:r>
      <w:r>
        <w:rPr>
          <w:rFonts w:hint="eastAsia" w:cs="宋体" w:asciiTheme="minorEastAsia" w:hAnsiTheme="minorEastAsia"/>
          <w:color w:val="000000"/>
          <w:kern w:val="0"/>
          <w:sz w:val="24"/>
          <w:szCs w:val="21"/>
        </w:rPr>
        <w:t>5</w:t>
      </w:r>
      <w:r>
        <w:rPr>
          <w:rFonts w:cs="宋体" w:asciiTheme="minorEastAsia" w:hAnsiTheme="minorEastAsia"/>
          <w:color w:val="000000"/>
          <w:kern w:val="0"/>
          <w:sz w:val="24"/>
          <w:szCs w:val="21"/>
        </w:rPr>
        <w:t>-00</w:t>
      </w:r>
      <w:r>
        <w:rPr>
          <w:rFonts w:hint="eastAsia" w:cs="宋体" w:asciiTheme="minorEastAsia" w:hAnsiTheme="minorEastAsia"/>
          <w:color w:val="000000"/>
          <w:kern w:val="0"/>
          <w:sz w:val="24"/>
          <w:szCs w:val="21"/>
          <w:lang w:val="en-US" w:eastAsia="zh-CN"/>
        </w:rPr>
        <w:t>3</w:t>
      </w:r>
    </w:p>
    <w:tbl>
      <w:tblPr>
        <w:tblStyle w:val="11"/>
        <w:tblpPr w:leftFromText="180" w:rightFromText="180" w:vertAnchor="text" w:tblpXSpec="right" w:tblpY="1"/>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455"/>
      </w:tblGrid>
      <w:tr w14:paraId="1737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1468024F">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投资者关系活动类别</w:t>
            </w:r>
          </w:p>
        </w:tc>
        <w:tc>
          <w:tcPr>
            <w:tcW w:w="7455" w:type="dxa"/>
            <w:vAlign w:val="center"/>
          </w:tcPr>
          <w:p w14:paraId="49DF202B">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■特定对象调研 □分析师会议</w:t>
            </w:r>
          </w:p>
          <w:p w14:paraId="41EFF59A">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□媒体采访 □业绩说明会</w:t>
            </w:r>
          </w:p>
          <w:p w14:paraId="7A0BC222">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□新闻发布会 □路演活动</w:t>
            </w:r>
          </w:p>
          <w:p w14:paraId="108B7FFE">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□现场参观</w:t>
            </w:r>
          </w:p>
          <w:p w14:paraId="65A74FB6">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□其他</w:t>
            </w:r>
          </w:p>
        </w:tc>
      </w:tr>
      <w:tr w14:paraId="00EA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1696" w:type="dxa"/>
            <w:vAlign w:val="center"/>
          </w:tcPr>
          <w:p w14:paraId="590985A1">
            <w:pPr>
              <w:widowControl/>
              <w:spacing w:line="3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参与单位名称</w:t>
            </w:r>
          </w:p>
        </w:tc>
        <w:tc>
          <w:tcPr>
            <w:tcW w:w="7455" w:type="dxa"/>
            <w:vAlign w:val="center"/>
          </w:tcPr>
          <w:p w14:paraId="20B68415">
            <w:pPr>
              <w:widowControl/>
              <w:spacing w:line="420" w:lineRule="atLeast"/>
              <w:jc w:val="left"/>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lang w:eastAsia="zh-CN"/>
              </w:rPr>
              <w:t>云能投资、向三创、中信证券、博衍基金、武当资产、东源嘉盈、国金证券、国寿资产、国寿养老、重阳投资、万家基金、长江资管、东恺投资、招商证券</w:t>
            </w:r>
          </w:p>
        </w:tc>
      </w:tr>
      <w:tr w14:paraId="4B76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5E55BDDD">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时间</w:t>
            </w:r>
          </w:p>
        </w:tc>
        <w:tc>
          <w:tcPr>
            <w:tcW w:w="7455" w:type="dxa"/>
            <w:vAlign w:val="center"/>
          </w:tcPr>
          <w:p w14:paraId="2FE8A725">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202</w:t>
            </w:r>
            <w:r>
              <w:rPr>
                <w:rFonts w:hint="eastAsia" w:ascii="Times New Roman" w:hAnsi="Times New Roman" w:eastAsia="宋体" w:cs="Times New Roman"/>
                <w:color w:val="000000"/>
                <w:kern w:val="0"/>
                <w:sz w:val="24"/>
                <w:szCs w:val="21"/>
              </w:rPr>
              <w:t>5</w:t>
            </w:r>
            <w:r>
              <w:rPr>
                <w:rFonts w:ascii="Times New Roman" w:hAnsi="Times New Roman" w:eastAsia="宋体" w:cs="Times New Roman"/>
                <w:color w:val="000000"/>
                <w:kern w:val="0"/>
                <w:sz w:val="24"/>
                <w:szCs w:val="21"/>
              </w:rPr>
              <w:t>年</w:t>
            </w:r>
            <w:r>
              <w:rPr>
                <w:rFonts w:hint="eastAsia" w:ascii="Times New Roman" w:hAnsi="Times New Roman" w:eastAsia="宋体" w:cs="Times New Roman"/>
                <w:color w:val="000000"/>
                <w:kern w:val="0"/>
                <w:sz w:val="24"/>
                <w:szCs w:val="21"/>
                <w:lang w:val="en-US" w:eastAsia="zh-CN"/>
              </w:rPr>
              <w:t>9</w:t>
            </w:r>
            <w:r>
              <w:rPr>
                <w:rFonts w:ascii="Times New Roman" w:hAnsi="Times New Roman" w:eastAsia="宋体" w:cs="Times New Roman"/>
                <w:color w:val="000000"/>
                <w:kern w:val="0"/>
                <w:sz w:val="24"/>
                <w:szCs w:val="21"/>
              </w:rPr>
              <w:t>月</w:t>
            </w:r>
            <w:r>
              <w:rPr>
                <w:rFonts w:hint="eastAsia" w:ascii="Times New Roman" w:hAnsi="Times New Roman" w:eastAsia="宋体" w:cs="Times New Roman"/>
                <w:color w:val="000000"/>
                <w:kern w:val="0"/>
                <w:sz w:val="24"/>
                <w:szCs w:val="21"/>
                <w:lang w:val="en-US" w:eastAsia="zh-CN"/>
              </w:rPr>
              <w:t>10</w:t>
            </w:r>
            <w:r>
              <w:rPr>
                <w:rFonts w:hint="eastAsia" w:ascii="Times New Roman" w:hAnsi="Times New Roman" w:eastAsia="宋体" w:cs="Times New Roman"/>
                <w:color w:val="000000"/>
                <w:kern w:val="0"/>
                <w:sz w:val="24"/>
                <w:szCs w:val="21"/>
              </w:rPr>
              <w:t>日-2025年9月</w:t>
            </w:r>
            <w:r>
              <w:rPr>
                <w:rFonts w:hint="eastAsia" w:ascii="Times New Roman" w:hAnsi="Times New Roman" w:eastAsia="宋体" w:cs="Times New Roman"/>
                <w:color w:val="000000"/>
                <w:kern w:val="0"/>
                <w:sz w:val="24"/>
                <w:szCs w:val="21"/>
                <w:lang w:val="en-US" w:eastAsia="zh-CN"/>
              </w:rPr>
              <w:t>12</w:t>
            </w:r>
            <w:r>
              <w:rPr>
                <w:rFonts w:hint="eastAsia" w:ascii="Times New Roman" w:hAnsi="Times New Roman" w:eastAsia="宋体" w:cs="Times New Roman"/>
                <w:color w:val="000000"/>
                <w:kern w:val="0"/>
                <w:sz w:val="24"/>
                <w:szCs w:val="21"/>
              </w:rPr>
              <w:t>日</w:t>
            </w:r>
          </w:p>
        </w:tc>
      </w:tr>
      <w:tr w14:paraId="566B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7DA5D8F5">
            <w:pPr>
              <w:widowControl/>
              <w:spacing w:line="420" w:lineRule="atLeast"/>
              <w:jc w:val="left"/>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参会方式</w:t>
            </w:r>
          </w:p>
        </w:tc>
        <w:tc>
          <w:tcPr>
            <w:tcW w:w="7455" w:type="dxa"/>
            <w:vAlign w:val="center"/>
          </w:tcPr>
          <w:p w14:paraId="3D3DBECB">
            <w:pPr>
              <w:widowControl/>
              <w:spacing w:line="420" w:lineRule="atLeast"/>
              <w:jc w:val="left"/>
              <w:rPr>
                <w:rFonts w:ascii="Times New Roman" w:hAnsi="Times New Roman" w:cs="Times New Roman"/>
                <w:color w:val="000000"/>
                <w:kern w:val="0"/>
                <w:sz w:val="24"/>
                <w:szCs w:val="21"/>
              </w:rPr>
            </w:pPr>
            <w:r>
              <w:rPr>
                <w:rFonts w:hint="eastAsia" w:ascii="Times New Roman" w:hAnsi="Times New Roman" w:cs="Times New Roman"/>
                <w:color w:val="000000"/>
                <w:sz w:val="24"/>
                <w:szCs w:val="21"/>
                <w:shd w:val="clear" w:color="auto" w:fill="FFFFFF"/>
              </w:rPr>
              <w:t>现场调研</w:t>
            </w:r>
          </w:p>
        </w:tc>
      </w:tr>
      <w:tr w14:paraId="74D2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2D3E16F7">
            <w:pPr>
              <w:widowControl/>
              <w:spacing w:line="3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上市公司接待人员姓名</w:t>
            </w:r>
          </w:p>
        </w:tc>
        <w:tc>
          <w:tcPr>
            <w:tcW w:w="7455" w:type="dxa"/>
            <w:vAlign w:val="center"/>
          </w:tcPr>
          <w:p w14:paraId="7DA6E330">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董事会秘书胡岭、证券事务代表李美娟</w:t>
            </w:r>
          </w:p>
        </w:tc>
      </w:tr>
      <w:tr w14:paraId="477A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7EDFCC0C">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投资者关系活动主要内容介绍</w:t>
            </w:r>
          </w:p>
        </w:tc>
        <w:tc>
          <w:tcPr>
            <w:tcW w:w="7455" w:type="dxa"/>
            <w:vAlign w:val="center"/>
          </w:tcPr>
          <w:p w14:paraId="0A0CC31A">
            <w:pPr>
              <w:widowControl/>
              <w:spacing w:line="420" w:lineRule="atLeast"/>
              <w:jc w:val="left"/>
              <w:rPr>
                <w:rFonts w:ascii="Times New Roman" w:hAnsi="Times New Roman" w:eastAsia="宋体" w:cs="Times New Roman"/>
                <w:sz w:val="24"/>
                <w:szCs w:val="24"/>
              </w:rPr>
            </w:pPr>
            <w:r>
              <w:rPr>
                <w:rFonts w:ascii="Times New Roman" w:hAnsi="Times New Roman" w:eastAsia="宋体" w:cs="Times New Roman"/>
                <w:sz w:val="24"/>
                <w:szCs w:val="24"/>
              </w:rPr>
              <w:t>第一部分 介绍公司相关情况</w:t>
            </w:r>
          </w:p>
          <w:p w14:paraId="05E03ECD">
            <w:pPr>
              <w:widowControl/>
              <w:spacing w:line="420" w:lineRule="atLeas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在会议开始阶段</w:t>
            </w:r>
            <w:r>
              <w:rPr>
                <w:rFonts w:hint="eastAsia" w:ascii="Times New Roman" w:hAnsi="Times New Roman" w:eastAsia="宋体" w:cs="Times New Roman"/>
                <w:sz w:val="24"/>
                <w:szCs w:val="24"/>
              </w:rPr>
              <w:t>公司</w:t>
            </w:r>
            <w:r>
              <w:rPr>
                <w:rFonts w:ascii="Times New Roman" w:hAnsi="Times New Roman" w:eastAsia="宋体" w:cs="Times New Roman"/>
                <w:sz w:val="24"/>
                <w:szCs w:val="24"/>
              </w:rPr>
              <w:t>介绍了</w:t>
            </w:r>
            <w:r>
              <w:rPr>
                <w:rFonts w:hint="eastAsia" w:ascii="Times New Roman" w:hAnsi="Times New Roman" w:eastAsia="宋体" w:cs="Times New Roman"/>
                <w:sz w:val="24"/>
                <w:szCs w:val="24"/>
              </w:rPr>
              <w:t>华光基本情况、半年度经营情况、未来发展规划</w:t>
            </w:r>
            <w:r>
              <w:rPr>
                <w:rFonts w:ascii="Times New Roman" w:hAnsi="Times New Roman" w:eastAsia="宋体" w:cs="Times New Roman"/>
                <w:sz w:val="24"/>
                <w:szCs w:val="24"/>
              </w:rPr>
              <w:t>及</w:t>
            </w:r>
            <w:r>
              <w:rPr>
                <w:rFonts w:hint="eastAsia" w:ascii="Times New Roman" w:hAnsi="Times New Roman" w:eastAsia="宋体" w:cs="Times New Roman"/>
                <w:sz w:val="24"/>
                <w:szCs w:val="24"/>
              </w:rPr>
              <w:t>新产品新市场布局情况</w:t>
            </w:r>
            <w:r>
              <w:rPr>
                <w:rFonts w:ascii="Times New Roman" w:hAnsi="Times New Roman" w:eastAsia="宋体" w:cs="Times New Roman"/>
                <w:sz w:val="24"/>
                <w:szCs w:val="24"/>
              </w:rPr>
              <w:t>。</w:t>
            </w:r>
          </w:p>
          <w:p w14:paraId="30EA43E7">
            <w:pPr>
              <w:widowControl/>
              <w:spacing w:line="420" w:lineRule="atLeast"/>
              <w:jc w:val="left"/>
              <w:rPr>
                <w:rFonts w:ascii="Times New Roman" w:hAnsi="Times New Roman" w:eastAsia="宋体" w:cs="Times New Roman"/>
                <w:sz w:val="24"/>
                <w:szCs w:val="24"/>
              </w:rPr>
            </w:pPr>
          </w:p>
          <w:p w14:paraId="4980CB64">
            <w:pPr>
              <w:widowControl/>
              <w:numPr>
                <w:ilvl w:val="0"/>
                <w:numId w:val="1"/>
              </w:num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提问回答</w:t>
            </w:r>
          </w:p>
          <w:p w14:paraId="2AF84A80">
            <w:pPr>
              <w:spacing w:line="360" w:lineRule="auto"/>
              <w:rPr>
                <w:rFonts w:hint="eastAsia" w:ascii="Times New Roman" w:hAnsi="Times New Roman" w:cs="Times New Roman"/>
                <w:b/>
                <w:bCs/>
                <w:sz w:val="24"/>
                <w:szCs w:val="24"/>
                <w:lang w:val="en-US" w:eastAsia="zh-CN"/>
              </w:rPr>
            </w:pPr>
            <w:r>
              <w:rPr>
                <w:rFonts w:ascii="Times New Roman" w:hAnsi="Times New Roman" w:cs="Times New Roman"/>
                <w:b/>
                <w:bCs/>
                <w:sz w:val="24"/>
                <w:szCs w:val="24"/>
              </w:rPr>
              <w:t>问题1：</w:t>
            </w:r>
            <w:r>
              <w:rPr>
                <w:rFonts w:hint="eastAsia" w:ascii="Times New Roman" w:hAnsi="Times New Roman" w:cs="Times New Roman"/>
                <w:b/>
                <w:bCs/>
                <w:sz w:val="24"/>
                <w:szCs w:val="24"/>
                <w:lang w:val="en-US" w:eastAsia="zh-CN"/>
              </w:rPr>
              <w:t>上半年公司各业务领域都保持了比较好的增速，下半年趋势如何？</w:t>
            </w:r>
          </w:p>
          <w:p w14:paraId="617445B5">
            <w:pPr>
              <w:spacing w:line="360" w:lineRule="auto"/>
              <w:rPr>
                <w:rFonts w:hint="default" w:ascii="Times New Roman" w:hAnsi="Times New Roman" w:cs="Times New Roman" w:eastAsiaTheme="minorEastAsia"/>
                <w:b w:val="0"/>
                <w:bCs w:val="0"/>
                <w:sz w:val="24"/>
                <w:szCs w:val="24"/>
                <w:lang w:val="en-US" w:eastAsia="zh-CN"/>
              </w:rPr>
            </w:pPr>
            <w:r>
              <w:rPr>
                <w:rFonts w:hint="eastAsia" w:ascii="Times New Roman" w:hAnsi="Times New Roman" w:cs="Times New Roman"/>
                <w:b w:val="0"/>
                <w:bCs w:val="0"/>
                <w:sz w:val="24"/>
                <w:szCs w:val="24"/>
                <w:lang w:eastAsia="zh-CN"/>
              </w:rPr>
              <w:t>答：公司近年来</w:t>
            </w:r>
            <w:r>
              <w:rPr>
                <w:rFonts w:hint="eastAsia" w:asciiTheme="minorEastAsia" w:hAnsiTheme="minorEastAsia" w:eastAsiaTheme="minorEastAsia"/>
                <w:sz w:val="24"/>
                <w:szCs w:val="24"/>
              </w:rPr>
              <w:t>充分发挥钎焊</w:t>
            </w:r>
            <w:r>
              <w:rPr>
                <w:rFonts w:asciiTheme="minorEastAsia" w:hAnsiTheme="minorEastAsia" w:eastAsiaTheme="minorEastAsia"/>
                <w:sz w:val="24"/>
                <w:szCs w:val="24"/>
              </w:rPr>
              <w:t>材料</w:t>
            </w:r>
            <w:r>
              <w:rPr>
                <w:rFonts w:hint="eastAsia" w:asciiTheme="minorEastAsia" w:hAnsiTheme="minorEastAsia" w:eastAsiaTheme="minorEastAsia"/>
                <w:sz w:val="24"/>
                <w:szCs w:val="24"/>
              </w:rPr>
              <w:t>“工业万能胶”的特色，</w:t>
            </w:r>
            <w:r>
              <w:rPr>
                <w:rFonts w:hint="eastAsia" w:asciiTheme="minorEastAsia" w:hAnsiTheme="minorEastAsia"/>
                <w:sz w:val="24"/>
                <w:szCs w:val="24"/>
                <w:lang w:eastAsia="zh-CN"/>
              </w:rPr>
              <w:t>通过新产品新技术的创新及新市场的逐步拓展，</w:t>
            </w:r>
            <w:r>
              <w:rPr>
                <w:rFonts w:hint="eastAsia" w:asciiTheme="minorEastAsia" w:hAnsiTheme="minorEastAsia" w:eastAsiaTheme="minorEastAsia"/>
                <w:sz w:val="24"/>
                <w:szCs w:val="24"/>
              </w:rPr>
              <w:t>持续扩大产业链布局</w:t>
            </w:r>
            <w:r>
              <w:rPr>
                <w:rFonts w:hint="eastAsia" w:asciiTheme="minorEastAsia" w:hAnsiTheme="minorEastAsia"/>
                <w:sz w:val="24"/>
                <w:szCs w:val="24"/>
                <w:lang w:eastAsia="zh-CN"/>
              </w:rPr>
              <w:t>，</w:t>
            </w:r>
            <w:r>
              <w:rPr>
                <w:rFonts w:hint="eastAsia" w:asciiTheme="minorEastAsia" w:hAnsiTheme="minorEastAsia" w:eastAsiaTheme="minorEastAsia"/>
                <w:sz w:val="24"/>
                <w:szCs w:val="24"/>
              </w:rPr>
              <w:t>在推动制冷暖通、电力电气等优势行业稳健增长的基础上，积极开拓新能源汽车、电子半导体、AI产业等新兴赛道</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2025年上半年各业务领域齐头并进，下半年力争进一步增长。</w:t>
            </w:r>
          </w:p>
          <w:p w14:paraId="766D2A51">
            <w:pPr>
              <w:spacing w:line="360" w:lineRule="auto"/>
              <w:rPr>
                <w:rFonts w:ascii="Times New Roman" w:hAnsi="Times New Roman" w:cs="Times New Roman"/>
                <w:b/>
                <w:bCs/>
                <w:sz w:val="24"/>
                <w:szCs w:val="24"/>
              </w:rPr>
            </w:pPr>
          </w:p>
          <w:p w14:paraId="697B92E4">
            <w:pPr>
              <w:spacing w:line="360" w:lineRule="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eastAsia="zh-CN"/>
              </w:rPr>
              <w:t>问题</w:t>
            </w:r>
            <w:r>
              <w:rPr>
                <w:rFonts w:hint="eastAsia" w:ascii="Times New Roman" w:hAnsi="Times New Roman" w:cs="Times New Roman"/>
                <w:b/>
                <w:bCs/>
                <w:sz w:val="24"/>
                <w:szCs w:val="24"/>
                <w:lang w:val="en-US" w:eastAsia="zh-CN"/>
              </w:rPr>
              <w:t>2、</w:t>
            </w:r>
            <w:r>
              <w:rPr>
                <w:rFonts w:hint="eastAsia" w:ascii="Times New Roman" w:hAnsi="Times New Roman" w:cs="Times New Roman"/>
                <w:b/>
                <w:bCs/>
                <w:sz w:val="24"/>
                <w:szCs w:val="24"/>
                <w:lang w:eastAsia="zh-CN"/>
              </w:rPr>
              <w:t>针对在</w:t>
            </w:r>
            <w:r>
              <w:rPr>
                <w:rFonts w:hint="eastAsia" w:ascii="Times New Roman" w:hAnsi="Times New Roman" w:cs="Times New Roman"/>
                <w:b/>
                <w:bCs/>
                <w:sz w:val="24"/>
                <w:szCs w:val="24"/>
                <w:lang w:val="en-US" w:eastAsia="zh-CN"/>
              </w:rPr>
              <w:t>AI液冷服务器领域的产品公司有何竞争优势，后续是否有扩产规划？</w:t>
            </w:r>
          </w:p>
          <w:p w14:paraId="4927CA18">
            <w:pPr>
              <w:spacing w:line="360" w:lineRule="auto"/>
              <w:rPr>
                <w:rFonts w:hint="default" w:ascii="Times New Roman" w:hAnsi="Times New Roman" w:cs="Times New Roman" w:eastAsiaTheme="minorEastAsia"/>
                <w:b w:val="0"/>
                <w:bCs w:val="0"/>
                <w:sz w:val="24"/>
                <w:szCs w:val="24"/>
                <w:lang w:val="en-US" w:eastAsia="zh-CN"/>
              </w:rPr>
            </w:pPr>
            <w:r>
              <w:rPr>
                <w:rFonts w:hint="eastAsia" w:ascii="Times New Roman" w:hAnsi="Times New Roman" w:cs="Times New Roman"/>
                <w:b w:val="0"/>
                <w:bCs w:val="0"/>
                <w:sz w:val="24"/>
                <w:szCs w:val="24"/>
                <w:lang w:eastAsia="zh-CN"/>
              </w:rPr>
              <w:t>答：公司在</w:t>
            </w:r>
            <w:r>
              <w:rPr>
                <w:rFonts w:hint="eastAsia" w:ascii="Times New Roman" w:hAnsi="Times New Roman" w:cs="Times New Roman"/>
                <w:b w:val="0"/>
                <w:bCs w:val="0"/>
                <w:sz w:val="24"/>
                <w:szCs w:val="24"/>
                <w:lang w:val="en-US" w:eastAsia="zh-CN"/>
              </w:rPr>
              <w:t>AI液冷服务器领域的产品目前主要为铜基精密焊片，竞争优势主要在于产品制备工艺及产能。公司凭借在数据中心热管理领域的技术实力与产品优势在2025第三届AI液冷散热产业链创新峰会上获得“数据中心最佳热管理材料供应商奖”。在现有业务基础上公司也在逐步推进新产品新客户的验证，后续随着市场需求的进一步增长公司将通过扩大产能更好的满足市场需求。</w:t>
            </w:r>
          </w:p>
          <w:p w14:paraId="2501500B">
            <w:pPr>
              <w:spacing w:line="360" w:lineRule="auto"/>
              <w:rPr>
                <w:rFonts w:hint="eastAsia" w:ascii="Times New Roman" w:hAnsi="Times New Roman" w:cs="Times New Roman"/>
                <w:b/>
                <w:bCs/>
                <w:sz w:val="24"/>
                <w:szCs w:val="24"/>
                <w:lang w:val="en-US" w:eastAsia="zh-CN"/>
              </w:rPr>
            </w:pPr>
          </w:p>
          <w:p w14:paraId="784A1FAF">
            <w:pPr>
              <w:spacing w:line="360" w:lineRule="auto"/>
              <w:rPr>
                <w:rFonts w:hint="eastAsia" w:eastAsia="宋体" w:cs="Times New Roman"/>
                <w:sz w:val="24"/>
                <w:szCs w:val="24"/>
                <w:lang w:eastAsia="zh-CN"/>
              </w:rPr>
            </w:pPr>
            <w:r>
              <w:rPr>
                <w:rFonts w:hint="eastAsia" w:ascii="Times New Roman" w:hAnsi="Times New Roman" w:cs="Times New Roman"/>
                <w:b/>
                <w:bCs/>
                <w:sz w:val="24"/>
                <w:szCs w:val="24"/>
                <w:lang w:val="en-US" w:eastAsia="zh-CN"/>
              </w:rPr>
              <w:t>问题3、国内目前产能利用率情况如何，预计什么时间达产？</w:t>
            </w:r>
          </w:p>
          <w:p w14:paraId="0E31510F">
            <w:pPr>
              <w:spacing w:line="360" w:lineRule="auto"/>
              <w:rPr>
                <w:rFonts w:hint="default" w:ascii="Times New Roman" w:hAnsi="Times New Roman" w:cs="Times New Roman" w:eastAsiaTheme="minorEastAsia"/>
                <w:b w:val="0"/>
                <w:bCs w:val="0"/>
                <w:sz w:val="24"/>
                <w:szCs w:val="24"/>
                <w:lang w:val="en-US" w:eastAsia="zh-CN"/>
              </w:rPr>
            </w:pPr>
            <w:r>
              <w:rPr>
                <w:rFonts w:hint="eastAsia" w:ascii="Times New Roman" w:hAnsi="Times New Roman" w:cs="Times New Roman"/>
                <w:b w:val="0"/>
                <w:bCs w:val="0"/>
                <w:sz w:val="24"/>
                <w:szCs w:val="24"/>
                <w:lang w:eastAsia="zh-CN"/>
              </w:rPr>
              <w:t>答：目前公司国内整体产能利用率为</w:t>
            </w:r>
            <w:r>
              <w:rPr>
                <w:rFonts w:hint="eastAsia" w:ascii="Times New Roman" w:hAnsi="Times New Roman" w:cs="Times New Roman"/>
                <w:b w:val="0"/>
                <w:bCs w:val="0"/>
                <w:sz w:val="24"/>
                <w:szCs w:val="24"/>
                <w:lang w:val="en-US" w:eastAsia="zh-CN"/>
              </w:rPr>
              <w:t>80%以上，力争明年能够达产。</w:t>
            </w:r>
          </w:p>
          <w:p w14:paraId="5178D880">
            <w:pPr>
              <w:spacing w:line="360" w:lineRule="auto"/>
              <w:rPr>
                <w:rFonts w:hint="eastAsia" w:ascii="Times New Roman" w:hAnsi="Times New Roman" w:cs="Times New Roman"/>
                <w:b/>
                <w:bCs/>
                <w:sz w:val="24"/>
                <w:szCs w:val="24"/>
                <w:lang w:val="en-US" w:eastAsia="zh-CN"/>
              </w:rPr>
            </w:pPr>
          </w:p>
          <w:p w14:paraId="32C259C8">
            <w:pPr>
              <w:spacing w:line="360" w:lineRule="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问题4、公司泰国生产基地规划生产哪些产品，预计投资多少资金，主要拓展哪些下游市场？</w:t>
            </w:r>
          </w:p>
          <w:p w14:paraId="2E6CE2A2">
            <w:pPr>
              <w:spacing w:line="360" w:lineRule="auto"/>
              <w:rPr>
                <w:rFonts w:hint="eastAsia" w:ascii="Times New Roman" w:hAnsi="Times New Roman" w:cs="Times New Roman"/>
                <w:b/>
                <w:bCs/>
                <w:sz w:val="24"/>
                <w:szCs w:val="24"/>
                <w:lang w:val="en-US" w:eastAsia="zh-CN"/>
              </w:rPr>
            </w:pPr>
            <w:r>
              <w:rPr>
                <w:rFonts w:hint="eastAsia" w:ascii="Times New Roman" w:hAnsi="Times New Roman" w:cs="Times New Roman"/>
                <w:b w:val="0"/>
                <w:bCs w:val="0"/>
                <w:sz w:val="24"/>
                <w:szCs w:val="24"/>
                <w:lang w:eastAsia="zh-CN"/>
              </w:rPr>
              <w:t>答：泰国工厂规划主要生产银钎料、铜基钎料、锡基钎料、铝基钎料，总投资</w:t>
            </w:r>
            <w:r>
              <w:rPr>
                <w:rFonts w:hint="eastAsia" w:ascii="Times New Roman" w:hAnsi="Times New Roman" w:cs="Times New Roman"/>
                <w:b w:val="0"/>
                <w:bCs w:val="0"/>
                <w:sz w:val="24"/>
                <w:szCs w:val="24"/>
                <w:lang w:val="en-US" w:eastAsia="zh-CN"/>
              </w:rPr>
              <w:t>3亿元左右，</w:t>
            </w:r>
            <w:r>
              <w:rPr>
                <w:rFonts w:hint="eastAsia" w:ascii="Times New Roman" w:hAnsi="Times New Roman" w:cs="Times New Roman"/>
                <w:b w:val="0"/>
                <w:bCs w:val="0"/>
                <w:sz w:val="24"/>
                <w:szCs w:val="24"/>
                <w:lang w:eastAsia="zh-CN"/>
              </w:rPr>
              <w:t>对应的下游主要包含制冷暖通、电力电气、新能源汽车和电子等领域，公司规划通过泰国生产基地的建设加快推进“华开全球”的国际化战略。</w:t>
            </w:r>
          </w:p>
          <w:p w14:paraId="009E2E7B">
            <w:pPr>
              <w:spacing w:line="360" w:lineRule="auto"/>
              <w:rPr>
                <w:rFonts w:hint="eastAsia" w:ascii="Times New Roman" w:hAnsi="Times New Roman" w:cs="Times New Roman"/>
                <w:b/>
                <w:bCs/>
                <w:sz w:val="24"/>
                <w:szCs w:val="24"/>
                <w:lang w:val="en-US" w:eastAsia="zh-CN"/>
              </w:rPr>
            </w:pPr>
          </w:p>
          <w:p w14:paraId="1931F10D">
            <w:pPr>
              <w:spacing w:line="360" w:lineRule="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问题5、公司目前应用在电子领域的锡基钎料产品推进情况如何？</w:t>
            </w:r>
          </w:p>
          <w:p w14:paraId="10C0F710">
            <w:pPr>
              <w:spacing w:line="360" w:lineRule="auto"/>
              <w:rPr>
                <w:rFonts w:asciiTheme="minorEastAsia" w:hAnsiTheme="minorEastAsia"/>
                <w:sz w:val="24"/>
                <w:szCs w:val="24"/>
              </w:rPr>
            </w:pPr>
            <w:r>
              <w:rPr>
                <w:rFonts w:hint="eastAsia" w:ascii="Times New Roman" w:hAnsi="Times New Roman" w:cs="Times New Roman"/>
                <w:b w:val="0"/>
                <w:bCs w:val="0"/>
                <w:sz w:val="24"/>
                <w:szCs w:val="24"/>
                <w:lang w:eastAsia="zh-CN"/>
              </w:rPr>
              <w:t>答：</w:t>
            </w:r>
            <w:r>
              <w:rPr>
                <w:rFonts w:hint="eastAsia" w:ascii="Times New Roman" w:hAnsi="Times New Roman" w:cs="Times New Roman"/>
                <w:b w:val="0"/>
                <w:bCs w:val="0"/>
                <w:sz w:val="24"/>
                <w:szCs w:val="24"/>
                <w:lang w:val="en-US" w:eastAsia="zh-CN"/>
              </w:rPr>
              <w:t>2025年上半年公司在电子领域的</w:t>
            </w:r>
            <w:r>
              <w:rPr>
                <w:rFonts w:hint="eastAsia" w:ascii="Times New Roman" w:hAnsi="Times New Roman" w:cs="Times New Roman"/>
                <w:b w:val="0"/>
                <w:bCs w:val="0"/>
                <w:sz w:val="24"/>
                <w:szCs w:val="24"/>
                <w:lang w:eastAsia="zh-CN"/>
              </w:rPr>
              <w:t>锡基钎料收入同比增长1180.81%，已成为公司第二增长曲线的重要支撑。后续</w:t>
            </w:r>
            <w:r>
              <w:rPr>
                <w:rFonts w:hint="eastAsia" w:asciiTheme="minorEastAsia" w:hAnsiTheme="minorEastAsia"/>
                <w:sz w:val="24"/>
                <w:szCs w:val="24"/>
              </w:rPr>
              <w:t>公司</w:t>
            </w:r>
            <w:r>
              <w:rPr>
                <w:rFonts w:hint="eastAsia" w:asciiTheme="minorEastAsia" w:hAnsiTheme="minorEastAsia"/>
                <w:sz w:val="24"/>
                <w:szCs w:val="24"/>
                <w:lang w:eastAsia="zh-CN"/>
              </w:rPr>
              <w:t>将重点推进锡焊膏产品的产业化进程，</w:t>
            </w:r>
            <w:r>
              <w:rPr>
                <w:rFonts w:hint="eastAsia" w:asciiTheme="minorEastAsia" w:hAnsiTheme="minorEastAsia"/>
                <w:sz w:val="24"/>
                <w:szCs w:val="24"/>
              </w:rPr>
              <w:t>不断开发新客户加快提升锡焊膏产品的收入占比，</w:t>
            </w:r>
            <w:r>
              <w:rPr>
                <w:rFonts w:hint="eastAsia" w:asciiTheme="minorEastAsia" w:hAnsiTheme="minorEastAsia"/>
                <w:sz w:val="24"/>
                <w:szCs w:val="24"/>
                <w:lang w:eastAsia="zh-CN"/>
              </w:rPr>
              <w:t>持续</w:t>
            </w:r>
            <w:r>
              <w:rPr>
                <w:rFonts w:hint="eastAsia" w:asciiTheme="minorEastAsia" w:hAnsiTheme="minorEastAsia"/>
                <w:sz w:val="24"/>
                <w:szCs w:val="24"/>
              </w:rPr>
              <w:t>优化产品结构。</w:t>
            </w:r>
          </w:p>
          <w:p w14:paraId="03AB0DB6">
            <w:pPr>
              <w:spacing w:line="360" w:lineRule="auto"/>
              <w:rPr>
                <w:rFonts w:hint="eastAsia" w:ascii="Times New Roman" w:hAnsi="Times New Roman" w:cs="Times New Roman"/>
                <w:b/>
                <w:bCs/>
                <w:sz w:val="24"/>
                <w:szCs w:val="24"/>
                <w:lang w:val="en-US" w:eastAsia="zh-CN"/>
              </w:rPr>
            </w:pPr>
          </w:p>
          <w:p w14:paraId="36C90615">
            <w:pPr>
              <w:spacing w:line="360" w:lineRule="auto"/>
              <w:rPr>
                <w:rFonts w:hint="eastAsia" w:eastAsia="宋体" w:cs="Times New Roman"/>
                <w:sz w:val="24"/>
                <w:szCs w:val="24"/>
                <w:lang w:eastAsia="zh-CN"/>
              </w:rPr>
            </w:pPr>
            <w:r>
              <w:rPr>
                <w:rFonts w:hint="eastAsia" w:ascii="Times New Roman" w:hAnsi="Times New Roman" w:cs="Times New Roman"/>
                <w:b/>
                <w:bCs/>
                <w:sz w:val="24"/>
                <w:szCs w:val="24"/>
                <w:lang w:val="en-US" w:eastAsia="zh-CN"/>
              </w:rPr>
              <w:t>问题6、</w:t>
            </w:r>
            <w:r>
              <w:rPr>
                <w:rFonts w:hint="default" w:ascii="Times New Roman" w:hAnsi="Times New Roman" w:cs="Times New Roman" w:eastAsiaTheme="minorEastAsia"/>
                <w:b/>
                <w:bCs/>
                <w:sz w:val="24"/>
                <w:szCs w:val="24"/>
                <w:lang w:eastAsia="zh-CN"/>
              </w:rPr>
              <w:t>针对原材料价格波动对公司利润的影响公司有什么防御措施？</w:t>
            </w:r>
          </w:p>
          <w:p w14:paraId="27A8E961">
            <w:pPr>
              <w:pStyle w:val="34"/>
              <w:spacing w:line="460" w:lineRule="exact"/>
              <w:ind w:left="0" w:leftChars="0" w:firstLine="0" w:firstLineChars="0"/>
              <w:rPr>
                <w:rFonts w:hint="default" w:ascii="宋体" w:hAnsi="宋体"/>
                <w:sz w:val="24"/>
                <w:szCs w:val="24"/>
              </w:rPr>
            </w:pPr>
            <w:r>
              <w:rPr>
                <w:rFonts w:hint="eastAsia" w:ascii="Times New Roman" w:hAnsi="Times New Roman" w:cs="Times New Roman"/>
                <w:b w:val="0"/>
                <w:bCs w:val="0"/>
                <w:sz w:val="24"/>
                <w:szCs w:val="24"/>
                <w:lang w:eastAsia="zh-CN"/>
              </w:rPr>
              <w:t>答：</w:t>
            </w:r>
            <w:r>
              <w:rPr>
                <w:rFonts w:hint="eastAsia" w:ascii="宋体" w:hAnsi="宋体" w:eastAsia="宋体"/>
                <w:sz w:val="24"/>
              </w:rPr>
              <w:t>公司成熟产品销售结算采用“原材料成本+加工费”的定价方式，</w:t>
            </w:r>
            <w:r>
              <w:rPr>
                <w:rFonts w:hint="eastAsia" w:ascii="宋体" w:hAnsi="宋体" w:eastAsia="宋体"/>
                <w:sz w:val="24"/>
                <w:lang w:eastAsia="zh-CN"/>
              </w:rPr>
              <w:t>原材料价格波动会对</w:t>
            </w:r>
            <w:r>
              <w:rPr>
                <w:rFonts w:hint="eastAsia" w:ascii="宋体" w:hAnsi="宋体"/>
                <w:sz w:val="24"/>
                <w:lang w:eastAsia="zh-CN"/>
              </w:rPr>
              <w:t>产品毛利率</w:t>
            </w:r>
            <w:r>
              <w:rPr>
                <w:rFonts w:hint="eastAsia" w:ascii="宋体" w:hAnsi="宋体" w:eastAsia="宋体"/>
                <w:sz w:val="24"/>
                <w:lang w:eastAsia="zh-CN"/>
              </w:rPr>
              <w:t>产生一定的影响</w:t>
            </w:r>
            <w:r>
              <w:rPr>
                <w:rFonts w:hint="eastAsia" w:ascii="宋体" w:hAnsi="宋体"/>
                <w:sz w:val="24"/>
                <w:lang w:eastAsia="zh-CN"/>
              </w:rPr>
              <w:t>。</w:t>
            </w:r>
            <w:r>
              <w:rPr>
                <w:rFonts w:hint="default" w:ascii="宋体" w:hAnsi="宋体"/>
                <w:sz w:val="24"/>
                <w:szCs w:val="24"/>
              </w:rPr>
              <w:t>公司</w:t>
            </w:r>
            <w:r>
              <w:rPr>
                <w:rFonts w:hint="eastAsia" w:ascii="宋体" w:hAnsi="宋体"/>
                <w:sz w:val="24"/>
                <w:szCs w:val="24"/>
                <w:lang w:eastAsia="zh-CN"/>
              </w:rPr>
              <w:t>通过</w:t>
            </w:r>
            <w:r>
              <w:rPr>
                <w:rFonts w:hint="default" w:ascii="宋体" w:hAnsi="宋体"/>
                <w:sz w:val="24"/>
                <w:szCs w:val="24"/>
              </w:rPr>
              <w:t>积极</w:t>
            </w:r>
            <w:r>
              <w:rPr>
                <w:rFonts w:hint="eastAsia" w:ascii="宋体" w:hAnsi="宋体"/>
                <w:sz w:val="24"/>
                <w:szCs w:val="24"/>
                <w:lang w:eastAsia="zh-CN"/>
              </w:rPr>
              <w:t>推进</w:t>
            </w:r>
            <w:r>
              <w:rPr>
                <w:rFonts w:hint="default" w:ascii="宋体" w:hAnsi="宋体"/>
                <w:sz w:val="24"/>
                <w:szCs w:val="24"/>
              </w:rPr>
              <w:t>供、产、销、财原材料联动机制，并通过套期保值等举措做好原材料价格波动的风险管控，逐步降低原材料价格波动对毛利率的影响。</w:t>
            </w:r>
          </w:p>
          <w:p w14:paraId="7837F0B1">
            <w:pPr>
              <w:spacing w:line="360" w:lineRule="auto"/>
              <w:rPr>
                <w:rFonts w:hint="eastAsia" w:ascii="Times New Roman" w:hAnsi="Times New Roman" w:cs="Times New Roman"/>
                <w:b/>
                <w:bCs/>
                <w:sz w:val="24"/>
                <w:szCs w:val="24"/>
                <w:lang w:val="en-US" w:eastAsia="zh-CN"/>
              </w:rPr>
            </w:pPr>
          </w:p>
          <w:p w14:paraId="66441029">
            <w:pPr>
              <w:spacing w:line="360" w:lineRule="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问题7、公司针对未来提升整体盈利能力有何规划？</w:t>
            </w:r>
          </w:p>
          <w:p w14:paraId="1B51DE4F">
            <w:pPr>
              <w:numPr>
                <w:ilvl w:val="0"/>
                <w:numId w:val="0"/>
              </w:numPr>
              <w:spacing w:line="400" w:lineRule="exact"/>
              <w:jc w:val="left"/>
              <w:rPr>
                <w:rFonts w:hint="eastAsia" w:ascii="Times New Roman" w:hAnsi="Times New Roman" w:cs="Times New Roman"/>
                <w:b w:val="0"/>
                <w:bCs w:val="0"/>
                <w:sz w:val="24"/>
                <w:szCs w:val="24"/>
                <w:lang w:eastAsia="zh-CN"/>
              </w:rPr>
            </w:pPr>
            <w:r>
              <w:rPr>
                <w:rFonts w:hint="eastAsia" w:ascii="Times New Roman" w:hAnsi="Times New Roman" w:cs="Times New Roman"/>
                <w:b w:val="0"/>
                <w:bCs w:val="0"/>
                <w:sz w:val="24"/>
                <w:szCs w:val="24"/>
                <w:lang w:eastAsia="zh-CN"/>
              </w:rPr>
              <w:t>答：公司将坚定围绕技术创新、全球化布局、精益管理与数智化转型战略，通过持续的新产品新技术突破、新兴市场渗透、海外市场加速拓展等举措，不断巩固行业地位。</w:t>
            </w:r>
            <w:r>
              <w:rPr>
                <w:rFonts w:hint="eastAsia" w:ascii="Times New Roman" w:hAnsi="Times New Roman" w:cs="Times New Roman" w:eastAsiaTheme="minorEastAsia"/>
                <w:i w:val="0"/>
                <w:iCs w:val="0"/>
                <w:caps w:val="0"/>
                <w:color w:val="auto"/>
                <w:spacing w:val="0"/>
                <w:sz w:val="24"/>
                <w:szCs w:val="24"/>
                <w:shd w:val="clear" w:fill="auto"/>
              </w:rPr>
              <w:t>近年来，公司在巩固中温钎料的优势地位的同时，积极拓展电子浆料、软钎料和高温焊料等领域新技术新产品，实现钎焊材料大类产品全覆盖，并不断培育与提升焊接整体解决方案的能力，支撑公司未来</w:t>
            </w:r>
            <w:r>
              <w:rPr>
                <w:rFonts w:hint="eastAsia" w:ascii="Times New Roman" w:hAnsi="Times New Roman" w:cs="Times New Roman"/>
                <w:i w:val="0"/>
                <w:iCs w:val="0"/>
                <w:caps w:val="0"/>
                <w:spacing w:val="0"/>
                <w:sz w:val="24"/>
                <w:szCs w:val="24"/>
                <w:shd w:val="clear"/>
                <w:lang w:eastAsia="zh-CN"/>
              </w:rPr>
              <w:t>业绩</w:t>
            </w:r>
            <w:r>
              <w:rPr>
                <w:rFonts w:hint="eastAsia" w:ascii="Times New Roman" w:hAnsi="Times New Roman" w:cs="Times New Roman" w:eastAsiaTheme="minorEastAsia"/>
                <w:i w:val="0"/>
                <w:iCs w:val="0"/>
                <w:caps w:val="0"/>
                <w:color w:val="auto"/>
                <w:spacing w:val="0"/>
                <w:sz w:val="24"/>
                <w:szCs w:val="24"/>
                <w:shd w:val="clear" w:fill="auto"/>
              </w:rPr>
              <w:t>增长</w:t>
            </w:r>
            <w:r>
              <w:rPr>
                <w:rFonts w:hint="eastAsia" w:ascii="Times New Roman" w:hAnsi="Times New Roman" w:cs="Times New Roman"/>
                <w:i w:val="0"/>
                <w:iCs w:val="0"/>
                <w:caps w:val="0"/>
                <w:spacing w:val="0"/>
                <w:sz w:val="24"/>
                <w:szCs w:val="24"/>
                <w:shd w:val="clear"/>
                <w:lang w:eastAsia="zh-CN"/>
              </w:rPr>
              <w:t>。同时</w:t>
            </w:r>
            <w:r>
              <w:rPr>
                <w:rFonts w:hint="eastAsia" w:ascii="Times New Roman" w:hAnsi="Times New Roman" w:cs="Times New Roman" w:eastAsiaTheme="minorEastAsia"/>
                <w:i w:val="0"/>
                <w:iCs w:val="0"/>
                <w:caps w:val="0"/>
                <w:color w:val="auto"/>
                <w:spacing w:val="0"/>
                <w:sz w:val="24"/>
                <w:szCs w:val="24"/>
                <w:shd w:val="clear" w:fill="auto"/>
              </w:rPr>
              <w:t>积极布局</w:t>
            </w:r>
            <w:r>
              <w:rPr>
                <w:rFonts w:hint="eastAsia" w:ascii="Times New Roman" w:hAnsi="Times New Roman" w:cs="Times New Roman"/>
                <w:i w:val="0"/>
                <w:iCs w:val="0"/>
                <w:caps w:val="0"/>
                <w:spacing w:val="0"/>
                <w:sz w:val="24"/>
                <w:szCs w:val="24"/>
                <w:shd w:val="clear"/>
                <w:lang w:eastAsia="zh-CN"/>
              </w:rPr>
              <w:t>A</w:t>
            </w:r>
            <w:r>
              <w:rPr>
                <w:rFonts w:hint="eastAsia" w:ascii="Times New Roman" w:hAnsi="Times New Roman" w:cs="Times New Roman"/>
                <w:i w:val="0"/>
                <w:iCs w:val="0"/>
                <w:caps w:val="0"/>
                <w:spacing w:val="0"/>
                <w:sz w:val="24"/>
                <w:szCs w:val="24"/>
                <w:shd w:val="clear"/>
                <w:lang w:val="en-US" w:eastAsia="zh-CN"/>
              </w:rPr>
              <w:t>I</w:t>
            </w:r>
            <w:r>
              <w:rPr>
                <w:rFonts w:hint="eastAsia" w:ascii="Times New Roman" w:hAnsi="Times New Roman" w:cs="Times New Roman" w:eastAsiaTheme="minorEastAsia"/>
                <w:i w:val="0"/>
                <w:iCs w:val="0"/>
                <w:caps w:val="0"/>
                <w:color w:val="auto"/>
                <w:spacing w:val="0"/>
                <w:sz w:val="24"/>
                <w:szCs w:val="24"/>
                <w:shd w:val="clear" w:fill="auto"/>
              </w:rPr>
              <w:t>等新兴领域，为公司业绩的持续增长提供保障</w:t>
            </w:r>
            <w:r>
              <w:rPr>
                <w:rFonts w:hint="eastAsia" w:ascii="Times New Roman" w:hAnsi="Times New Roman" w:cs="Times New Roman"/>
                <w:i w:val="0"/>
                <w:iCs w:val="0"/>
                <w:caps w:val="0"/>
                <w:spacing w:val="0"/>
                <w:sz w:val="24"/>
                <w:szCs w:val="24"/>
                <w:shd w:val="clear"/>
                <w:lang w:eastAsia="zh-CN"/>
              </w:rPr>
              <w:t>，</w:t>
            </w:r>
            <w:r>
              <w:rPr>
                <w:rFonts w:hint="eastAsia" w:ascii="Times New Roman" w:hAnsi="Times New Roman" w:cs="Times New Roman"/>
                <w:b w:val="0"/>
                <w:bCs w:val="0"/>
                <w:sz w:val="24"/>
                <w:szCs w:val="24"/>
                <w:lang w:eastAsia="zh-CN"/>
              </w:rPr>
              <w:t>逐步提升盈利能力。</w:t>
            </w:r>
          </w:p>
          <w:p w14:paraId="16E4CB93">
            <w:pPr>
              <w:spacing w:line="360" w:lineRule="auto"/>
              <w:rPr>
                <w:rFonts w:hint="eastAsia" w:ascii="Times New Roman" w:hAnsi="Times New Roman" w:cs="Times New Roman"/>
                <w:b/>
                <w:bCs/>
                <w:sz w:val="24"/>
                <w:szCs w:val="24"/>
                <w:lang w:val="en-US" w:eastAsia="zh-CN"/>
              </w:rPr>
            </w:pPr>
          </w:p>
          <w:p w14:paraId="1E2EE2A9">
            <w:pPr>
              <w:spacing w:line="360" w:lineRule="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问题8、公司是否有考虑后续通过兼并购或投资的方式加速业务发展？</w:t>
            </w:r>
          </w:p>
          <w:p w14:paraId="12756FC3">
            <w:pPr>
              <w:spacing w:line="360" w:lineRule="auto"/>
              <w:rPr>
                <w:rFonts w:hint="default" w:ascii="Times New Roman" w:hAnsi="Times New Roman" w:cs="Times New Roman"/>
                <w:b/>
                <w:bCs/>
                <w:sz w:val="24"/>
                <w:szCs w:val="24"/>
                <w:lang w:val="en-US" w:eastAsia="zh-CN"/>
              </w:rPr>
            </w:pPr>
            <w:r>
              <w:rPr>
                <w:rFonts w:hint="eastAsia" w:ascii="Times New Roman" w:hAnsi="Times New Roman" w:cs="Times New Roman"/>
                <w:b w:val="0"/>
                <w:bCs w:val="0"/>
                <w:sz w:val="24"/>
                <w:szCs w:val="24"/>
                <w:lang w:eastAsia="zh-CN"/>
              </w:rPr>
              <w:t>答：目前公司围绕发展战略在加大技术研发及市场拓展的同时，也在战略赛道上寻找相应的产业投资机会，截至目前公司已投资霍耳激光及苏州联结科技两家企业。</w:t>
            </w:r>
          </w:p>
          <w:p w14:paraId="6FE18D2D">
            <w:pPr>
              <w:spacing w:line="360" w:lineRule="auto"/>
              <w:rPr>
                <w:rFonts w:hint="eastAsia" w:ascii="Times New Roman" w:hAnsi="Times New Roman" w:cs="Times New Roman"/>
                <w:b/>
                <w:bCs/>
                <w:sz w:val="24"/>
                <w:szCs w:val="24"/>
                <w:lang w:val="en-US" w:eastAsia="zh-CN"/>
              </w:rPr>
            </w:pPr>
          </w:p>
          <w:p w14:paraId="591E2495">
            <w:pPr>
              <w:spacing w:line="360" w:lineRule="auto"/>
              <w:rPr>
                <w:rFonts w:hint="default" w:ascii="Times New Roman" w:hAnsi="Times New Roman" w:cs="Times New Roman"/>
                <w:b/>
                <w:bCs/>
                <w:sz w:val="24"/>
                <w:szCs w:val="24"/>
                <w:lang w:val="en-US" w:eastAsia="zh-CN"/>
              </w:rPr>
            </w:pPr>
          </w:p>
          <w:p w14:paraId="10E77C09">
            <w:pPr>
              <w:spacing w:line="360" w:lineRule="auto"/>
              <w:rPr>
                <w:rFonts w:hint="default" w:ascii="Times New Roman" w:hAnsi="Times New Roman" w:cs="Times New Roman"/>
                <w:b/>
                <w:bCs/>
                <w:sz w:val="24"/>
                <w:szCs w:val="24"/>
                <w:lang w:val="en-US" w:eastAsia="zh-CN"/>
              </w:rPr>
            </w:pPr>
          </w:p>
          <w:p w14:paraId="553469DE">
            <w:pPr>
              <w:spacing w:line="360" w:lineRule="auto"/>
              <w:rPr>
                <w:rFonts w:hint="eastAsia" w:eastAsia="宋体" w:cs="Times New Roman"/>
                <w:sz w:val="24"/>
                <w:szCs w:val="24"/>
                <w:lang w:eastAsia="zh-CN"/>
              </w:rPr>
            </w:pPr>
          </w:p>
          <w:p w14:paraId="3CFD2C02">
            <w:pPr>
              <w:spacing w:before="156" w:beforeLines="50" w:after="156" w:afterLines="50" w:line="360" w:lineRule="auto"/>
              <w:rPr>
                <w:rFonts w:ascii="Times New Roman" w:hAnsi="Times New Roman" w:cs="Times New Roman"/>
                <w:b/>
                <w:bCs/>
                <w:sz w:val="24"/>
                <w:szCs w:val="24"/>
              </w:rPr>
            </w:pPr>
          </w:p>
          <w:p w14:paraId="4CA26DD9">
            <w:pPr>
              <w:spacing w:line="360" w:lineRule="auto"/>
              <w:rPr>
                <w:rFonts w:ascii="Times New Roman" w:hAnsi="Times New Roman" w:cs="Times New Roman"/>
                <w:b/>
                <w:bCs/>
                <w:sz w:val="24"/>
                <w:szCs w:val="24"/>
              </w:rPr>
            </w:pPr>
          </w:p>
          <w:p w14:paraId="6C69F346">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接待过程中，公司与投资者进行了充分地交流与沟通，并严格按照公司《信息披露管理制度》等规定，保证信息披露的真实、准确、完整、及时、公平，没有出现未公开重大信息泄露等情况。</w:t>
            </w:r>
          </w:p>
        </w:tc>
      </w:tr>
    </w:tbl>
    <w:p w14:paraId="4FAA98C5">
      <w:bookmarkStart w:id="0" w:name="_GoBack"/>
      <w:bookmarkEnd w:id="0"/>
    </w:p>
    <w:sectPr>
      <w:pgSz w:w="11906" w:h="16838"/>
      <w:pgMar w:top="1134" w:right="1418" w:bottom="1134"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993E99"/>
    <w:multiLevelType w:val="singleLevel"/>
    <w:tmpl w:val="7A993E9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YWJmNjdhYmRhM2YxY2VlZmRiOGIwNWViNjg4ODAifQ=="/>
  </w:docVars>
  <w:rsids>
    <w:rsidRoot w:val="008503AE"/>
    <w:rsid w:val="00000BC2"/>
    <w:rsid w:val="00001C08"/>
    <w:rsid w:val="00004D23"/>
    <w:rsid w:val="000055B1"/>
    <w:rsid w:val="0001112B"/>
    <w:rsid w:val="00011810"/>
    <w:rsid w:val="000134C7"/>
    <w:rsid w:val="000142FD"/>
    <w:rsid w:val="00014A71"/>
    <w:rsid w:val="0001672A"/>
    <w:rsid w:val="00027D4E"/>
    <w:rsid w:val="00030224"/>
    <w:rsid w:val="00033ABA"/>
    <w:rsid w:val="00034261"/>
    <w:rsid w:val="000365EA"/>
    <w:rsid w:val="00042F69"/>
    <w:rsid w:val="0004300B"/>
    <w:rsid w:val="0004420D"/>
    <w:rsid w:val="000464E7"/>
    <w:rsid w:val="00050B83"/>
    <w:rsid w:val="00051116"/>
    <w:rsid w:val="00055A80"/>
    <w:rsid w:val="000577A2"/>
    <w:rsid w:val="0006103F"/>
    <w:rsid w:val="00061769"/>
    <w:rsid w:val="000635D8"/>
    <w:rsid w:val="00064C73"/>
    <w:rsid w:val="000669B3"/>
    <w:rsid w:val="000705BE"/>
    <w:rsid w:val="0007180F"/>
    <w:rsid w:val="00073254"/>
    <w:rsid w:val="00074C50"/>
    <w:rsid w:val="00082392"/>
    <w:rsid w:val="00084DE0"/>
    <w:rsid w:val="00085AC5"/>
    <w:rsid w:val="00087055"/>
    <w:rsid w:val="000875E5"/>
    <w:rsid w:val="0008786F"/>
    <w:rsid w:val="00094DEA"/>
    <w:rsid w:val="000A0D91"/>
    <w:rsid w:val="000A1A46"/>
    <w:rsid w:val="000A1F60"/>
    <w:rsid w:val="000A47B3"/>
    <w:rsid w:val="000A6984"/>
    <w:rsid w:val="000B0BE5"/>
    <w:rsid w:val="000B1B2D"/>
    <w:rsid w:val="000B3A31"/>
    <w:rsid w:val="000B425C"/>
    <w:rsid w:val="000B53F5"/>
    <w:rsid w:val="000B6D2E"/>
    <w:rsid w:val="000B6F11"/>
    <w:rsid w:val="000C13E6"/>
    <w:rsid w:val="000C1417"/>
    <w:rsid w:val="000C30B8"/>
    <w:rsid w:val="000C3EF4"/>
    <w:rsid w:val="000D2FFF"/>
    <w:rsid w:val="000D7CE6"/>
    <w:rsid w:val="000E021F"/>
    <w:rsid w:val="000E3B16"/>
    <w:rsid w:val="000E6C86"/>
    <w:rsid w:val="000E7ED6"/>
    <w:rsid w:val="000F1FC5"/>
    <w:rsid w:val="000F21D1"/>
    <w:rsid w:val="000F78E3"/>
    <w:rsid w:val="00100B60"/>
    <w:rsid w:val="001019D4"/>
    <w:rsid w:val="00101C09"/>
    <w:rsid w:val="00101C6A"/>
    <w:rsid w:val="00102160"/>
    <w:rsid w:val="0010415F"/>
    <w:rsid w:val="00111D26"/>
    <w:rsid w:val="00112571"/>
    <w:rsid w:val="00116282"/>
    <w:rsid w:val="00116EA3"/>
    <w:rsid w:val="001202D1"/>
    <w:rsid w:val="001204C9"/>
    <w:rsid w:val="001230D7"/>
    <w:rsid w:val="00127802"/>
    <w:rsid w:val="00130261"/>
    <w:rsid w:val="00133903"/>
    <w:rsid w:val="001378C6"/>
    <w:rsid w:val="00140339"/>
    <w:rsid w:val="00141E21"/>
    <w:rsid w:val="00141F3C"/>
    <w:rsid w:val="0014424F"/>
    <w:rsid w:val="00144541"/>
    <w:rsid w:val="00150109"/>
    <w:rsid w:val="0015015E"/>
    <w:rsid w:val="001516D9"/>
    <w:rsid w:val="00152BC5"/>
    <w:rsid w:val="00153A24"/>
    <w:rsid w:val="00153B21"/>
    <w:rsid w:val="0015606E"/>
    <w:rsid w:val="0016002F"/>
    <w:rsid w:val="00161DB3"/>
    <w:rsid w:val="0016778E"/>
    <w:rsid w:val="00170DC5"/>
    <w:rsid w:val="00174C5B"/>
    <w:rsid w:val="0017683D"/>
    <w:rsid w:val="001775A6"/>
    <w:rsid w:val="0018057D"/>
    <w:rsid w:val="0018365A"/>
    <w:rsid w:val="00185682"/>
    <w:rsid w:val="00190FCB"/>
    <w:rsid w:val="00196277"/>
    <w:rsid w:val="00196711"/>
    <w:rsid w:val="001A08F7"/>
    <w:rsid w:val="001A1ABB"/>
    <w:rsid w:val="001A4481"/>
    <w:rsid w:val="001A4CC9"/>
    <w:rsid w:val="001A5939"/>
    <w:rsid w:val="001A6A3E"/>
    <w:rsid w:val="001A7A88"/>
    <w:rsid w:val="001B1203"/>
    <w:rsid w:val="001B307E"/>
    <w:rsid w:val="001B3D1E"/>
    <w:rsid w:val="001B3E70"/>
    <w:rsid w:val="001C0F39"/>
    <w:rsid w:val="001C38A3"/>
    <w:rsid w:val="001C42C4"/>
    <w:rsid w:val="001C79E1"/>
    <w:rsid w:val="001D254F"/>
    <w:rsid w:val="001D615A"/>
    <w:rsid w:val="001E1442"/>
    <w:rsid w:val="001E19A0"/>
    <w:rsid w:val="001E39B2"/>
    <w:rsid w:val="001E572B"/>
    <w:rsid w:val="001E63ED"/>
    <w:rsid w:val="001F0B89"/>
    <w:rsid w:val="001F0FBA"/>
    <w:rsid w:val="001F1245"/>
    <w:rsid w:val="001F34D1"/>
    <w:rsid w:val="00200DA3"/>
    <w:rsid w:val="00202469"/>
    <w:rsid w:val="00203514"/>
    <w:rsid w:val="00205231"/>
    <w:rsid w:val="00205E93"/>
    <w:rsid w:val="002113CB"/>
    <w:rsid w:val="00213F91"/>
    <w:rsid w:val="002141C1"/>
    <w:rsid w:val="00214F3D"/>
    <w:rsid w:val="002215D9"/>
    <w:rsid w:val="00222200"/>
    <w:rsid w:val="002269C1"/>
    <w:rsid w:val="002309EA"/>
    <w:rsid w:val="00232849"/>
    <w:rsid w:val="00236833"/>
    <w:rsid w:val="002400F5"/>
    <w:rsid w:val="002406AF"/>
    <w:rsid w:val="00242C60"/>
    <w:rsid w:val="002436E4"/>
    <w:rsid w:val="00244D9E"/>
    <w:rsid w:val="0025232A"/>
    <w:rsid w:val="00254443"/>
    <w:rsid w:val="00257844"/>
    <w:rsid w:val="00262CC0"/>
    <w:rsid w:val="00264ABA"/>
    <w:rsid w:val="00265BC9"/>
    <w:rsid w:val="00266442"/>
    <w:rsid w:val="00266965"/>
    <w:rsid w:val="002706E3"/>
    <w:rsid w:val="002719EC"/>
    <w:rsid w:val="00273A73"/>
    <w:rsid w:val="00273C91"/>
    <w:rsid w:val="00275199"/>
    <w:rsid w:val="00275427"/>
    <w:rsid w:val="002822F1"/>
    <w:rsid w:val="002824E0"/>
    <w:rsid w:val="0028709B"/>
    <w:rsid w:val="00287348"/>
    <w:rsid w:val="00290EFC"/>
    <w:rsid w:val="00291C4C"/>
    <w:rsid w:val="00297A6C"/>
    <w:rsid w:val="002A478D"/>
    <w:rsid w:val="002A71A3"/>
    <w:rsid w:val="002B0167"/>
    <w:rsid w:val="002B26D3"/>
    <w:rsid w:val="002B35E8"/>
    <w:rsid w:val="002B61DD"/>
    <w:rsid w:val="002C2E20"/>
    <w:rsid w:val="002D04EC"/>
    <w:rsid w:val="002D09F9"/>
    <w:rsid w:val="002D1CAF"/>
    <w:rsid w:val="002D2F8A"/>
    <w:rsid w:val="002D4BE3"/>
    <w:rsid w:val="002D5071"/>
    <w:rsid w:val="002D6C42"/>
    <w:rsid w:val="002E3FCE"/>
    <w:rsid w:val="002E4941"/>
    <w:rsid w:val="002E6AC1"/>
    <w:rsid w:val="002F3AC2"/>
    <w:rsid w:val="002F4266"/>
    <w:rsid w:val="002F576B"/>
    <w:rsid w:val="00300D41"/>
    <w:rsid w:val="00301250"/>
    <w:rsid w:val="0030418A"/>
    <w:rsid w:val="003050A5"/>
    <w:rsid w:val="0030550F"/>
    <w:rsid w:val="00305D73"/>
    <w:rsid w:val="00311E48"/>
    <w:rsid w:val="00313735"/>
    <w:rsid w:val="00315E12"/>
    <w:rsid w:val="0032251A"/>
    <w:rsid w:val="00323D0A"/>
    <w:rsid w:val="0032446F"/>
    <w:rsid w:val="003273B4"/>
    <w:rsid w:val="00331232"/>
    <w:rsid w:val="00340B57"/>
    <w:rsid w:val="00342DFE"/>
    <w:rsid w:val="00347827"/>
    <w:rsid w:val="00350179"/>
    <w:rsid w:val="00351318"/>
    <w:rsid w:val="003517DD"/>
    <w:rsid w:val="00351918"/>
    <w:rsid w:val="00352A77"/>
    <w:rsid w:val="0035416D"/>
    <w:rsid w:val="003550F9"/>
    <w:rsid w:val="003555A9"/>
    <w:rsid w:val="003559A8"/>
    <w:rsid w:val="003567A2"/>
    <w:rsid w:val="0036724B"/>
    <w:rsid w:val="00373B78"/>
    <w:rsid w:val="003745D6"/>
    <w:rsid w:val="00374F2D"/>
    <w:rsid w:val="00377CA7"/>
    <w:rsid w:val="00377F19"/>
    <w:rsid w:val="00384C96"/>
    <w:rsid w:val="00387F37"/>
    <w:rsid w:val="00390371"/>
    <w:rsid w:val="00396EA5"/>
    <w:rsid w:val="003A06B9"/>
    <w:rsid w:val="003A087D"/>
    <w:rsid w:val="003A1AFD"/>
    <w:rsid w:val="003A4FD6"/>
    <w:rsid w:val="003A7A53"/>
    <w:rsid w:val="003B3D2A"/>
    <w:rsid w:val="003B663A"/>
    <w:rsid w:val="003C06D5"/>
    <w:rsid w:val="003C0CC9"/>
    <w:rsid w:val="003C13A9"/>
    <w:rsid w:val="003C49E1"/>
    <w:rsid w:val="003C4E9B"/>
    <w:rsid w:val="003C637E"/>
    <w:rsid w:val="003C75CE"/>
    <w:rsid w:val="003D028E"/>
    <w:rsid w:val="003D2F24"/>
    <w:rsid w:val="003D4BAA"/>
    <w:rsid w:val="003D4C7C"/>
    <w:rsid w:val="003D5858"/>
    <w:rsid w:val="003E5BA5"/>
    <w:rsid w:val="003E6BD5"/>
    <w:rsid w:val="003E6CA9"/>
    <w:rsid w:val="003E6E03"/>
    <w:rsid w:val="003E7973"/>
    <w:rsid w:val="003F0F2A"/>
    <w:rsid w:val="004012FE"/>
    <w:rsid w:val="00401B36"/>
    <w:rsid w:val="00402628"/>
    <w:rsid w:val="00407BB7"/>
    <w:rsid w:val="00414605"/>
    <w:rsid w:val="00414BF6"/>
    <w:rsid w:val="004157D0"/>
    <w:rsid w:val="00415BFD"/>
    <w:rsid w:val="004161F1"/>
    <w:rsid w:val="00422C0F"/>
    <w:rsid w:val="0042355D"/>
    <w:rsid w:val="00424B89"/>
    <w:rsid w:val="00426D68"/>
    <w:rsid w:val="00433F4E"/>
    <w:rsid w:val="00433FED"/>
    <w:rsid w:val="0043434E"/>
    <w:rsid w:val="00440307"/>
    <w:rsid w:val="004403A3"/>
    <w:rsid w:val="00440DA8"/>
    <w:rsid w:val="00441DBA"/>
    <w:rsid w:val="004432F5"/>
    <w:rsid w:val="00444040"/>
    <w:rsid w:val="00445BDE"/>
    <w:rsid w:val="00450839"/>
    <w:rsid w:val="00453F00"/>
    <w:rsid w:val="00460736"/>
    <w:rsid w:val="00460A19"/>
    <w:rsid w:val="00462612"/>
    <w:rsid w:val="00464159"/>
    <w:rsid w:val="00464A1E"/>
    <w:rsid w:val="00464D84"/>
    <w:rsid w:val="00465FB0"/>
    <w:rsid w:val="00466630"/>
    <w:rsid w:val="00472C59"/>
    <w:rsid w:val="00474842"/>
    <w:rsid w:val="004753F7"/>
    <w:rsid w:val="00476C21"/>
    <w:rsid w:val="00476DFF"/>
    <w:rsid w:val="00477C18"/>
    <w:rsid w:val="00480249"/>
    <w:rsid w:val="004839A9"/>
    <w:rsid w:val="00487F41"/>
    <w:rsid w:val="00490017"/>
    <w:rsid w:val="0049689C"/>
    <w:rsid w:val="004A02C8"/>
    <w:rsid w:val="004A12D3"/>
    <w:rsid w:val="004B3818"/>
    <w:rsid w:val="004C02CE"/>
    <w:rsid w:val="004C13DB"/>
    <w:rsid w:val="004C50FF"/>
    <w:rsid w:val="004C529E"/>
    <w:rsid w:val="004C7F53"/>
    <w:rsid w:val="004D31FC"/>
    <w:rsid w:val="004D5367"/>
    <w:rsid w:val="004D5661"/>
    <w:rsid w:val="004D6BD6"/>
    <w:rsid w:val="004E02E8"/>
    <w:rsid w:val="004E179A"/>
    <w:rsid w:val="004F00E9"/>
    <w:rsid w:val="004F2A99"/>
    <w:rsid w:val="004F59C3"/>
    <w:rsid w:val="004F6B5A"/>
    <w:rsid w:val="00500820"/>
    <w:rsid w:val="00501F02"/>
    <w:rsid w:val="00504594"/>
    <w:rsid w:val="00506CE0"/>
    <w:rsid w:val="00510ED0"/>
    <w:rsid w:val="005146F5"/>
    <w:rsid w:val="0051521B"/>
    <w:rsid w:val="005179DF"/>
    <w:rsid w:val="00520136"/>
    <w:rsid w:val="005213AC"/>
    <w:rsid w:val="00526A1A"/>
    <w:rsid w:val="00526F41"/>
    <w:rsid w:val="0053205B"/>
    <w:rsid w:val="00533D5E"/>
    <w:rsid w:val="00537ADE"/>
    <w:rsid w:val="00541DF4"/>
    <w:rsid w:val="0054290F"/>
    <w:rsid w:val="00545438"/>
    <w:rsid w:val="00547BD4"/>
    <w:rsid w:val="00550D4D"/>
    <w:rsid w:val="00552EF5"/>
    <w:rsid w:val="00553C3F"/>
    <w:rsid w:val="00556F28"/>
    <w:rsid w:val="00557D06"/>
    <w:rsid w:val="00557DAE"/>
    <w:rsid w:val="005640FA"/>
    <w:rsid w:val="0056650A"/>
    <w:rsid w:val="00566CC3"/>
    <w:rsid w:val="005679CE"/>
    <w:rsid w:val="00570DBF"/>
    <w:rsid w:val="00570E31"/>
    <w:rsid w:val="00581655"/>
    <w:rsid w:val="0058517A"/>
    <w:rsid w:val="00585336"/>
    <w:rsid w:val="0058581A"/>
    <w:rsid w:val="00592783"/>
    <w:rsid w:val="0059300E"/>
    <w:rsid w:val="0059372C"/>
    <w:rsid w:val="00596428"/>
    <w:rsid w:val="005979CF"/>
    <w:rsid w:val="00597BDF"/>
    <w:rsid w:val="005A39AB"/>
    <w:rsid w:val="005A5572"/>
    <w:rsid w:val="005B2BCB"/>
    <w:rsid w:val="005B4EEA"/>
    <w:rsid w:val="005B69EB"/>
    <w:rsid w:val="005B7DF7"/>
    <w:rsid w:val="005C0F82"/>
    <w:rsid w:val="005C6FB6"/>
    <w:rsid w:val="005D02A5"/>
    <w:rsid w:val="005D1318"/>
    <w:rsid w:val="005D6C88"/>
    <w:rsid w:val="005D6ED0"/>
    <w:rsid w:val="005D7133"/>
    <w:rsid w:val="005D788B"/>
    <w:rsid w:val="005E06FD"/>
    <w:rsid w:val="005E2604"/>
    <w:rsid w:val="005E361F"/>
    <w:rsid w:val="005E6497"/>
    <w:rsid w:val="005E7CDA"/>
    <w:rsid w:val="005F0F93"/>
    <w:rsid w:val="005F21CA"/>
    <w:rsid w:val="005F5960"/>
    <w:rsid w:val="005F7812"/>
    <w:rsid w:val="005F7BB0"/>
    <w:rsid w:val="00600282"/>
    <w:rsid w:val="00603DD3"/>
    <w:rsid w:val="00606B96"/>
    <w:rsid w:val="00607423"/>
    <w:rsid w:val="006157D6"/>
    <w:rsid w:val="00624158"/>
    <w:rsid w:val="00625780"/>
    <w:rsid w:val="00634A16"/>
    <w:rsid w:val="006425CA"/>
    <w:rsid w:val="00642A64"/>
    <w:rsid w:val="00644B5F"/>
    <w:rsid w:val="006458BC"/>
    <w:rsid w:val="00646871"/>
    <w:rsid w:val="00646DE6"/>
    <w:rsid w:val="00647061"/>
    <w:rsid w:val="006475FB"/>
    <w:rsid w:val="00647702"/>
    <w:rsid w:val="0064788F"/>
    <w:rsid w:val="00651BCD"/>
    <w:rsid w:val="00651F99"/>
    <w:rsid w:val="00652CB3"/>
    <w:rsid w:val="00653701"/>
    <w:rsid w:val="0065472F"/>
    <w:rsid w:val="0065576F"/>
    <w:rsid w:val="006603AA"/>
    <w:rsid w:val="006603B6"/>
    <w:rsid w:val="00660DB9"/>
    <w:rsid w:val="0066135B"/>
    <w:rsid w:val="006623E7"/>
    <w:rsid w:val="00662478"/>
    <w:rsid w:val="006642FE"/>
    <w:rsid w:val="00670590"/>
    <w:rsid w:val="00673B47"/>
    <w:rsid w:val="00674844"/>
    <w:rsid w:val="00675FFF"/>
    <w:rsid w:val="00676142"/>
    <w:rsid w:val="00676ED8"/>
    <w:rsid w:val="0067776B"/>
    <w:rsid w:val="00677B5D"/>
    <w:rsid w:val="00680401"/>
    <w:rsid w:val="00692E8B"/>
    <w:rsid w:val="00694C2D"/>
    <w:rsid w:val="00694CC2"/>
    <w:rsid w:val="0069639B"/>
    <w:rsid w:val="006A5C4B"/>
    <w:rsid w:val="006B1B49"/>
    <w:rsid w:val="006B2DBA"/>
    <w:rsid w:val="006B4B00"/>
    <w:rsid w:val="006B4E49"/>
    <w:rsid w:val="006B6FC9"/>
    <w:rsid w:val="006B7114"/>
    <w:rsid w:val="006C205C"/>
    <w:rsid w:val="006C6061"/>
    <w:rsid w:val="006D1250"/>
    <w:rsid w:val="006D6B27"/>
    <w:rsid w:val="006D7205"/>
    <w:rsid w:val="006E036B"/>
    <w:rsid w:val="006E0E3C"/>
    <w:rsid w:val="006E133B"/>
    <w:rsid w:val="006E3B30"/>
    <w:rsid w:val="006E5157"/>
    <w:rsid w:val="006E60E8"/>
    <w:rsid w:val="006F0AE5"/>
    <w:rsid w:val="006F2336"/>
    <w:rsid w:val="006F2FE5"/>
    <w:rsid w:val="006F316B"/>
    <w:rsid w:val="006F53BE"/>
    <w:rsid w:val="006F5CC2"/>
    <w:rsid w:val="00701E37"/>
    <w:rsid w:val="00704272"/>
    <w:rsid w:val="00711DD7"/>
    <w:rsid w:val="00712073"/>
    <w:rsid w:val="007142AE"/>
    <w:rsid w:val="0072152C"/>
    <w:rsid w:val="00721DDA"/>
    <w:rsid w:val="007229E8"/>
    <w:rsid w:val="007239EA"/>
    <w:rsid w:val="007246F6"/>
    <w:rsid w:val="00736589"/>
    <w:rsid w:val="0073697C"/>
    <w:rsid w:val="00736C76"/>
    <w:rsid w:val="00737B12"/>
    <w:rsid w:val="00746890"/>
    <w:rsid w:val="00746B73"/>
    <w:rsid w:val="007471D1"/>
    <w:rsid w:val="00755E1E"/>
    <w:rsid w:val="00756D12"/>
    <w:rsid w:val="007630A9"/>
    <w:rsid w:val="007652F4"/>
    <w:rsid w:val="00766B84"/>
    <w:rsid w:val="00766FEE"/>
    <w:rsid w:val="00770A8C"/>
    <w:rsid w:val="0077482D"/>
    <w:rsid w:val="0077716B"/>
    <w:rsid w:val="007813BB"/>
    <w:rsid w:val="00781739"/>
    <w:rsid w:val="00783089"/>
    <w:rsid w:val="00784F54"/>
    <w:rsid w:val="00785D75"/>
    <w:rsid w:val="00787BC0"/>
    <w:rsid w:val="0079109E"/>
    <w:rsid w:val="0079208D"/>
    <w:rsid w:val="00792F85"/>
    <w:rsid w:val="00793D57"/>
    <w:rsid w:val="0079442D"/>
    <w:rsid w:val="00796FE9"/>
    <w:rsid w:val="007A59B9"/>
    <w:rsid w:val="007B5E2A"/>
    <w:rsid w:val="007B6526"/>
    <w:rsid w:val="007C2090"/>
    <w:rsid w:val="007C394F"/>
    <w:rsid w:val="007C6B06"/>
    <w:rsid w:val="007D169F"/>
    <w:rsid w:val="007E1757"/>
    <w:rsid w:val="007E2E53"/>
    <w:rsid w:val="007F0E37"/>
    <w:rsid w:val="007F2454"/>
    <w:rsid w:val="007F25C2"/>
    <w:rsid w:val="007F26FA"/>
    <w:rsid w:val="007F68F8"/>
    <w:rsid w:val="0080107B"/>
    <w:rsid w:val="008036A1"/>
    <w:rsid w:val="00806DE5"/>
    <w:rsid w:val="008108D8"/>
    <w:rsid w:val="0081166A"/>
    <w:rsid w:val="00815D3F"/>
    <w:rsid w:val="00821DE3"/>
    <w:rsid w:val="00831604"/>
    <w:rsid w:val="00832043"/>
    <w:rsid w:val="008324E1"/>
    <w:rsid w:val="008350A3"/>
    <w:rsid w:val="00836397"/>
    <w:rsid w:val="008379A3"/>
    <w:rsid w:val="00837EAE"/>
    <w:rsid w:val="00841196"/>
    <w:rsid w:val="0084325E"/>
    <w:rsid w:val="008503AE"/>
    <w:rsid w:val="00856AD0"/>
    <w:rsid w:val="008570B7"/>
    <w:rsid w:val="0086163B"/>
    <w:rsid w:val="00861E78"/>
    <w:rsid w:val="00863343"/>
    <w:rsid w:val="00866FFA"/>
    <w:rsid w:val="008711A1"/>
    <w:rsid w:val="00871BC5"/>
    <w:rsid w:val="00876141"/>
    <w:rsid w:val="008808F6"/>
    <w:rsid w:val="00880C31"/>
    <w:rsid w:val="008866F1"/>
    <w:rsid w:val="00887373"/>
    <w:rsid w:val="008874F2"/>
    <w:rsid w:val="00887D35"/>
    <w:rsid w:val="008922F3"/>
    <w:rsid w:val="00897AEB"/>
    <w:rsid w:val="008A1930"/>
    <w:rsid w:val="008A31BC"/>
    <w:rsid w:val="008A31E4"/>
    <w:rsid w:val="008A3D5C"/>
    <w:rsid w:val="008A404F"/>
    <w:rsid w:val="008A4D6F"/>
    <w:rsid w:val="008A6032"/>
    <w:rsid w:val="008A6439"/>
    <w:rsid w:val="008A6F44"/>
    <w:rsid w:val="008B5F89"/>
    <w:rsid w:val="008B7574"/>
    <w:rsid w:val="008C1B30"/>
    <w:rsid w:val="008C4971"/>
    <w:rsid w:val="008C59CE"/>
    <w:rsid w:val="008D1003"/>
    <w:rsid w:val="008D1E09"/>
    <w:rsid w:val="008D316C"/>
    <w:rsid w:val="008E0FA1"/>
    <w:rsid w:val="008E3732"/>
    <w:rsid w:val="008E3BAE"/>
    <w:rsid w:val="008E51E5"/>
    <w:rsid w:val="008E6C1A"/>
    <w:rsid w:val="008E7A9C"/>
    <w:rsid w:val="008F1BD3"/>
    <w:rsid w:val="008F5AED"/>
    <w:rsid w:val="008F67AB"/>
    <w:rsid w:val="008F7091"/>
    <w:rsid w:val="00900B15"/>
    <w:rsid w:val="0090121F"/>
    <w:rsid w:val="0090180B"/>
    <w:rsid w:val="00904683"/>
    <w:rsid w:val="009066E8"/>
    <w:rsid w:val="00910B1A"/>
    <w:rsid w:val="00911372"/>
    <w:rsid w:val="0091262E"/>
    <w:rsid w:val="009136EC"/>
    <w:rsid w:val="009144F6"/>
    <w:rsid w:val="00915BF0"/>
    <w:rsid w:val="00915CD4"/>
    <w:rsid w:val="009179C6"/>
    <w:rsid w:val="00923752"/>
    <w:rsid w:val="00925122"/>
    <w:rsid w:val="009251BC"/>
    <w:rsid w:val="009268A7"/>
    <w:rsid w:val="00932D1E"/>
    <w:rsid w:val="00934A10"/>
    <w:rsid w:val="00940214"/>
    <w:rsid w:val="00941577"/>
    <w:rsid w:val="0094174D"/>
    <w:rsid w:val="00942E1E"/>
    <w:rsid w:val="00944A36"/>
    <w:rsid w:val="00945805"/>
    <w:rsid w:val="009461DF"/>
    <w:rsid w:val="00951197"/>
    <w:rsid w:val="009543D7"/>
    <w:rsid w:val="00955793"/>
    <w:rsid w:val="00955F9B"/>
    <w:rsid w:val="0096151E"/>
    <w:rsid w:val="00961540"/>
    <w:rsid w:val="00961F2A"/>
    <w:rsid w:val="00962D39"/>
    <w:rsid w:val="00966896"/>
    <w:rsid w:val="00966C36"/>
    <w:rsid w:val="00967C36"/>
    <w:rsid w:val="00970434"/>
    <w:rsid w:val="009717CD"/>
    <w:rsid w:val="009732E4"/>
    <w:rsid w:val="00976D29"/>
    <w:rsid w:val="00983978"/>
    <w:rsid w:val="009849E3"/>
    <w:rsid w:val="009900DA"/>
    <w:rsid w:val="0099031E"/>
    <w:rsid w:val="00991BE8"/>
    <w:rsid w:val="00994DF9"/>
    <w:rsid w:val="009A2301"/>
    <w:rsid w:val="009A23BF"/>
    <w:rsid w:val="009A2663"/>
    <w:rsid w:val="009B003E"/>
    <w:rsid w:val="009B18C9"/>
    <w:rsid w:val="009B4396"/>
    <w:rsid w:val="009B7CDA"/>
    <w:rsid w:val="009C3BE7"/>
    <w:rsid w:val="009C59E6"/>
    <w:rsid w:val="009C6800"/>
    <w:rsid w:val="009D1326"/>
    <w:rsid w:val="009D40FC"/>
    <w:rsid w:val="009D7C15"/>
    <w:rsid w:val="009E0A62"/>
    <w:rsid w:val="009E0E62"/>
    <w:rsid w:val="009E2222"/>
    <w:rsid w:val="009E3037"/>
    <w:rsid w:val="009E441B"/>
    <w:rsid w:val="009E44DB"/>
    <w:rsid w:val="009E7066"/>
    <w:rsid w:val="009E7316"/>
    <w:rsid w:val="009F1BDA"/>
    <w:rsid w:val="009F6C5A"/>
    <w:rsid w:val="00A03BA5"/>
    <w:rsid w:val="00A10F29"/>
    <w:rsid w:val="00A12941"/>
    <w:rsid w:val="00A140D7"/>
    <w:rsid w:val="00A15DBC"/>
    <w:rsid w:val="00A16425"/>
    <w:rsid w:val="00A16750"/>
    <w:rsid w:val="00A173F0"/>
    <w:rsid w:val="00A2101A"/>
    <w:rsid w:val="00A2441C"/>
    <w:rsid w:val="00A329C4"/>
    <w:rsid w:val="00A3317F"/>
    <w:rsid w:val="00A34823"/>
    <w:rsid w:val="00A34869"/>
    <w:rsid w:val="00A4442D"/>
    <w:rsid w:val="00A47E3B"/>
    <w:rsid w:val="00A5268D"/>
    <w:rsid w:val="00A54959"/>
    <w:rsid w:val="00A61546"/>
    <w:rsid w:val="00A627A5"/>
    <w:rsid w:val="00A64972"/>
    <w:rsid w:val="00A65008"/>
    <w:rsid w:val="00A6540B"/>
    <w:rsid w:val="00A661AB"/>
    <w:rsid w:val="00A670FB"/>
    <w:rsid w:val="00A67823"/>
    <w:rsid w:val="00A731A0"/>
    <w:rsid w:val="00A73316"/>
    <w:rsid w:val="00A74FEB"/>
    <w:rsid w:val="00A82A1B"/>
    <w:rsid w:val="00A83759"/>
    <w:rsid w:val="00A84733"/>
    <w:rsid w:val="00A8507F"/>
    <w:rsid w:val="00A868A2"/>
    <w:rsid w:val="00A87599"/>
    <w:rsid w:val="00A9189D"/>
    <w:rsid w:val="00A91DB2"/>
    <w:rsid w:val="00A925E9"/>
    <w:rsid w:val="00A9290A"/>
    <w:rsid w:val="00A93D9E"/>
    <w:rsid w:val="00A94A55"/>
    <w:rsid w:val="00A96019"/>
    <w:rsid w:val="00A97644"/>
    <w:rsid w:val="00A97F3B"/>
    <w:rsid w:val="00AA4A6E"/>
    <w:rsid w:val="00AA5A6B"/>
    <w:rsid w:val="00AA72C8"/>
    <w:rsid w:val="00AA7CF4"/>
    <w:rsid w:val="00AB0CD8"/>
    <w:rsid w:val="00AB0F7D"/>
    <w:rsid w:val="00AB2A4F"/>
    <w:rsid w:val="00AB52F0"/>
    <w:rsid w:val="00AC0DA1"/>
    <w:rsid w:val="00AC0E16"/>
    <w:rsid w:val="00AC0FA6"/>
    <w:rsid w:val="00AC20D3"/>
    <w:rsid w:val="00AC3ED6"/>
    <w:rsid w:val="00AD6862"/>
    <w:rsid w:val="00AE44DB"/>
    <w:rsid w:val="00AE5371"/>
    <w:rsid w:val="00AF0682"/>
    <w:rsid w:val="00AF16F3"/>
    <w:rsid w:val="00AF2865"/>
    <w:rsid w:val="00AF3170"/>
    <w:rsid w:val="00AF3710"/>
    <w:rsid w:val="00AF3A31"/>
    <w:rsid w:val="00AF4227"/>
    <w:rsid w:val="00AF5FD6"/>
    <w:rsid w:val="00B01085"/>
    <w:rsid w:val="00B029C3"/>
    <w:rsid w:val="00B056C0"/>
    <w:rsid w:val="00B05835"/>
    <w:rsid w:val="00B05942"/>
    <w:rsid w:val="00B13A47"/>
    <w:rsid w:val="00B170D3"/>
    <w:rsid w:val="00B2249C"/>
    <w:rsid w:val="00B257AF"/>
    <w:rsid w:val="00B30C6C"/>
    <w:rsid w:val="00B330D8"/>
    <w:rsid w:val="00B35E1D"/>
    <w:rsid w:val="00B4396F"/>
    <w:rsid w:val="00B50AC9"/>
    <w:rsid w:val="00B51340"/>
    <w:rsid w:val="00B5263A"/>
    <w:rsid w:val="00B529B6"/>
    <w:rsid w:val="00B60C22"/>
    <w:rsid w:val="00B65889"/>
    <w:rsid w:val="00B706CA"/>
    <w:rsid w:val="00B71F30"/>
    <w:rsid w:val="00B74BB8"/>
    <w:rsid w:val="00B755D2"/>
    <w:rsid w:val="00B75628"/>
    <w:rsid w:val="00B7582C"/>
    <w:rsid w:val="00B7743A"/>
    <w:rsid w:val="00B77BCE"/>
    <w:rsid w:val="00B800B6"/>
    <w:rsid w:val="00B8113A"/>
    <w:rsid w:val="00B855AF"/>
    <w:rsid w:val="00B87CFB"/>
    <w:rsid w:val="00B91D72"/>
    <w:rsid w:val="00B9260B"/>
    <w:rsid w:val="00B930C8"/>
    <w:rsid w:val="00B93E41"/>
    <w:rsid w:val="00B9744D"/>
    <w:rsid w:val="00B97807"/>
    <w:rsid w:val="00BA3BF3"/>
    <w:rsid w:val="00BA4112"/>
    <w:rsid w:val="00BB1834"/>
    <w:rsid w:val="00BB31FE"/>
    <w:rsid w:val="00BB39DE"/>
    <w:rsid w:val="00BB6B32"/>
    <w:rsid w:val="00BC31F3"/>
    <w:rsid w:val="00BC3A7D"/>
    <w:rsid w:val="00BC4534"/>
    <w:rsid w:val="00BC7443"/>
    <w:rsid w:val="00BC756A"/>
    <w:rsid w:val="00BC7D44"/>
    <w:rsid w:val="00BD1689"/>
    <w:rsid w:val="00BD63BC"/>
    <w:rsid w:val="00BD6602"/>
    <w:rsid w:val="00BD6BC5"/>
    <w:rsid w:val="00BE40BC"/>
    <w:rsid w:val="00BE4CB6"/>
    <w:rsid w:val="00BE4D68"/>
    <w:rsid w:val="00BE51E2"/>
    <w:rsid w:val="00BE6F7E"/>
    <w:rsid w:val="00BE712B"/>
    <w:rsid w:val="00BF281E"/>
    <w:rsid w:val="00BF7565"/>
    <w:rsid w:val="00C00793"/>
    <w:rsid w:val="00C04353"/>
    <w:rsid w:val="00C0485B"/>
    <w:rsid w:val="00C06191"/>
    <w:rsid w:val="00C06217"/>
    <w:rsid w:val="00C07165"/>
    <w:rsid w:val="00C11456"/>
    <w:rsid w:val="00C1295B"/>
    <w:rsid w:val="00C134F4"/>
    <w:rsid w:val="00C1436D"/>
    <w:rsid w:val="00C218F4"/>
    <w:rsid w:val="00C21CAB"/>
    <w:rsid w:val="00C238B2"/>
    <w:rsid w:val="00C30BCD"/>
    <w:rsid w:val="00C33CD3"/>
    <w:rsid w:val="00C34021"/>
    <w:rsid w:val="00C34599"/>
    <w:rsid w:val="00C35C5B"/>
    <w:rsid w:val="00C361D0"/>
    <w:rsid w:val="00C36FD5"/>
    <w:rsid w:val="00C37963"/>
    <w:rsid w:val="00C37CE2"/>
    <w:rsid w:val="00C406B3"/>
    <w:rsid w:val="00C42D31"/>
    <w:rsid w:val="00C46497"/>
    <w:rsid w:val="00C50284"/>
    <w:rsid w:val="00C511B9"/>
    <w:rsid w:val="00C55C68"/>
    <w:rsid w:val="00C6280A"/>
    <w:rsid w:val="00C71FD9"/>
    <w:rsid w:val="00C74527"/>
    <w:rsid w:val="00C748A8"/>
    <w:rsid w:val="00C75404"/>
    <w:rsid w:val="00C8397A"/>
    <w:rsid w:val="00C868A9"/>
    <w:rsid w:val="00C92389"/>
    <w:rsid w:val="00C96209"/>
    <w:rsid w:val="00C97917"/>
    <w:rsid w:val="00CA0CAC"/>
    <w:rsid w:val="00CA30A6"/>
    <w:rsid w:val="00CA43AB"/>
    <w:rsid w:val="00CA54A4"/>
    <w:rsid w:val="00CB4FD3"/>
    <w:rsid w:val="00CB6EC7"/>
    <w:rsid w:val="00CC0C60"/>
    <w:rsid w:val="00CC1B22"/>
    <w:rsid w:val="00CC26F6"/>
    <w:rsid w:val="00CC5F42"/>
    <w:rsid w:val="00CC784C"/>
    <w:rsid w:val="00CD1C4B"/>
    <w:rsid w:val="00CD203E"/>
    <w:rsid w:val="00CD55CA"/>
    <w:rsid w:val="00CD60A1"/>
    <w:rsid w:val="00CD6E2F"/>
    <w:rsid w:val="00CD7763"/>
    <w:rsid w:val="00CE0890"/>
    <w:rsid w:val="00CE0F05"/>
    <w:rsid w:val="00CE294E"/>
    <w:rsid w:val="00CE2C7F"/>
    <w:rsid w:val="00CE56A3"/>
    <w:rsid w:val="00CE7A99"/>
    <w:rsid w:val="00CF2C6C"/>
    <w:rsid w:val="00CF2C87"/>
    <w:rsid w:val="00CF3707"/>
    <w:rsid w:val="00CF449C"/>
    <w:rsid w:val="00CF6651"/>
    <w:rsid w:val="00CF7741"/>
    <w:rsid w:val="00CF7B41"/>
    <w:rsid w:val="00D004EA"/>
    <w:rsid w:val="00D01181"/>
    <w:rsid w:val="00D01651"/>
    <w:rsid w:val="00D0271F"/>
    <w:rsid w:val="00D03F26"/>
    <w:rsid w:val="00D05787"/>
    <w:rsid w:val="00D10F5E"/>
    <w:rsid w:val="00D1730A"/>
    <w:rsid w:val="00D17DC6"/>
    <w:rsid w:val="00D236EA"/>
    <w:rsid w:val="00D3142C"/>
    <w:rsid w:val="00D334DD"/>
    <w:rsid w:val="00D3380E"/>
    <w:rsid w:val="00D33CDC"/>
    <w:rsid w:val="00D3522C"/>
    <w:rsid w:val="00D36845"/>
    <w:rsid w:val="00D402A2"/>
    <w:rsid w:val="00D40424"/>
    <w:rsid w:val="00D47449"/>
    <w:rsid w:val="00D5006F"/>
    <w:rsid w:val="00D5220A"/>
    <w:rsid w:val="00D52296"/>
    <w:rsid w:val="00D5307C"/>
    <w:rsid w:val="00D60FE1"/>
    <w:rsid w:val="00D644F9"/>
    <w:rsid w:val="00D707FD"/>
    <w:rsid w:val="00D70E22"/>
    <w:rsid w:val="00D72823"/>
    <w:rsid w:val="00D73DD5"/>
    <w:rsid w:val="00D7606D"/>
    <w:rsid w:val="00D81F65"/>
    <w:rsid w:val="00D850FA"/>
    <w:rsid w:val="00D8584D"/>
    <w:rsid w:val="00D867E8"/>
    <w:rsid w:val="00D87C13"/>
    <w:rsid w:val="00D93687"/>
    <w:rsid w:val="00D937AC"/>
    <w:rsid w:val="00D95417"/>
    <w:rsid w:val="00D956B6"/>
    <w:rsid w:val="00DA18C2"/>
    <w:rsid w:val="00DA2AFD"/>
    <w:rsid w:val="00DA5CFA"/>
    <w:rsid w:val="00DA7714"/>
    <w:rsid w:val="00DB53A1"/>
    <w:rsid w:val="00DB76A0"/>
    <w:rsid w:val="00DC0352"/>
    <w:rsid w:val="00DC6583"/>
    <w:rsid w:val="00DD036F"/>
    <w:rsid w:val="00DD295C"/>
    <w:rsid w:val="00DD3B46"/>
    <w:rsid w:val="00DD50FC"/>
    <w:rsid w:val="00DE1005"/>
    <w:rsid w:val="00DE183C"/>
    <w:rsid w:val="00DE5030"/>
    <w:rsid w:val="00DE5F52"/>
    <w:rsid w:val="00DE71F1"/>
    <w:rsid w:val="00DF103F"/>
    <w:rsid w:val="00DF2689"/>
    <w:rsid w:val="00DF3402"/>
    <w:rsid w:val="00DF4B34"/>
    <w:rsid w:val="00DF5851"/>
    <w:rsid w:val="00DF74B1"/>
    <w:rsid w:val="00E03468"/>
    <w:rsid w:val="00E03DEF"/>
    <w:rsid w:val="00E06779"/>
    <w:rsid w:val="00E07B09"/>
    <w:rsid w:val="00E170E9"/>
    <w:rsid w:val="00E17423"/>
    <w:rsid w:val="00E211E5"/>
    <w:rsid w:val="00E23264"/>
    <w:rsid w:val="00E27B2E"/>
    <w:rsid w:val="00E27E33"/>
    <w:rsid w:val="00E30564"/>
    <w:rsid w:val="00E306D7"/>
    <w:rsid w:val="00E31EF6"/>
    <w:rsid w:val="00E325E0"/>
    <w:rsid w:val="00E3318A"/>
    <w:rsid w:val="00E33AAE"/>
    <w:rsid w:val="00E40FB4"/>
    <w:rsid w:val="00E436FD"/>
    <w:rsid w:val="00E4550B"/>
    <w:rsid w:val="00E45579"/>
    <w:rsid w:val="00E45A92"/>
    <w:rsid w:val="00E4691E"/>
    <w:rsid w:val="00E475EF"/>
    <w:rsid w:val="00E5546C"/>
    <w:rsid w:val="00E567D3"/>
    <w:rsid w:val="00E61085"/>
    <w:rsid w:val="00E6295A"/>
    <w:rsid w:val="00E71B18"/>
    <w:rsid w:val="00E74943"/>
    <w:rsid w:val="00E91076"/>
    <w:rsid w:val="00E91BA4"/>
    <w:rsid w:val="00E91E36"/>
    <w:rsid w:val="00E954CB"/>
    <w:rsid w:val="00EA2323"/>
    <w:rsid w:val="00EA2EF6"/>
    <w:rsid w:val="00EA3A92"/>
    <w:rsid w:val="00EA6445"/>
    <w:rsid w:val="00EB3067"/>
    <w:rsid w:val="00EB43B9"/>
    <w:rsid w:val="00EB78C0"/>
    <w:rsid w:val="00EB7B08"/>
    <w:rsid w:val="00EC2468"/>
    <w:rsid w:val="00EC78D0"/>
    <w:rsid w:val="00ED1F91"/>
    <w:rsid w:val="00ED24C1"/>
    <w:rsid w:val="00ED6CBC"/>
    <w:rsid w:val="00ED6E09"/>
    <w:rsid w:val="00EE44BF"/>
    <w:rsid w:val="00EE78A1"/>
    <w:rsid w:val="00EF0C1C"/>
    <w:rsid w:val="00EF3156"/>
    <w:rsid w:val="00EF4451"/>
    <w:rsid w:val="00EF50E0"/>
    <w:rsid w:val="00EF5B72"/>
    <w:rsid w:val="00EF711C"/>
    <w:rsid w:val="00F028B7"/>
    <w:rsid w:val="00F02E77"/>
    <w:rsid w:val="00F05024"/>
    <w:rsid w:val="00F05F71"/>
    <w:rsid w:val="00F063AD"/>
    <w:rsid w:val="00F064CB"/>
    <w:rsid w:val="00F10354"/>
    <w:rsid w:val="00F10926"/>
    <w:rsid w:val="00F12FCB"/>
    <w:rsid w:val="00F14733"/>
    <w:rsid w:val="00F26577"/>
    <w:rsid w:val="00F34FBF"/>
    <w:rsid w:val="00F373EF"/>
    <w:rsid w:val="00F442A6"/>
    <w:rsid w:val="00F45B96"/>
    <w:rsid w:val="00F4663E"/>
    <w:rsid w:val="00F47ED3"/>
    <w:rsid w:val="00F502E1"/>
    <w:rsid w:val="00F50782"/>
    <w:rsid w:val="00F515BB"/>
    <w:rsid w:val="00F6120C"/>
    <w:rsid w:val="00F644D3"/>
    <w:rsid w:val="00F649F5"/>
    <w:rsid w:val="00F66274"/>
    <w:rsid w:val="00F73D2A"/>
    <w:rsid w:val="00F75092"/>
    <w:rsid w:val="00F75507"/>
    <w:rsid w:val="00F83981"/>
    <w:rsid w:val="00F8536F"/>
    <w:rsid w:val="00F85472"/>
    <w:rsid w:val="00F86AC8"/>
    <w:rsid w:val="00F86B97"/>
    <w:rsid w:val="00F877B6"/>
    <w:rsid w:val="00F91A14"/>
    <w:rsid w:val="00F95179"/>
    <w:rsid w:val="00F972DE"/>
    <w:rsid w:val="00F97928"/>
    <w:rsid w:val="00FA4C28"/>
    <w:rsid w:val="00FA54ED"/>
    <w:rsid w:val="00FA5D6F"/>
    <w:rsid w:val="00FB3013"/>
    <w:rsid w:val="00FB5628"/>
    <w:rsid w:val="00FC2686"/>
    <w:rsid w:val="00FC3424"/>
    <w:rsid w:val="00FC6B5E"/>
    <w:rsid w:val="00FD396A"/>
    <w:rsid w:val="00FD3C1A"/>
    <w:rsid w:val="00FD3D99"/>
    <w:rsid w:val="00FD40CA"/>
    <w:rsid w:val="00FD438D"/>
    <w:rsid w:val="00FD47E4"/>
    <w:rsid w:val="00FD4858"/>
    <w:rsid w:val="00FE1109"/>
    <w:rsid w:val="00FE1ECA"/>
    <w:rsid w:val="00FE2710"/>
    <w:rsid w:val="00FE2989"/>
    <w:rsid w:val="00FE3161"/>
    <w:rsid w:val="00FE3EFA"/>
    <w:rsid w:val="00FE45B9"/>
    <w:rsid w:val="00FE5FF3"/>
    <w:rsid w:val="00FE643B"/>
    <w:rsid w:val="00FE64AB"/>
    <w:rsid w:val="00FE756E"/>
    <w:rsid w:val="00FF1067"/>
    <w:rsid w:val="00FF1A07"/>
    <w:rsid w:val="00FF5C0D"/>
    <w:rsid w:val="00FF7236"/>
    <w:rsid w:val="00FF7741"/>
    <w:rsid w:val="01161A9A"/>
    <w:rsid w:val="01A56261"/>
    <w:rsid w:val="026E6F9B"/>
    <w:rsid w:val="031211BD"/>
    <w:rsid w:val="03DE35EF"/>
    <w:rsid w:val="04F7799D"/>
    <w:rsid w:val="06683B10"/>
    <w:rsid w:val="06DA74BD"/>
    <w:rsid w:val="07393EAA"/>
    <w:rsid w:val="073D0CEA"/>
    <w:rsid w:val="075E5771"/>
    <w:rsid w:val="0869448C"/>
    <w:rsid w:val="08780967"/>
    <w:rsid w:val="0923288D"/>
    <w:rsid w:val="0966767D"/>
    <w:rsid w:val="0A171CC6"/>
    <w:rsid w:val="0A8E0D48"/>
    <w:rsid w:val="0ADE6442"/>
    <w:rsid w:val="0AEE57C7"/>
    <w:rsid w:val="0B111744"/>
    <w:rsid w:val="0BE21100"/>
    <w:rsid w:val="0D316E40"/>
    <w:rsid w:val="0D5B114F"/>
    <w:rsid w:val="108928EE"/>
    <w:rsid w:val="12F06FA4"/>
    <w:rsid w:val="13016CD9"/>
    <w:rsid w:val="13602F65"/>
    <w:rsid w:val="13C977F7"/>
    <w:rsid w:val="14BA09C8"/>
    <w:rsid w:val="14F168A1"/>
    <w:rsid w:val="15181F84"/>
    <w:rsid w:val="15F335E7"/>
    <w:rsid w:val="16136179"/>
    <w:rsid w:val="179761F4"/>
    <w:rsid w:val="19E35721"/>
    <w:rsid w:val="19E62A6A"/>
    <w:rsid w:val="1A0E23D9"/>
    <w:rsid w:val="1B056FA6"/>
    <w:rsid w:val="1B561B8A"/>
    <w:rsid w:val="1B656D35"/>
    <w:rsid w:val="1B947CCE"/>
    <w:rsid w:val="1BE85403"/>
    <w:rsid w:val="1C392ACF"/>
    <w:rsid w:val="1C5E72D6"/>
    <w:rsid w:val="1C9631B6"/>
    <w:rsid w:val="1CBB4733"/>
    <w:rsid w:val="1DB210B4"/>
    <w:rsid w:val="1E0170D3"/>
    <w:rsid w:val="1E176E6D"/>
    <w:rsid w:val="1EB043D2"/>
    <w:rsid w:val="1FBA3746"/>
    <w:rsid w:val="217D32FC"/>
    <w:rsid w:val="21920158"/>
    <w:rsid w:val="21CF4F08"/>
    <w:rsid w:val="21FA5B91"/>
    <w:rsid w:val="25834542"/>
    <w:rsid w:val="25E53141"/>
    <w:rsid w:val="25F767DC"/>
    <w:rsid w:val="260C2ECE"/>
    <w:rsid w:val="28011B94"/>
    <w:rsid w:val="28072D06"/>
    <w:rsid w:val="28652973"/>
    <w:rsid w:val="29A9133E"/>
    <w:rsid w:val="29B34659"/>
    <w:rsid w:val="2A186697"/>
    <w:rsid w:val="2A222295"/>
    <w:rsid w:val="2ABA1D52"/>
    <w:rsid w:val="2AEF3255"/>
    <w:rsid w:val="2B28375B"/>
    <w:rsid w:val="2B4324C3"/>
    <w:rsid w:val="2B6C5576"/>
    <w:rsid w:val="2B6E6CAA"/>
    <w:rsid w:val="2B7606C6"/>
    <w:rsid w:val="2BA50AEA"/>
    <w:rsid w:val="2C002162"/>
    <w:rsid w:val="2D7921CC"/>
    <w:rsid w:val="2E49178A"/>
    <w:rsid w:val="2E5D2BBE"/>
    <w:rsid w:val="2F63746F"/>
    <w:rsid w:val="2F9E416C"/>
    <w:rsid w:val="311B5125"/>
    <w:rsid w:val="31356A60"/>
    <w:rsid w:val="31E755C0"/>
    <w:rsid w:val="31FB3476"/>
    <w:rsid w:val="32111F1D"/>
    <w:rsid w:val="32BD1521"/>
    <w:rsid w:val="34610F81"/>
    <w:rsid w:val="35235397"/>
    <w:rsid w:val="35266576"/>
    <w:rsid w:val="355B6C0F"/>
    <w:rsid w:val="369260AD"/>
    <w:rsid w:val="36EA2F12"/>
    <w:rsid w:val="37C55291"/>
    <w:rsid w:val="37D7646D"/>
    <w:rsid w:val="386C2B80"/>
    <w:rsid w:val="38A72358"/>
    <w:rsid w:val="38C426CE"/>
    <w:rsid w:val="39027277"/>
    <w:rsid w:val="3971096A"/>
    <w:rsid w:val="397F1976"/>
    <w:rsid w:val="39F655DF"/>
    <w:rsid w:val="3A211641"/>
    <w:rsid w:val="3AA80595"/>
    <w:rsid w:val="3AEC5CF5"/>
    <w:rsid w:val="3B5E435E"/>
    <w:rsid w:val="3B6343EF"/>
    <w:rsid w:val="3C57255C"/>
    <w:rsid w:val="3C9E527C"/>
    <w:rsid w:val="3D047F80"/>
    <w:rsid w:val="3D5D3DEB"/>
    <w:rsid w:val="3DC17811"/>
    <w:rsid w:val="3E691DE9"/>
    <w:rsid w:val="3E843A6D"/>
    <w:rsid w:val="3E9167AC"/>
    <w:rsid w:val="3F4B7F0F"/>
    <w:rsid w:val="410F6C78"/>
    <w:rsid w:val="413D3239"/>
    <w:rsid w:val="418C02C8"/>
    <w:rsid w:val="421C1E60"/>
    <w:rsid w:val="425828A0"/>
    <w:rsid w:val="4292190E"/>
    <w:rsid w:val="42D472BA"/>
    <w:rsid w:val="4338699F"/>
    <w:rsid w:val="43A674EE"/>
    <w:rsid w:val="43B327F7"/>
    <w:rsid w:val="43FA626A"/>
    <w:rsid w:val="4495671A"/>
    <w:rsid w:val="455B36E5"/>
    <w:rsid w:val="45D3296A"/>
    <w:rsid w:val="463E49BE"/>
    <w:rsid w:val="464078D3"/>
    <w:rsid w:val="46A474C9"/>
    <w:rsid w:val="46B07D2F"/>
    <w:rsid w:val="478D45F2"/>
    <w:rsid w:val="48122912"/>
    <w:rsid w:val="4985326B"/>
    <w:rsid w:val="49BA3C16"/>
    <w:rsid w:val="4AED5347"/>
    <w:rsid w:val="4B27450E"/>
    <w:rsid w:val="4CEC4311"/>
    <w:rsid w:val="4CF96DDA"/>
    <w:rsid w:val="4DB622F0"/>
    <w:rsid w:val="4DFE60AA"/>
    <w:rsid w:val="4E4446C6"/>
    <w:rsid w:val="4F243F53"/>
    <w:rsid w:val="4FA15887"/>
    <w:rsid w:val="4FED385A"/>
    <w:rsid w:val="51586419"/>
    <w:rsid w:val="51EA50B1"/>
    <w:rsid w:val="525A1D1D"/>
    <w:rsid w:val="52683A48"/>
    <w:rsid w:val="528608AB"/>
    <w:rsid w:val="53517756"/>
    <w:rsid w:val="54071A30"/>
    <w:rsid w:val="54180096"/>
    <w:rsid w:val="54437DC2"/>
    <w:rsid w:val="56E436DA"/>
    <w:rsid w:val="56EE7C13"/>
    <w:rsid w:val="582C5F09"/>
    <w:rsid w:val="582F01FA"/>
    <w:rsid w:val="599C49B9"/>
    <w:rsid w:val="5CCD2577"/>
    <w:rsid w:val="5E027C06"/>
    <w:rsid w:val="5E722876"/>
    <w:rsid w:val="5E8E347A"/>
    <w:rsid w:val="5F143EC1"/>
    <w:rsid w:val="5F422812"/>
    <w:rsid w:val="600022FF"/>
    <w:rsid w:val="603F0748"/>
    <w:rsid w:val="621A068C"/>
    <w:rsid w:val="629E7A48"/>
    <w:rsid w:val="64E80A12"/>
    <w:rsid w:val="65C90630"/>
    <w:rsid w:val="65FE20EE"/>
    <w:rsid w:val="66655D3B"/>
    <w:rsid w:val="670D6F06"/>
    <w:rsid w:val="6785748D"/>
    <w:rsid w:val="68E95AA0"/>
    <w:rsid w:val="69184EE1"/>
    <w:rsid w:val="693469CC"/>
    <w:rsid w:val="69A119B2"/>
    <w:rsid w:val="6AC66EA3"/>
    <w:rsid w:val="6C7D20A2"/>
    <w:rsid w:val="6D9F6377"/>
    <w:rsid w:val="6EA2275C"/>
    <w:rsid w:val="6EB8444E"/>
    <w:rsid w:val="6F7B5355"/>
    <w:rsid w:val="6F946416"/>
    <w:rsid w:val="6FFA4509"/>
    <w:rsid w:val="70076BE8"/>
    <w:rsid w:val="7076459B"/>
    <w:rsid w:val="708D20CD"/>
    <w:rsid w:val="72491EE4"/>
    <w:rsid w:val="74561EEC"/>
    <w:rsid w:val="751E6FE0"/>
    <w:rsid w:val="754937FF"/>
    <w:rsid w:val="759C4F0A"/>
    <w:rsid w:val="75AA68DC"/>
    <w:rsid w:val="761F573E"/>
    <w:rsid w:val="762373A5"/>
    <w:rsid w:val="76465B86"/>
    <w:rsid w:val="778F17DF"/>
    <w:rsid w:val="78197E01"/>
    <w:rsid w:val="78600A45"/>
    <w:rsid w:val="78AF6D3C"/>
    <w:rsid w:val="7A0559C3"/>
    <w:rsid w:val="7A0C1662"/>
    <w:rsid w:val="7A755C23"/>
    <w:rsid w:val="7A761FD9"/>
    <w:rsid w:val="7A8D60CD"/>
    <w:rsid w:val="7AD1114E"/>
    <w:rsid w:val="7C392845"/>
    <w:rsid w:val="7C74451B"/>
    <w:rsid w:val="7CFC230E"/>
    <w:rsid w:val="7D1863D4"/>
    <w:rsid w:val="7D3E79C1"/>
    <w:rsid w:val="7E164407"/>
    <w:rsid w:val="7EEC6D51"/>
    <w:rsid w:val="7F272E03"/>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semiHidden/>
    <w:unhideWhenUsed/>
    <w:qFormat/>
    <w:uiPriority w:val="99"/>
    <w:pPr>
      <w:jc w:val="left"/>
    </w:pPr>
  </w:style>
  <w:style w:type="paragraph" w:styleId="4">
    <w:name w:val="Balloon Text"/>
    <w:basedOn w:val="1"/>
    <w:link w:val="23"/>
    <w:autoRedefine/>
    <w:semiHidden/>
    <w:unhideWhenUsed/>
    <w:qFormat/>
    <w:uiPriority w:val="99"/>
    <w:rPr>
      <w:sz w:val="18"/>
      <w:szCs w:val="18"/>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338DE6"/>
      <w:u w:val="none"/>
    </w:rPr>
  </w:style>
  <w:style w:type="character" w:styleId="14">
    <w:name w:val="annotation reference"/>
    <w:basedOn w:val="12"/>
    <w:autoRedefine/>
    <w:semiHidden/>
    <w:unhideWhenUsed/>
    <w:qFormat/>
    <w:uiPriority w:val="99"/>
    <w:rPr>
      <w:sz w:val="21"/>
      <w:szCs w:val="21"/>
    </w:rPr>
  </w:style>
  <w:style w:type="character" w:customStyle="1" w:styleId="15">
    <w:name w:val="标题 1 Char"/>
    <w:basedOn w:val="12"/>
    <w:link w:val="2"/>
    <w:autoRedefine/>
    <w:qFormat/>
    <w:uiPriority w:val="9"/>
    <w:rPr>
      <w:rFonts w:ascii="宋体" w:hAnsi="宋体" w:eastAsia="宋体" w:cs="宋体"/>
      <w:b/>
      <w:bCs/>
      <w:kern w:val="36"/>
      <w:sz w:val="48"/>
      <w:szCs w:val="48"/>
    </w:rPr>
  </w:style>
  <w:style w:type="paragraph" w:customStyle="1" w:styleId="16">
    <w:name w:val="md-siz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md-size1"/>
    <w:basedOn w:val="12"/>
    <w:autoRedefine/>
    <w:qFormat/>
    <w:uiPriority w:val="0"/>
  </w:style>
  <w:style w:type="character" w:customStyle="1" w:styleId="18">
    <w:name w:val="apple-converted-space"/>
    <w:basedOn w:val="12"/>
    <w:autoRedefine/>
    <w:qFormat/>
    <w:uiPriority w:val="0"/>
  </w:style>
  <w:style w:type="character" w:customStyle="1" w:styleId="19">
    <w:name w:val="页眉 Char"/>
    <w:basedOn w:val="12"/>
    <w:link w:val="6"/>
    <w:autoRedefine/>
    <w:qFormat/>
    <w:uiPriority w:val="99"/>
    <w:rPr>
      <w:sz w:val="18"/>
      <w:szCs w:val="18"/>
    </w:rPr>
  </w:style>
  <w:style w:type="character" w:customStyle="1" w:styleId="20">
    <w:name w:val="页脚 Char"/>
    <w:basedOn w:val="12"/>
    <w:link w:val="5"/>
    <w:autoRedefine/>
    <w:qFormat/>
    <w:uiPriority w:val="99"/>
    <w:rPr>
      <w:sz w:val="18"/>
      <w:szCs w:val="18"/>
    </w:rPr>
  </w:style>
  <w:style w:type="character" w:customStyle="1" w:styleId="21">
    <w:name w:val="批注文字 Char"/>
    <w:basedOn w:val="12"/>
    <w:link w:val="3"/>
    <w:autoRedefine/>
    <w:semiHidden/>
    <w:qFormat/>
    <w:uiPriority w:val="99"/>
  </w:style>
  <w:style w:type="character" w:customStyle="1" w:styleId="22">
    <w:name w:val="批注主题 Char"/>
    <w:basedOn w:val="21"/>
    <w:link w:val="9"/>
    <w:autoRedefine/>
    <w:semiHidden/>
    <w:qFormat/>
    <w:uiPriority w:val="99"/>
    <w:rPr>
      <w:b/>
      <w:bCs/>
    </w:rPr>
  </w:style>
  <w:style w:type="character" w:customStyle="1" w:styleId="23">
    <w:name w:val="批注框文本 Char"/>
    <w:basedOn w:val="12"/>
    <w:link w:val="4"/>
    <w:autoRedefine/>
    <w:semiHidden/>
    <w:qFormat/>
    <w:uiPriority w:val="99"/>
    <w:rPr>
      <w:sz w:val="18"/>
      <w:szCs w:val="18"/>
    </w:rPr>
  </w:style>
  <w:style w:type="paragraph" w:customStyle="1" w:styleId="2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007楷体加粗"/>
    <w:basedOn w:val="1"/>
    <w:autoRedefine/>
    <w:qFormat/>
    <w:uiPriority w:val="0"/>
    <w:pPr>
      <w:overflowPunct w:val="0"/>
      <w:autoSpaceDE w:val="0"/>
      <w:autoSpaceDN w:val="0"/>
      <w:spacing w:before="50" w:beforeLines="50" w:after="50" w:afterLines="50" w:line="360" w:lineRule="auto"/>
      <w:ind w:firstLine="200" w:firstLineChars="200"/>
    </w:pPr>
    <w:rPr>
      <w:rFonts w:ascii="楷体" w:hAnsi="楷体" w:eastAsia="楷体" w:cs="Times New Roman"/>
      <w:b/>
      <w:sz w:val="24"/>
      <w:szCs w:val="24"/>
    </w:rPr>
  </w:style>
  <w:style w:type="paragraph" w:styleId="26">
    <w:name w:val="List Paragraph"/>
    <w:basedOn w:val="1"/>
    <w:autoRedefine/>
    <w:qFormat/>
    <w:uiPriority w:val="34"/>
    <w:pPr>
      <w:ind w:firstLine="420" w:firstLineChars="200"/>
    </w:pPr>
  </w:style>
  <w:style w:type="paragraph" w:customStyle="1" w:styleId="27">
    <w:name w:val="Default"/>
    <w:autoRedefine/>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paragraph" w:customStyle="1" w:styleId="28">
    <w:name w:val="005正文"/>
    <w:basedOn w:val="1"/>
    <w:link w:val="29"/>
    <w:autoRedefine/>
    <w:qFormat/>
    <w:uiPriority w:val="0"/>
    <w:pPr>
      <w:spacing w:before="50" w:beforeLines="50" w:line="360" w:lineRule="auto"/>
      <w:ind w:firstLine="200" w:firstLineChars="200"/>
    </w:pPr>
    <w:rPr>
      <w:rFonts w:ascii="Times New Roman" w:hAnsi="Times New Roman" w:eastAsia="宋体" w:cs="Times New Roman"/>
      <w:sz w:val="24"/>
    </w:rPr>
  </w:style>
  <w:style w:type="character" w:customStyle="1" w:styleId="29">
    <w:name w:val="005正文 Char"/>
    <w:link w:val="28"/>
    <w:autoRedefine/>
    <w:qFormat/>
    <w:uiPriority w:val="0"/>
    <w:rPr>
      <w:rFonts w:ascii="Times New Roman" w:hAnsi="Times New Roman" w:eastAsia="宋体" w:cs="Times New Roman"/>
      <w:sz w:val="24"/>
    </w:rPr>
  </w:style>
  <w:style w:type="character" w:customStyle="1" w:styleId="30">
    <w:name w:val="first-child"/>
    <w:basedOn w:val="12"/>
    <w:qFormat/>
    <w:uiPriority w:val="0"/>
  </w:style>
  <w:style w:type="character" w:customStyle="1" w:styleId="31">
    <w:name w:val="first-child1"/>
    <w:basedOn w:val="12"/>
    <w:qFormat/>
    <w:uiPriority w:val="0"/>
  </w:style>
  <w:style w:type="character" w:customStyle="1" w:styleId="32">
    <w:name w:val="desc_ld32s"/>
    <w:basedOn w:val="12"/>
    <w:qFormat/>
    <w:uiPriority w:val="0"/>
    <w:rPr>
      <w:color w:val="333333"/>
    </w:rPr>
  </w:style>
  <w:style w:type="character" w:customStyle="1" w:styleId="33">
    <w:name w:val="type_kly9r"/>
    <w:basedOn w:val="12"/>
    <w:qFormat/>
    <w:uiPriority w:val="0"/>
    <w:rPr>
      <w:color w:val="999999"/>
    </w:rPr>
  </w:style>
  <w:style w:type="paragraph" w:customStyle="1" w:styleId="34">
    <w:name w:val="_Style 6"/>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1560</Words>
  <Characters>1604</Characters>
  <Lines>16</Lines>
  <Paragraphs>4</Paragraphs>
  <TotalTime>9</TotalTime>
  <ScaleCrop>false</ScaleCrop>
  <LinksUpToDate>false</LinksUpToDate>
  <CharactersWithSpaces>1646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2025-09-08T02:36:00Z</dcterms:created>
  <dc:creator>王锦涛</dc:creator>
  <cp:lastModifiedBy>limeijuan</cp:lastModifiedBy>
  <cp:lastPrinted>2024-02-22T04:26:00Z</cp:lastPrinted>
  <dcterms:modified xsi:type="dcterms:W3CDTF">2025-09-15T13:58:05Z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6234F9E6CADB4F6188D6B296F2D75CEB_13</vt:lpwstr>
  </property>
  <property fmtid="{D5CDD505-2E9C-101B-9397-08002B2CF9AE}" pid="4" name="KSOTemplateDocerSaveRecord">
    <vt:lpwstr>eyJoZGlkIjoiODliMzQ1YmFhMmZlNzllOTZmY2VkMTE2ODM2ZTBiMDEiLCJ1c2VySWQiOiI0NzM1Nzc5MzUifQ==</vt:lpwstr>
  </property>
</Properties>
</file>