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83856">
      <w:pPr>
        <w:pStyle w:val="2"/>
        <w:rPr>
          <w:rFonts w:ascii="Times New Roman" w:hAnsi="Times New Roman" w:eastAsia="宋体" w:cs="Times New Roman"/>
          <w:b/>
          <w:bCs/>
          <w:sz w:val="24"/>
          <w:szCs w:val="24"/>
          <w:lang w:val="en-US"/>
        </w:rPr>
      </w:pPr>
      <w:r>
        <w:rPr>
          <w:rFonts w:ascii="Times New Roman" w:hAnsi="Times New Roman" w:eastAsia="宋体" w:cs="Times New Roman"/>
          <w:b/>
          <w:bCs/>
          <w:sz w:val="24"/>
          <w:szCs w:val="24"/>
          <w:lang w:val="en-US"/>
        </w:rPr>
        <w:t xml:space="preserve">证券代码：688098                    </w:t>
      </w:r>
      <w:r>
        <w:rPr>
          <w:rFonts w:hint="eastAsia" w:ascii="Times New Roman" w:hAnsi="Times New Roman" w:eastAsia="宋体" w:cs="Times New Roman"/>
          <w:b/>
          <w:bCs/>
          <w:sz w:val="24"/>
          <w:szCs w:val="24"/>
          <w:lang w:val="en-US"/>
        </w:rPr>
        <w:t xml:space="preserve">    </w:t>
      </w:r>
      <w:r>
        <w:rPr>
          <w:rFonts w:ascii="Times New Roman" w:hAnsi="Times New Roman" w:eastAsia="宋体" w:cs="Times New Roman"/>
          <w:b/>
          <w:bCs/>
          <w:sz w:val="24"/>
          <w:szCs w:val="24"/>
          <w:lang w:val="en-US"/>
        </w:rPr>
        <w:t xml:space="preserve">        </w:t>
      </w:r>
      <w:r>
        <w:rPr>
          <w:rFonts w:hint="eastAsia" w:ascii="Times New Roman" w:hAnsi="Times New Roman" w:eastAsia="宋体" w:cs="Times New Roman"/>
          <w:b/>
          <w:bCs/>
          <w:sz w:val="24"/>
          <w:szCs w:val="24"/>
          <w:lang w:val="en-US" w:eastAsia="zh"/>
        </w:rPr>
        <w:t xml:space="preserve">   </w:t>
      </w:r>
      <w:r>
        <w:rPr>
          <w:rFonts w:ascii="Times New Roman" w:hAnsi="Times New Roman" w:eastAsia="宋体" w:cs="Times New Roman"/>
          <w:b/>
          <w:bCs/>
          <w:sz w:val="24"/>
          <w:szCs w:val="24"/>
          <w:lang w:val="en-US"/>
        </w:rPr>
        <w:t>证券简称：申联生物</w:t>
      </w:r>
    </w:p>
    <w:p w14:paraId="6BE3716E">
      <w:pPr>
        <w:spacing w:line="360" w:lineRule="auto"/>
        <w:jc w:val="center"/>
        <w:rPr>
          <w:rFonts w:hint="eastAsia" w:ascii="宋体" w:hAnsi="宋体" w:eastAsia="宋体" w:cs="宋体"/>
          <w:b/>
          <w:bCs/>
          <w:sz w:val="44"/>
          <w:szCs w:val="44"/>
        </w:rPr>
      </w:pPr>
    </w:p>
    <w:p w14:paraId="2BE8545E">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申联生物医药(上海)股份有限公司</w:t>
      </w:r>
    </w:p>
    <w:p w14:paraId="0208F113">
      <w:pPr>
        <w:spacing w:line="360" w:lineRule="auto"/>
        <w:jc w:val="center"/>
        <w:rPr>
          <w:rFonts w:hint="eastAsia" w:ascii="宋体" w:hAnsi="宋体" w:eastAsia="宋体" w:cs="宋体"/>
          <w:sz w:val="32"/>
          <w:szCs w:val="32"/>
        </w:rPr>
      </w:pPr>
      <w:r>
        <w:rPr>
          <w:rFonts w:hint="eastAsia" w:ascii="宋体" w:hAnsi="宋体" w:eastAsia="宋体" w:cs="宋体"/>
          <w:b/>
          <w:bCs/>
          <w:sz w:val="32"/>
          <w:szCs w:val="32"/>
        </w:rPr>
        <w:t>投资者关系活动记录表</w:t>
      </w:r>
    </w:p>
    <w:p w14:paraId="5A04F264">
      <w:pPr>
        <w:spacing w:before="51" w:after="32"/>
        <w:ind w:right="139"/>
        <w:jc w:val="right"/>
        <w:rPr>
          <w:rFonts w:hint="eastAsia" w:ascii="Times New Roman" w:hAnsi="Times New Roman" w:eastAsia="宋体" w:cs="宋体"/>
          <w:sz w:val="24"/>
          <w:szCs w:val="24"/>
          <w:lang w:eastAsia="zh"/>
        </w:rPr>
      </w:pPr>
      <w:r>
        <w:rPr>
          <w:rFonts w:hint="eastAsia" w:ascii="Times New Roman" w:hAnsi="Times New Roman" w:eastAsia="宋体" w:cs="宋体"/>
          <w:sz w:val="24"/>
          <w:szCs w:val="24"/>
        </w:rPr>
        <w:t>编号：</w:t>
      </w:r>
      <w:r>
        <w:rPr>
          <w:rFonts w:hint="eastAsia" w:ascii="Times New Roman" w:hAnsi="Times New Roman" w:eastAsia="宋体" w:cs="宋体"/>
          <w:sz w:val="24"/>
          <w:szCs w:val="24"/>
          <w:lang w:val="en-US"/>
        </w:rPr>
        <w:t>202</w:t>
      </w:r>
      <w:r>
        <w:rPr>
          <w:rFonts w:hint="eastAsia" w:ascii="Times New Roman" w:hAnsi="Times New Roman" w:eastAsia="宋体" w:cs="宋体"/>
          <w:sz w:val="24"/>
          <w:szCs w:val="24"/>
          <w:lang w:val="en-US" w:eastAsia="zh"/>
        </w:rPr>
        <w:t>5</w:t>
      </w:r>
      <w:r>
        <w:rPr>
          <w:rFonts w:hint="eastAsia" w:ascii="Times New Roman" w:hAnsi="Times New Roman" w:eastAsia="宋体" w:cs="宋体"/>
          <w:sz w:val="24"/>
          <w:szCs w:val="24"/>
        </w:rPr>
        <w:t>-</w:t>
      </w:r>
      <w:r>
        <w:rPr>
          <w:rFonts w:ascii="Times New Roman" w:hAnsi="Times New Roman" w:eastAsia="宋体" w:cs="宋体"/>
          <w:sz w:val="24"/>
          <w:szCs w:val="24"/>
        </w:rPr>
        <w:t>00</w:t>
      </w:r>
      <w:r>
        <w:rPr>
          <w:rFonts w:hint="eastAsia" w:ascii="Times New Roman" w:hAnsi="Times New Roman" w:eastAsia="宋体" w:cs="宋体"/>
          <w:sz w:val="24"/>
          <w:szCs w:val="24"/>
          <w:lang w:eastAsia="zh"/>
        </w:rPr>
        <w:t>2</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0" w:type="dxa"/>
        </w:tblCellMar>
      </w:tblPr>
      <w:tblGrid>
        <w:gridCol w:w="3078"/>
        <w:gridCol w:w="5294"/>
      </w:tblGrid>
      <w:tr w14:paraId="54F15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1838" w:type="pct"/>
            <w:vAlign w:val="center"/>
          </w:tcPr>
          <w:p w14:paraId="1D54D71A">
            <w:pPr>
              <w:pStyle w:val="17"/>
              <w:adjustRightInd w:val="0"/>
              <w:snapToGrid w:val="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投资者关系活动类别</w:t>
            </w:r>
          </w:p>
        </w:tc>
        <w:tc>
          <w:tcPr>
            <w:tcW w:w="3162" w:type="pct"/>
          </w:tcPr>
          <w:p w14:paraId="5B4DBCE0">
            <w:pPr>
              <w:pStyle w:val="17"/>
              <w:spacing w:before="7"/>
              <w:rPr>
                <w:rFonts w:ascii="Times New Roman" w:hAnsi="Times New Roman" w:eastAsia="宋体" w:cs="Times New Roman"/>
                <w:sz w:val="24"/>
                <w:szCs w:val="24"/>
              </w:rPr>
            </w:pPr>
          </w:p>
          <w:p w14:paraId="0A7774ED">
            <w:pPr>
              <w:pStyle w:val="17"/>
              <w:tabs>
                <w:tab w:val="left" w:pos="2418"/>
              </w:tabs>
              <w:spacing w:before="1"/>
              <w:ind w:left="107"/>
              <w:rPr>
                <w:rFonts w:ascii="Times New Roman" w:hAnsi="Times New Roman" w:eastAsia="宋体" w:cs="Times New Roman"/>
                <w:sz w:val="24"/>
                <w:szCs w:val="24"/>
              </w:rPr>
            </w:pPr>
            <w:sdt>
              <w:sdtPr>
                <w:rPr>
                  <w:rFonts w:ascii="Times New Roman" w:hAnsi="Times New Roman" w:eastAsia="宋体" w:cs="Times New Roman"/>
                  <w:sz w:val="24"/>
                  <w:szCs w:val="24"/>
                </w:rPr>
                <w:id w:val="249780449"/>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MS Gothic" w:hAnsi="MS Gothic" w:eastAsia="宋体" w:cs="Times New Roman"/>
                    <w:sz w:val="24"/>
                    <w:szCs w:val="24"/>
                  </w:rPr>
                  <w:t>☐</w:t>
                </w:r>
              </w:sdtContent>
            </w:sdt>
            <w:r>
              <w:rPr>
                <w:rFonts w:ascii="Times New Roman" w:hAnsi="Times New Roman" w:eastAsia="宋体" w:cs="Times New Roman"/>
                <w:sz w:val="24"/>
                <w:szCs w:val="24"/>
              </w:rPr>
              <w:t>特</w:t>
            </w:r>
            <w:r>
              <w:rPr>
                <w:rFonts w:ascii="Times New Roman" w:hAnsi="Times New Roman" w:eastAsia="宋体" w:cs="Times New Roman"/>
                <w:spacing w:val="-3"/>
                <w:sz w:val="24"/>
                <w:szCs w:val="24"/>
              </w:rPr>
              <w:t>定</w:t>
            </w:r>
            <w:r>
              <w:rPr>
                <w:rFonts w:ascii="Times New Roman" w:hAnsi="Times New Roman" w:eastAsia="宋体" w:cs="Times New Roman"/>
                <w:sz w:val="24"/>
                <w:szCs w:val="24"/>
              </w:rPr>
              <w:t>对</w:t>
            </w:r>
            <w:r>
              <w:rPr>
                <w:rFonts w:ascii="Times New Roman" w:hAnsi="Times New Roman" w:eastAsia="宋体" w:cs="Times New Roman"/>
                <w:spacing w:val="-3"/>
                <w:sz w:val="24"/>
                <w:szCs w:val="24"/>
              </w:rPr>
              <w:t>象</w:t>
            </w:r>
            <w:r>
              <w:rPr>
                <w:rFonts w:ascii="Times New Roman" w:hAnsi="Times New Roman" w:eastAsia="宋体" w:cs="Times New Roman"/>
                <w:sz w:val="24"/>
                <w:szCs w:val="24"/>
              </w:rPr>
              <w:t>调研</w:t>
            </w:r>
            <w:r>
              <w:rPr>
                <w:rFonts w:ascii="Times New Roman" w:hAnsi="Times New Roman" w:eastAsia="宋体" w:cs="Times New Roman"/>
                <w:sz w:val="24"/>
                <w:szCs w:val="24"/>
              </w:rPr>
              <w:tab/>
            </w:r>
            <w:sdt>
              <w:sdtPr>
                <w:rPr>
                  <w:rFonts w:ascii="Times New Roman" w:hAnsi="Times New Roman" w:eastAsia="宋体" w:cs="Times New Roman"/>
                  <w:sz w:val="24"/>
                  <w:szCs w:val="24"/>
                </w:rPr>
                <w:id w:val="-1"/>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Times New Roman" w:hAnsi="Times New Roman" w:eastAsia="宋体" w:cs="Times New Roman"/>
                    <w:sz w:val="24"/>
                    <w:szCs w:val="24"/>
                  </w:rPr>
                  <w:t>☐</w:t>
                </w:r>
              </w:sdtContent>
            </w:sdt>
            <w:r>
              <w:rPr>
                <w:rFonts w:ascii="Times New Roman" w:hAnsi="Times New Roman" w:eastAsia="宋体" w:cs="Times New Roman"/>
                <w:sz w:val="24"/>
                <w:szCs w:val="24"/>
              </w:rPr>
              <w:t>分</w:t>
            </w:r>
            <w:r>
              <w:rPr>
                <w:rFonts w:ascii="Times New Roman" w:hAnsi="Times New Roman" w:eastAsia="宋体" w:cs="Times New Roman"/>
                <w:spacing w:val="-3"/>
                <w:sz w:val="24"/>
                <w:szCs w:val="24"/>
              </w:rPr>
              <w:t>析</w:t>
            </w:r>
            <w:r>
              <w:rPr>
                <w:rFonts w:ascii="Times New Roman" w:hAnsi="Times New Roman" w:eastAsia="宋体" w:cs="Times New Roman"/>
                <w:sz w:val="24"/>
                <w:szCs w:val="24"/>
              </w:rPr>
              <w:t>师</w:t>
            </w:r>
            <w:r>
              <w:rPr>
                <w:rFonts w:ascii="Times New Roman" w:hAnsi="Times New Roman" w:eastAsia="宋体" w:cs="Times New Roman"/>
                <w:spacing w:val="-3"/>
                <w:sz w:val="24"/>
                <w:szCs w:val="24"/>
              </w:rPr>
              <w:t>会</w:t>
            </w:r>
            <w:r>
              <w:rPr>
                <w:rFonts w:ascii="Times New Roman" w:hAnsi="Times New Roman" w:eastAsia="宋体" w:cs="Times New Roman"/>
                <w:sz w:val="24"/>
                <w:szCs w:val="24"/>
              </w:rPr>
              <w:t>议</w:t>
            </w:r>
          </w:p>
          <w:p w14:paraId="2532ED61">
            <w:pPr>
              <w:pStyle w:val="17"/>
              <w:spacing w:before="11"/>
              <w:rPr>
                <w:rFonts w:ascii="Times New Roman" w:hAnsi="Times New Roman" w:eastAsia="宋体" w:cs="Times New Roman"/>
                <w:sz w:val="24"/>
                <w:szCs w:val="24"/>
              </w:rPr>
            </w:pPr>
          </w:p>
          <w:p w14:paraId="46445931">
            <w:pPr>
              <w:pStyle w:val="17"/>
              <w:tabs>
                <w:tab w:val="left" w:pos="2418"/>
              </w:tabs>
              <w:ind w:left="107"/>
              <w:rPr>
                <w:rFonts w:ascii="Times New Roman" w:hAnsi="Times New Roman" w:eastAsia="宋体" w:cs="Times New Roman"/>
                <w:sz w:val="24"/>
                <w:szCs w:val="24"/>
              </w:rPr>
            </w:pPr>
            <w:sdt>
              <w:sdtPr>
                <w:rPr>
                  <w:rFonts w:ascii="Times New Roman" w:hAnsi="Times New Roman" w:eastAsia="宋体" w:cs="Times New Roman"/>
                  <w:sz w:val="24"/>
                  <w:szCs w:val="24"/>
                </w:rPr>
                <w:id w:val="1206906014"/>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Times New Roman" w:hAnsi="Times New Roman" w:eastAsia="宋体" w:cs="Times New Roman"/>
                    <w:sz w:val="24"/>
                    <w:szCs w:val="24"/>
                  </w:rPr>
                  <w:t>☐</w:t>
                </w:r>
              </w:sdtContent>
            </w:sdt>
            <w:r>
              <w:rPr>
                <w:rFonts w:ascii="Times New Roman" w:hAnsi="Times New Roman" w:eastAsia="宋体" w:cs="Times New Roman"/>
                <w:sz w:val="24"/>
                <w:szCs w:val="24"/>
              </w:rPr>
              <w:t>媒</w:t>
            </w:r>
            <w:r>
              <w:rPr>
                <w:rFonts w:ascii="Times New Roman" w:hAnsi="Times New Roman" w:eastAsia="宋体" w:cs="Times New Roman"/>
                <w:spacing w:val="-3"/>
                <w:sz w:val="24"/>
                <w:szCs w:val="24"/>
              </w:rPr>
              <w:t>体</w:t>
            </w:r>
            <w:r>
              <w:rPr>
                <w:rFonts w:ascii="Times New Roman" w:hAnsi="Times New Roman" w:eastAsia="宋体" w:cs="Times New Roman"/>
                <w:sz w:val="24"/>
                <w:szCs w:val="24"/>
              </w:rPr>
              <w:t>采访</w:t>
            </w:r>
            <w:r>
              <w:rPr>
                <w:rFonts w:ascii="Times New Roman" w:hAnsi="Times New Roman" w:eastAsia="宋体" w:cs="Times New Roman"/>
                <w:sz w:val="24"/>
                <w:szCs w:val="24"/>
              </w:rPr>
              <w:tab/>
            </w:r>
            <w:sdt>
              <w:sdtPr>
                <w:rPr>
                  <w:rFonts w:ascii="Times New Roman" w:hAnsi="Times New Roman" w:eastAsia="宋体" w:cs="Times New Roman"/>
                  <w:sz w:val="24"/>
                  <w:szCs w:val="24"/>
                </w:rPr>
                <w:id w:val="448800104"/>
                <w14:checkbox>
                  <w14:checked w14:val="1"/>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Wingdings 2" w:hAnsi="Wingdings 2" w:eastAsia="宋体" w:cs="Times New Roman"/>
                    <w:sz w:val="24"/>
                    <w:szCs w:val="24"/>
                  </w:rPr>
                  <w:t>R</w:t>
                </w:r>
              </w:sdtContent>
            </w:sdt>
            <w:r>
              <w:rPr>
                <w:rFonts w:ascii="Times New Roman" w:hAnsi="Times New Roman" w:eastAsia="宋体" w:cs="Times New Roman"/>
                <w:sz w:val="24"/>
                <w:szCs w:val="24"/>
              </w:rPr>
              <w:t>业</w:t>
            </w:r>
            <w:r>
              <w:rPr>
                <w:rFonts w:ascii="Times New Roman" w:hAnsi="Times New Roman" w:eastAsia="宋体" w:cs="Times New Roman"/>
                <w:spacing w:val="-3"/>
                <w:sz w:val="24"/>
                <w:szCs w:val="24"/>
              </w:rPr>
              <w:t>绩</w:t>
            </w:r>
            <w:r>
              <w:rPr>
                <w:rFonts w:ascii="Times New Roman" w:hAnsi="Times New Roman" w:eastAsia="宋体" w:cs="Times New Roman"/>
                <w:sz w:val="24"/>
                <w:szCs w:val="24"/>
              </w:rPr>
              <w:t>说</w:t>
            </w:r>
            <w:r>
              <w:rPr>
                <w:rFonts w:ascii="Times New Roman" w:hAnsi="Times New Roman" w:eastAsia="宋体" w:cs="Times New Roman"/>
                <w:spacing w:val="-3"/>
                <w:sz w:val="24"/>
                <w:szCs w:val="24"/>
              </w:rPr>
              <w:t>明</w:t>
            </w:r>
            <w:r>
              <w:rPr>
                <w:rFonts w:ascii="Times New Roman" w:hAnsi="Times New Roman" w:eastAsia="宋体" w:cs="Times New Roman"/>
                <w:sz w:val="24"/>
                <w:szCs w:val="24"/>
              </w:rPr>
              <w:t>会</w:t>
            </w:r>
          </w:p>
          <w:p w14:paraId="075018EE">
            <w:pPr>
              <w:pStyle w:val="17"/>
              <w:spacing w:before="8"/>
              <w:rPr>
                <w:rFonts w:ascii="Times New Roman" w:hAnsi="Times New Roman" w:eastAsia="宋体" w:cs="Times New Roman"/>
                <w:sz w:val="24"/>
                <w:szCs w:val="24"/>
              </w:rPr>
            </w:pPr>
          </w:p>
          <w:p w14:paraId="1E23F4AD">
            <w:pPr>
              <w:pStyle w:val="17"/>
              <w:tabs>
                <w:tab w:val="left" w:pos="2418"/>
              </w:tabs>
              <w:ind w:left="107"/>
              <w:rPr>
                <w:rFonts w:ascii="Times New Roman" w:hAnsi="Times New Roman" w:eastAsia="宋体" w:cs="Times New Roman"/>
                <w:sz w:val="24"/>
                <w:szCs w:val="24"/>
              </w:rPr>
            </w:pPr>
            <w:sdt>
              <w:sdtPr>
                <w:rPr>
                  <w:rFonts w:ascii="Times New Roman" w:hAnsi="Times New Roman" w:eastAsia="宋体" w:cs="Times New Roman"/>
                  <w:sz w:val="24"/>
                  <w:szCs w:val="24"/>
                </w:rPr>
                <w:id w:val="282126598"/>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Times New Roman" w:hAnsi="Times New Roman" w:eastAsia="宋体" w:cs="Times New Roman"/>
                    <w:sz w:val="24"/>
                    <w:szCs w:val="24"/>
                  </w:rPr>
                  <w:t>☐</w:t>
                </w:r>
              </w:sdtContent>
            </w:sdt>
            <w:r>
              <w:rPr>
                <w:rFonts w:ascii="Times New Roman" w:hAnsi="Times New Roman" w:eastAsia="宋体" w:cs="Times New Roman"/>
                <w:sz w:val="24"/>
                <w:szCs w:val="24"/>
              </w:rPr>
              <w:t>新</w:t>
            </w:r>
            <w:r>
              <w:rPr>
                <w:rFonts w:ascii="Times New Roman" w:hAnsi="Times New Roman" w:eastAsia="宋体" w:cs="Times New Roman"/>
                <w:spacing w:val="-3"/>
                <w:sz w:val="24"/>
                <w:szCs w:val="24"/>
              </w:rPr>
              <w:t>闻</w:t>
            </w:r>
            <w:r>
              <w:rPr>
                <w:rFonts w:ascii="Times New Roman" w:hAnsi="Times New Roman" w:eastAsia="宋体" w:cs="Times New Roman"/>
                <w:sz w:val="24"/>
                <w:szCs w:val="24"/>
              </w:rPr>
              <w:t>发</w:t>
            </w:r>
            <w:r>
              <w:rPr>
                <w:rFonts w:ascii="Times New Roman" w:hAnsi="Times New Roman" w:eastAsia="宋体" w:cs="Times New Roman"/>
                <w:spacing w:val="-3"/>
                <w:sz w:val="24"/>
                <w:szCs w:val="24"/>
              </w:rPr>
              <w:t>布</w:t>
            </w:r>
            <w:r>
              <w:rPr>
                <w:rFonts w:ascii="Times New Roman" w:hAnsi="Times New Roman" w:eastAsia="宋体" w:cs="Times New Roman"/>
                <w:sz w:val="24"/>
                <w:szCs w:val="24"/>
              </w:rPr>
              <w:t>会</w:t>
            </w:r>
            <w:r>
              <w:rPr>
                <w:rFonts w:ascii="Times New Roman" w:hAnsi="Times New Roman" w:eastAsia="宋体" w:cs="Times New Roman"/>
                <w:sz w:val="24"/>
                <w:szCs w:val="24"/>
              </w:rPr>
              <w:tab/>
            </w:r>
            <w:sdt>
              <w:sdtPr>
                <w:rPr>
                  <w:rFonts w:ascii="Times New Roman" w:hAnsi="Times New Roman" w:eastAsia="宋体" w:cs="Times New Roman"/>
                  <w:sz w:val="24"/>
                  <w:szCs w:val="24"/>
                </w:rPr>
                <w:id w:val="412049691"/>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Times New Roman" w:hAnsi="Times New Roman" w:eastAsia="宋体" w:cs="Times New Roman"/>
                    <w:sz w:val="24"/>
                    <w:szCs w:val="24"/>
                  </w:rPr>
                  <w:t>☐</w:t>
                </w:r>
              </w:sdtContent>
            </w:sdt>
            <w:r>
              <w:rPr>
                <w:rFonts w:ascii="Times New Roman" w:hAnsi="Times New Roman" w:eastAsia="宋体" w:cs="Times New Roman"/>
                <w:sz w:val="24"/>
                <w:szCs w:val="24"/>
              </w:rPr>
              <w:t>路</w:t>
            </w:r>
            <w:r>
              <w:rPr>
                <w:rFonts w:ascii="Times New Roman" w:hAnsi="Times New Roman" w:eastAsia="宋体" w:cs="Times New Roman"/>
                <w:spacing w:val="-3"/>
                <w:sz w:val="24"/>
                <w:szCs w:val="24"/>
              </w:rPr>
              <w:t>演</w:t>
            </w:r>
            <w:r>
              <w:rPr>
                <w:rFonts w:ascii="Times New Roman" w:hAnsi="Times New Roman" w:eastAsia="宋体" w:cs="Times New Roman"/>
                <w:sz w:val="24"/>
                <w:szCs w:val="24"/>
              </w:rPr>
              <w:t>活动</w:t>
            </w:r>
          </w:p>
          <w:p w14:paraId="5278D790">
            <w:pPr>
              <w:pStyle w:val="17"/>
              <w:spacing w:before="8"/>
              <w:rPr>
                <w:rFonts w:ascii="Times New Roman" w:hAnsi="Times New Roman" w:eastAsia="宋体" w:cs="Times New Roman"/>
                <w:sz w:val="24"/>
                <w:szCs w:val="24"/>
              </w:rPr>
            </w:pPr>
          </w:p>
          <w:p w14:paraId="257D07A6">
            <w:pPr>
              <w:pStyle w:val="17"/>
              <w:ind w:left="107"/>
              <w:rPr>
                <w:rFonts w:ascii="Times New Roman" w:hAnsi="Times New Roman" w:eastAsia="宋体" w:cs="Times New Roman"/>
                <w:sz w:val="24"/>
                <w:szCs w:val="24"/>
              </w:rPr>
            </w:pPr>
            <w:sdt>
              <w:sdtPr>
                <w:rPr>
                  <w:rFonts w:ascii="Times New Roman" w:hAnsi="Times New Roman" w:eastAsia="宋体" w:cs="Times New Roman"/>
                  <w:sz w:val="24"/>
                  <w:szCs w:val="24"/>
                </w:rPr>
                <w:id w:val="591662735"/>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Times New Roman" w:hAnsi="Times New Roman" w:eastAsia="宋体" w:cs="Times New Roman"/>
                    <w:sz w:val="24"/>
                    <w:szCs w:val="24"/>
                  </w:rPr>
                  <w:t>☐</w:t>
                </w:r>
              </w:sdtContent>
            </w:sdt>
            <w:r>
              <w:rPr>
                <w:rFonts w:ascii="Times New Roman" w:hAnsi="Times New Roman" w:eastAsia="宋体" w:cs="Times New Roman"/>
                <w:sz w:val="24"/>
                <w:szCs w:val="24"/>
              </w:rPr>
              <w:t>现场参观</w:t>
            </w:r>
          </w:p>
          <w:p w14:paraId="1902A70C">
            <w:pPr>
              <w:pStyle w:val="17"/>
              <w:spacing w:before="11"/>
              <w:rPr>
                <w:rFonts w:ascii="Times New Roman" w:hAnsi="Times New Roman" w:eastAsia="宋体" w:cs="Times New Roman"/>
                <w:sz w:val="24"/>
                <w:szCs w:val="24"/>
              </w:rPr>
            </w:pPr>
          </w:p>
          <w:p w14:paraId="396FDD5C">
            <w:pPr>
              <w:pStyle w:val="17"/>
              <w:ind w:left="107"/>
              <w:rPr>
                <w:rFonts w:ascii="Times New Roman" w:hAnsi="Times New Roman" w:eastAsia="宋体" w:cs="Times New Roman"/>
                <w:sz w:val="24"/>
                <w:szCs w:val="24"/>
                <w:u w:val="single"/>
              </w:rPr>
            </w:pPr>
            <w:sdt>
              <w:sdtPr>
                <w:rPr>
                  <w:rFonts w:ascii="Times New Roman" w:hAnsi="Times New Roman" w:eastAsia="宋体" w:cs="Times New Roman"/>
                  <w:sz w:val="24"/>
                  <w:szCs w:val="24"/>
                </w:rPr>
                <w:id w:val="400885218"/>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Times New Roman" w:hAnsi="Times New Roman" w:eastAsia="宋体" w:cs="Times New Roman"/>
                    <w:sz w:val="24"/>
                    <w:szCs w:val="24"/>
                  </w:rPr>
                  <w:t>☐</w:t>
                </w:r>
              </w:sdtContent>
            </w:sdt>
            <w:r>
              <w:rPr>
                <w:rFonts w:ascii="Times New Roman" w:hAnsi="Times New Roman" w:eastAsia="宋体" w:cs="Times New Roman"/>
                <w:sz w:val="24"/>
                <w:szCs w:val="24"/>
              </w:rPr>
              <w:t>其他（</w:t>
            </w:r>
            <w:r>
              <w:rPr>
                <w:rFonts w:ascii="Times New Roman" w:hAnsi="Times New Roman" w:eastAsia="宋体" w:cs="Times New Roman"/>
                <w:sz w:val="24"/>
                <w:szCs w:val="24"/>
                <w:u w:val="single"/>
              </w:rPr>
              <w:t>请文字说明其他活动内容）</w:t>
            </w:r>
          </w:p>
          <w:p w14:paraId="5DC9AD97">
            <w:pPr>
              <w:pStyle w:val="17"/>
              <w:ind w:left="107"/>
              <w:rPr>
                <w:rFonts w:hint="eastAsia" w:ascii="Times New Roman" w:hAnsi="Times New Roman" w:eastAsia="宋体" w:cs="Times New Roman"/>
                <w:sz w:val="24"/>
                <w:szCs w:val="24"/>
              </w:rPr>
            </w:pPr>
          </w:p>
        </w:tc>
      </w:tr>
      <w:tr w14:paraId="072C6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00" w:hRule="atLeast"/>
          <w:jc w:val="center"/>
        </w:trPr>
        <w:tc>
          <w:tcPr>
            <w:tcW w:w="1838" w:type="pct"/>
            <w:vAlign w:val="center"/>
          </w:tcPr>
          <w:p w14:paraId="548BF25D">
            <w:pPr>
              <w:pStyle w:val="17"/>
              <w:adjustRightInd w:val="0"/>
              <w:snapToGrid w:val="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参与单位名称及人员姓名</w:t>
            </w:r>
          </w:p>
        </w:tc>
        <w:tc>
          <w:tcPr>
            <w:tcW w:w="3162" w:type="pct"/>
            <w:vAlign w:val="center"/>
          </w:tcPr>
          <w:p w14:paraId="43F88908">
            <w:pPr>
              <w:pStyle w:val="17"/>
              <w:spacing w:before="100" w:beforeAutospacing="1" w:line="360" w:lineRule="auto"/>
              <w:rPr>
                <w:rFonts w:ascii="Times New Roman" w:hAnsi="Times New Roman" w:eastAsia="宋体" w:cs="Times New Roman"/>
                <w:sz w:val="24"/>
                <w:szCs w:val="24"/>
                <w:lang w:val="en-US" w:eastAsia="zh"/>
              </w:rPr>
            </w:pPr>
            <w:bookmarkStart w:id="0" w:name="_GoBack"/>
            <w:r>
              <w:rPr>
                <w:rFonts w:hint="eastAsia" w:ascii="Times New Roman" w:hAnsi="Times New Roman" w:eastAsia="宋体" w:cs="Times New Roman"/>
                <w:sz w:val="24"/>
                <w:szCs w:val="24"/>
                <w:lang w:val="en-US" w:eastAsia="zh"/>
              </w:rPr>
              <w:t>2025年半年度科创板创新药行业集体业绩说明会</w:t>
            </w:r>
            <w:bookmarkEnd w:id="0"/>
          </w:p>
        </w:tc>
      </w:tr>
      <w:tr w14:paraId="4769B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20" w:hRule="atLeast"/>
          <w:jc w:val="center"/>
        </w:trPr>
        <w:tc>
          <w:tcPr>
            <w:tcW w:w="1838" w:type="pct"/>
            <w:vAlign w:val="center"/>
          </w:tcPr>
          <w:p w14:paraId="7D1BA21E">
            <w:pPr>
              <w:pStyle w:val="17"/>
              <w:adjustRightInd w:val="0"/>
              <w:snapToGrid w:val="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时间</w:t>
            </w:r>
          </w:p>
        </w:tc>
        <w:tc>
          <w:tcPr>
            <w:tcW w:w="3162" w:type="pct"/>
            <w:vAlign w:val="center"/>
          </w:tcPr>
          <w:p w14:paraId="454784C2">
            <w:pPr>
              <w:spacing w:before="100" w:beforeAutospacing="1"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lang w:eastAsia="zh"/>
              </w:rPr>
              <w:t>2025年9月16日15:00-17:00</w:t>
            </w:r>
          </w:p>
        </w:tc>
      </w:tr>
      <w:tr w14:paraId="674AC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1838" w:type="pct"/>
            <w:vAlign w:val="center"/>
          </w:tcPr>
          <w:p w14:paraId="2ECE835A">
            <w:pPr>
              <w:pStyle w:val="17"/>
              <w:adjustRightInd w:val="0"/>
              <w:snapToGrid w:val="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地点</w:t>
            </w:r>
          </w:p>
        </w:tc>
        <w:tc>
          <w:tcPr>
            <w:tcW w:w="3162" w:type="pct"/>
            <w:vAlign w:val="center"/>
          </w:tcPr>
          <w:p w14:paraId="53C19374">
            <w:pPr>
              <w:pStyle w:val="17"/>
              <w:adjustRightInd w:val="0"/>
              <w:snapToGrid w:val="0"/>
              <w:spacing w:before="120" w:beforeLines="50" w:after="120" w:afterLines="50"/>
              <w:rPr>
                <w:rFonts w:ascii="Times New Roman" w:hAnsi="Times New Roman" w:eastAsia="宋体" w:cs="Times New Roman"/>
                <w:sz w:val="24"/>
                <w:szCs w:val="24"/>
                <w:lang w:val="en-US" w:eastAsia="zh"/>
              </w:rPr>
            </w:pPr>
            <w:r>
              <w:rPr>
                <w:rFonts w:ascii="Times New Roman" w:hAnsi="Times New Roman" w:eastAsia="宋体" w:cs="Times New Roman"/>
                <w:sz w:val="24"/>
                <w:szCs w:val="24"/>
                <w:lang w:val="en-US" w:eastAsia="zh"/>
              </w:rPr>
              <w:t>上海证券交易所上证路演中心</w:t>
            </w:r>
          </w:p>
        </w:tc>
      </w:tr>
      <w:tr w14:paraId="61457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1838" w:type="pct"/>
            <w:vAlign w:val="center"/>
          </w:tcPr>
          <w:p w14:paraId="3D579675">
            <w:pPr>
              <w:pStyle w:val="17"/>
              <w:adjustRightInd w:val="0"/>
              <w:snapToGrid w:val="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上市公司接待人员姓名</w:t>
            </w:r>
          </w:p>
        </w:tc>
        <w:tc>
          <w:tcPr>
            <w:tcW w:w="3162" w:type="pct"/>
            <w:vAlign w:val="center"/>
          </w:tcPr>
          <w:p w14:paraId="54FF3D41">
            <w:pPr>
              <w:pStyle w:val="17"/>
              <w:adjustRightInd w:val="0"/>
              <w:snapToGrid w:val="0"/>
              <w:spacing w:before="120" w:beforeLines="50" w:after="120" w:afterLines="50"/>
              <w:rPr>
                <w:rFonts w:ascii="Times New Roman" w:hAnsi="Times New Roman" w:eastAsia="宋体" w:cs="Times New Roman"/>
                <w:sz w:val="24"/>
                <w:szCs w:val="24"/>
                <w:lang w:val="en-US" w:eastAsia="zh"/>
              </w:rPr>
            </w:pPr>
            <w:r>
              <w:rPr>
                <w:rFonts w:hint="eastAsia" w:ascii="Times New Roman" w:hAnsi="Times New Roman" w:eastAsia="宋体" w:cs="Times New Roman"/>
                <w:sz w:val="24"/>
                <w:szCs w:val="24"/>
                <w:lang w:val="en-US" w:eastAsia="zh"/>
              </w:rPr>
              <w:t>董事长：聂东升先生</w:t>
            </w:r>
          </w:p>
          <w:p w14:paraId="28EB4237">
            <w:pPr>
              <w:pStyle w:val="17"/>
              <w:adjustRightInd w:val="0"/>
              <w:snapToGrid w:val="0"/>
              <w:spacing w:before="120" w:beforeLines="50" w:after="120" w:afterLines="50"/>
              <w:rPr>
                <w:rFonts w:ascii="Times New Roman" w:hAnsi="Times New Roman" w:eastAsia="宋体" w:cs="Times New Roman"/>
                <w:sz w:val="24"/>
                <w:szCs w:val="24"/>
                <w:lang w:val="en-US" w:eastAsia="zh"/>
              </w:rPr>
            </w:pPr>
            <w:r>
              <w:rPr>
                <w:rFonts w:hint="eastAsia" w:ascii="Times New Roman" w:hAnsi="Times New Roman" w:eastAsia="宋体" w:cs="Times New Roman"/>
                <w:sz w:val="24"/>
                <w:szCs w:val="24"/>
                <w:lang w:val="en-US" w:eastAsia="zh"/>
              </w:rPr>
              <w:t>董事会秘书：於海霞女士</w:t>
            </w:r>
          </w:p>
          <w:p w14:paraId="3139E233">
            <w:pPr>
              <w:pStyle w:val="17"/>
              <w:adjustRightInd w:val="0"/>
              <w:snapToGrid w:val="0"/>
              <w:spacing w:before="120" w:beforeLines="50" w:after="120" w:afterLines="50"/>
              <w:rPr>
                <w:rFonts w:ascii="Times New Roman" w:hAnsi="Times New Roman" w:eastAsia="宋体" w:cs="Times New Roman"/>
                <w:sz w:val="24"/>
                <w:szCs w:val="24"/>
                <w:lang w:val="en-US" w:eastAsia="zh"/>
              </w:rPr>
            </w:pPr>
            <w:r>
              <w:rPr>
                <w:rFonts w:hint="eastAsia" w:ascii="Times New Roman" w:hAnsi="Times New Roman" w:eastAsia="宋体" w:cs="Times New Roman"/>
                <w:sz w:val="24"/>
                <w:szCs w:val="24"/>
                <w:lang w:val="en-US" w:eastAsia="zh"/>
              </w:rPr>
              <w:t>技术总监：殷波博士</w:t>
            </w:r>
          </w:p>
          <w:p w14:paraId="6C8A85A3">
            <w:pPr>
              <w:pStyle w:val="17"/>
              <w:adjustRightInd w:val="0"/>
              <w:snapToGrid w:val="0"/>
              <w:spacing w:before="120" w:beforeLines="50" w:after="120" w:afterLines="50"/>
              <w:rPr>
                <w:rFonts w:ascii="Times New Roman" w:hAnsi="Times New Roman" w:eastAsia="宋体" w:cs="Times New Roman"/>
                <w:sz w:val="24"/>
                <w:szCs w:val="24"/>
                <w:lang w:val="en-US" w:eastAsia="zh"/>
              </w:rPr>
            </w:pPr>
            <w:r>
              <w:rPr>
                <w:rFonts w:hint="eastAsia" w:ascii="Times New Roman" w:hAnsi="Times New Roman" w:eastAsia="宋体" w:cs="Times New Roman"/>
                <w:sz w:val="24"/>
                <w:szCs w:val="24"/>
                <w:lang w:val="en-US" w:eastAsia="zh"/>
              </w:rPr>
              <w:t>财务总监：李珣先生</w:t>
            </w:r>
          </w:p>
        </w:tc>
      </w:tr>
    </w:tbl>
    <w:p w14:paraId="29757DB9">
      <w:pPr>
        <w:pStyle w:val="17"/>
        <w:rPr>
          <w:rFonts w:ascii="Times New Roman" w:hAnsi="Times New Roman" w:eastAsia="宋体" w:cs="Times New Roman"/>
          <w:b/>
          <w:bCs/>
          <w:sz w:val="21"/>
          <w:szCs w:val="21"/>
        </w:rPr>
      </w:pPr>
      <w:r>
        <w:rPr>
          <w:rFonts w:ascii="Times New Roman" w:hAnsi="Times New Roman" w:eastAsia="宋体" w:cs="Times New Roman"/>
          <w:b/>
          <w:bCs/>
          <w:sz w:val="21"/>
          <w:szCs w:val="21"/>
        </w:rPr>
        <w:br w:type="page"/>
      </w:r>
    </w:p>
    <w:tbl>
      <w:tblPr>
        <w:tblStyle w:val="11"/>
        <w:tblW w:w="486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0" w:type="dxa"/>
        </w:tblCellMar>
      </w:tblPr>
      <w:tblGrid>
        <w:gridCol w:w="1997"/>
        <w:gridCol w:w="6144"/>
        <w:gridCol w:w="12"/>
      </w:tblGrid>
      <w:tr w14:paraId="39493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700" w:hRule="atLeast"/>
          <w:jc w:val="center"/>
        </w:trPr>
        <w:tc>
          <w:tcPr>
            <w:tcW w:w="1225" w:type="pct"/>
            <w:vAlign w:val="center"/>
          </w:tcPr>
          <w:p w14:paraId="582D7FF3">
            <w:pPr>
              <w:pStyle w:val="17"/>
              <w:spacing w:before="1" w:line="499" w:lineRule="auto"/>
              <w:ind w:left="107" w:right="96"/>
              <w:jc w:val="both"/>
              <w:rPr>
                <w:rFonts w:ascii="Times New Roman" w:hAnsi="Times New Roman" w:cs="Times New Roman" w:eastAsiaTheme="minorEastAsia"/>
                <w:b/>
                <w:bCs/>
                <w:color w:val="000000"/>
                <w:sz w:val="24"/>
                <w:szCs w:val="24"/>
              </w:rPr>
            </w:pPr>
            <w:r>
              <w:rPr>
                <w:rFonts w:ascii="Times New Roman" w:hAnsi="Times New Roman" w:cs="Times New Roman" w:eastAsiaTheme="minorEastAsia"/>
                <w:b/>
                <w:bCs/>
                <w:color w:val="000000"/>
                <w:sz w:val="24"/>
                <w:szCs w:val="24"/>
              </w:rPr>
              <w:t>投资者关系活动主要内容介绍</w:t>
            </w:r>
          </w:p>
        </w:tc>
        <w:tc>
          <w:tcPr>
            <w:tcW w:w="3775" w:type="pct"/>
            <w:gridSpan w:val="2"/>
            <w:vAlign w:val="center"/>
          </w:tcPr>
          <w:p w14:paraId="0773CFC7">
            <w:pPr>
              <w:overflowPunct w:val="0"/>
              <w:autoSpaceDE/>
              <w:autoSpaceDN/>
              <w:adjustRightInd w:val="0"/>
              <w:snapToGrid w:val="0"/>
              <w:spacing w:before="120" w:beforeLines="50" w:line="360" w:lineRule="auto"/>
              <w:ind w:firstLine="482" w:firstLineChars="200"/>
              <w:jc w:val="both"/>
              <w:rPr>
                <w:rFonts w:ascii="Times New Roman" w:hAnsi="Times New Roman" w:cs="Times New Roman" w:eastAsiaTheme="minorEastAsia"/>
                <w:b/>
                <w:color w:val="000000"/>
                <w:kern w:val="2"/>
                <w:sz w:val="24"/>
                <w:szCs w:val="24"/>
                <w:lang w:bidi="ar-SA"/>
              </w:rPr>
            </w:pPr>
            <w:r>
              <w:rPr>
                <w:rFonts w:ascii="Times New Roman" w:hAnsi="Times New Roman" w:cs="Times New Roman" w:eastAsiaTheme="minorEastAsia"/>
                <w:b/>
                <w:color w:val="000000"/>
                <w:kern w:val="2"/>
                <w:sz w:val="24"/>
                <w:szCs w:val="24"/>
                <w:lang w:bidi="ar-SA"/>
              </w:rPr>
              <w:t>交流问答</w:t>
            </w:r>
          </w:p>
          <w:p w14:paraId="100B7E59">
            <w:pPr>
              <w:overflowPunct w:val="0"/>
              <w:adjustRightInd w:val="0"/>
              <w:snapToGrid w:val="0"/>
              <w:spacing w:line="360" w:lineRule="auto"/>
              <w:ind w:firstLine="482" w:firstLineChars="200"/>
              <w:jc w:val="both"/>
              <w:rPr>
                <w:rFonts w:ascii="Times New Roman" w:hAnsi="Times New Roman" w:cs="Times New Roman" w:eastAsiaTheme="minorEastAsia"/>
                <w:b/>
                <w:bCs/>
                <w:color w:val="000000"/>
                <w:sz w:val="24"/>
                <w:szCs w:val="24"/>
                <w:lang w:eastAsia="zh"/>
              </w:rPr>
            </w:pPr>
            <w:r>
              <w:rPr>
                <w:rFonts w:ascii="Times New Roman" w:hAnsi="Times New Roman" w:cs="Times New Roman" w:eastAsiaTheme="minorEastAsia"/>
                <w:b/>
                <w:bCs/>
                <w:color w:val="000000"/>
                <w:sz w:val="24"/>
                <w:szCs w:val="24"/>
                <w:lang w:eastAsia="zh"/>
              </w:rPr>
              <w:t>1、今年有哪些项目可以贡献收入和利润？</w:t>
            </w:r>
          </w:p>
          <w:p w14:paraId="418D8571">
            <w:pPr>
              <w:pStyle w:val="9"/>
              <w:widowControl/>
              <w:overflowPunct w:val="0"/>
              <w:adjustRightInd w:val="0"/>
              <w:snapToGrid w:val="0"/>
              <w:spacing w:before="0" w:beforeAutospacing="0" w:after="0" w:afterAutospacing="0" w:line="360" w:lineRule="auto"/>
              <w:ind w:firstLine="480" w:firstLineChars="200"/>
              <w:jc w:val="both"/>
              <w:rPr>
                <w:rFonts w:ascii="Times New Roman" w:hAnsi="Times New Roman" w:eastAsiaTheme="minorEastAsia"/>
                <w:color w:val="000000"/>
                <w:kern w:val="2"/>
                <w:szCs w:val="24"/>
                <w:lang w:eastAsia="zh"/>
              </w:rPr>
            </w:pPr>
            <w:r>
              <w:rPr>
                <w:rFonts w:ascii="Times New Roman" w:hAnsi="Times New Roman" w:eastAsiaTheme="minorEastAsia"/>
                <w:color w:val="000000"/>
                <w:kern w:val="2"/>
                <w:szCs w:val="24"/>
                <w:lang w:eastAsia="zh" w:bidi="ar"/>
              </w:rPr>
              <w:t>答：尊敬的投资者您好</w:t>
            </w:r>
            <w:r>
              <w:rPr>
                <w:rFonts w:hint="eastAsia" w:ascii="Times New Roman" w:hAnsi="Times New Roman" w:eastAsiaTheme="minorEastAsia"/>
                <w:color w:val="000000"/>
                <w:kern w:val="2"/>
                <w:szCs w:val="24"/>
                <w:lang w:eastAsia="zh" w:bidi="ar"/>
              </w:rPr>
              <w:t>！</w:t>
            </w:r>
            <w:r>
              <w:rPr>
                <w:rFonts w:ascii="Times New Roman" w:hAnsi="Times New Roman" w:eastAsiaTheme="minorEastAsia"/>
                <w:color w:val="000000"/>
                <w:kern w:val="2"/>
                <w:szCs w:val="24"/>
                <w:lang w:eastAsia="zh" w:bidi="ar"/>
              </w:rPr>
              <w:t>现阶段公司贡献收入和利润的产品主要为多款强制免疫疫苗产品和非强制免疫疫苗产品，具体包括：猪口蹄疫O型合成肽疫苗，猪口蹄疫O型、A型二价合成肽疫苗，猪口蹄疫O型、A型二价灭活疫苗，牛羊口蹄疫O型、A型二价灭活疫苗，猪圆环病毒2型亚单位疫苗，牛结节皮肤病灭活疫苗，猪瘟基因工程亚单位疫苗以及相关兽药诊断产品等。此外，公司猪链球菌病、传染性胸膜肺炎二联灭活疫苗近期获准上市，预计今年也将贡献一定收入和利润。</w:t>
            </w:r>
          </w:p>
          <w:p w14:paraId="271A368C">
            <w:pPr>
              <w:pStyle w:val="9"/>
              <w:widowControl/>
              <w:shd w:val="clear" w:color="auto" w:fill="FFFFFF"/>
              <w:overflowPunct w:val="0"/>
              <w:adjustRightInd w:val="0"/>
              <w:snapToGrid w:val="0"/>
              <w:spacing w:before="0" w:beforeAutospacing="0" w:after="0" w:afterAutospacing="0" w:line="360" w:lineRule="auto"/>
              <w:ind w:firstLine="480" w:firstLineChars="200"/>
              <w:jc w:val="both"/>
              <w:textAlignment w:val="baseline"/>
              <w:rPr>
                <w:rFonts w:ascii="Times New Roman" w:hAnsi="Times New Roman" w:eastAsiaTheme="minorEastAsia"/>
                <w:color w:val="000000"/>
                <w:spacing w:val="-2"/>
                <w:szCs w:val="24"/>
                <w:shd w:val="clear" w:color="auto" w:fill="FFFFFF"/>
              </w:rPr>
            </w:pPr>
            <w:r>
              <w:rPr>
                <w:rFonts w:ascii="Times New Roman" w:hAnsi="Times New Roman" w:eastAsiaTheme="minorEastAsia"/>
                <w:color w:val="000000"/>
                <w:kern w:val="2"/>
                <w:szCs w:val="24"/>
                <w:lang w:eastAsia="zh" w:bidi="ar"/>
              </w:rPr>
              <w:t>近</w:t>
            </w:r>
            <w:r>
              <w:rPr>
                <w:rFonts w:ascii="Times New Roman" w:hAnsi="Times New Roman" w:eastAsiaTheme="minorEastAsia"/>
                <w:color w:val="000000"/>
                <w:kern w:val="2"/>
                <w:szCs w:val="24"/>
                <w:lang w:bidi="ar"/>
              </w:rPr>
              <w:t>两年将是公司产品</w:t>
            </w:r>
            <w:r>
              <w:rPr>
                <w:rFonts w:ascii="Times New Roman" w:hAnsi="Times New Roman" w:eastAsiaTheme="minorEastAsia"/>
                <w:color w:val="000000"/>
                <w:kern w:val="2"/>
                <w:szCs w:val="24"/>
                <w:lang w:eastAsia="zh" w:bidi="ar"/>
              </w:rPr>
              <w:t>销售</w:t>
            </w:r>
            <w:r>
              <w:rPr>
                <w:rFonts w:ascii="Times New Roman" w:hAnsi="Times New Roman" w:eastAsiaTheme="minorEastAsia"/>
                <w:color w:val="000000"/>
                <w:kern w:val="2"/>
                <w:szCs w:val="24"/>
                <w:lang w:bidi="ar"/>
              </w:rPr>
              <w:t>的集中释放期，</w:t>
            </w:r>
            <w:r>
              <w:rPr>
                <w:rFonts w:ascii="Times New Roman" w:hAnsi="Times New Roman" w:eastAsiaTheme="minorEastAsia"/>
                <w:color w:val="000000"/>
                <w:kern w:val="2"/>
                <w:szCs w:val="24"/>
                <w:lang w:eastAsia="zh" w:bidi="ar"/>
              </w:rPr>
              <w:t>其中</w:t>
            </w:r>
            <w:r>
              <w:rPr>
                <w:rFonts w:ascii="Times New Roman" w:hAnsi="Times New Roman" w:eastAsiaTheme="minorEastAsia"/>
                <w:color w:val="000000"/>
                <w:kern w:val="2"/>
                <w:szCs w:val="24"/>
                <w:lang w:bidi="ar"/>
              </w:rPr>
              <w:t>非口蹄疫相关产品将成为重要增长点</w:t>
            </w:r>
            <w:r>
              <w:rPr>
                <w:rFonts w:ascii="Times New Roman" w:hAnsi="Times New Roman" w:eastAsiaTheme="minorEastAsia"/>
                <w:color w:val="000000"/>
                <w:kern w:val="2"/>
                <w:szCs w:val="24"/>
                <w:lang w:eastAsia="zh" w:bidi="ar"/>
              </w:rPr>
              <w:t>，具体包括：</w:t>
            </w:r>
            <w:r>
              <w:rPr>
                <w:rFonts w:ascii="Times New Roman" w:hAnsi="Times New Roman" w:eastAsiaTheme="minorEastAsia"/>
                <w:color w:val="000000"/>
                <w:kern w:val="2"/>
                <w:szCs w:val="24"/>
                <w:lang w:bidi="ar"/>
              </w:rPr>
              <w:t>猪瘟</w:t>
            </w:r>
            <w:r>
              <w:rPr>
                <w:rFonts w:ascii="Times New Roman" w:hAnsi="Times New Roman" w:eastAsiaTheme="minorEastAsia"/>
                <w:color w:val="000000"/>
                <w:kern w:val="2"/>
                <w:szCs w:val="24"/>
                <w:lang w:eastAsia="zh" w:bidi="ar"/>
              </w:rPr>
              <w:t>基因工程亚单位疫苗，猪链球菌病、传染性胸膜肺炎二联灭活疫苗</w:t>
            </w:r>
            <w:r>
              <w:rPr>
                <w:rFonts w:ascii="Times New Roman" w:hAnsi="Times New Roman" w:eastAsiaTheme="minorEastAsia"/>
                <w:color w:val="000000"/>
                <w:kern w:val="2"/>
                <w:szCs w:val="24"/>
                <w:lang w:bidi="ar"/>
              </w:rPr>
              <w:t>等新产品</w:t>
            </w:r>
            <w:r>
              <w:rPr>
                <w:rFonts w:ascii="Times New Roman" w:hAnsi="Times New Roman" w:eastAsiaTheme="minorEastAsia"/>
                <w:color w:val="000000"/>
                <w:kern w:val="2"/>
                <w:szCs w:val="24"/>
                <w:lang w:eastAsia="zh" w:bidi="ar"/>
              </w:rPr>
              <w:t>上市持续</w:t>
            </w:r>
            <w:r>
              <w:rPr>
                <w:rFonts w:ascii="Times New Roman" w:hAnsi="Times New Roman" w:eastAsiaTheme="minorEastAsia"/>
                <w:color w:val="000000"/>
                <w:kern w:val="2"/>
                <w:szCs w:val="24"/>
                <w:lang w:bidi="ar"/>
              </w:rPr>
              <w:t>推广</w:t>
            </w:r>
            <w:r>
              <w:rPr>
                <w:rFonts w:hint="eastAsia" w:ascii="Times New Roman" w:hAnsi="Times New Roman" w:eastAsiaTheme="minorEastAsia"/>
                <w:color w:val="000000"/>
                <w:kern w:val="2"/>
                <w:szCs w:val="24"/>
                <w:lang w:eastAsia="zh" w:bidi="ar"/>
              </w:rPr>
              <w:t>，</w:t>
            </w:r>
            <w:r>
              <w:rPr>
                <w:rFonts w:ascii="Times New Roman" w:hAnsi="Times New Roman" w:eastAsiaTheme="minorEastAsia"/>
                <w:color w:val="000000"/>
                <w:kern w:val="2"/>
                <w:szCs w:val="24"/>
                <w:lang w:eastAsia="zh" w:bidi="ar"/>
              </w:rPr>
              <w:t>市场占有率将持续提升；前期</w:t>
            </w:r>
            <w:r>
              <w:rPr>
                <w:rFonts w:ascii="Times New Roman" w:hAnsi="Times New Roman" w:eastAsiaTheme="minorEastAsia"/>
                <w:color w:val="000000"/>
                <w:kern w:val="2"/>
                <w:szCs w:val="24"/>
                <w:lang w:bidi="ar"/>
              </w:rPr>
              <w:t>已进入市场的产品</w:t>
            </w:r>
            <w:r>
              <w:rPr>
                <w:rFonts w:ascii="Times New Roman" w:hAnsi="Times New Roman" w:eastAsiaTheme="minorEastAsia"/>
                <w:color w:val="000000"/>
                <w:kern w:val="2"/>
                <w:szCs w:val="24"/>
                <w:lang w:eastAsia="zh" w:bidi="ar"/>
              </w:rPr>
              <w:t>猪圆环病毒2型亚单位疫苗</w:t>
            </w:r>
            <w:r>
              <w:rPr>
                <w:rFonts w:ascii="Times New Roman" w:hAnsi="Times New Roman" w:eastAsiaTheme="minorEastAsia"/>
                <w:color w:val="000000"/>
                <w:kern w:val="2"/>
                <w:szCs w:val="24"/>
                <w:lang w:bidi="ar"/>
              </w:rPr>
              <w:t>、</w:t>
            </w:r>
            <w:r>
              <w:rPr>
                <w:rFonts w:ascii="Times New Roman" w:hAnsi="Times New Roman" w:eastAsiaTheme="minorEastAsia"/>
                <w:color w:val="000000"/>
                <w:kern w:val="2"/>
                <w:szCs w:val="24"/>
                <w:lang w:eastAsia="zh" w:bidi="ar"/>
              </w:rPr>
              <w:t>牛结节皮肤病灭活疫苗</w:t>
            </w:r>
            <w:r>
              <w:rPr>
                <w:rFonts w:ascii="Times New Roman" w:hAnsi="Times New Roman" w:eastAsiaTheme="minorEastAsia"/>
                <w:color w:val="000000"/>
                <w:kern w:val="2"/>
                <w:szCs w:val="24"/>
                <w:lang w:bidi="ar"/>
              </w:rPr>
              <w:t>等</w:t>
            </w:r>
            <w:r>
              <w:rPr>
                <w:rFonts w:ascii="Times New Roman" w:hAnsi="Times New Roman" w:eastAsiaTheme="minorEastAsia"/>
                <w:color w:val="000000"/>
                <w:kern w:val="2"/>
                <w:szCs w:val="24"/>
                <w:lang w:eastAsia="zh" w:bidi="ar"/>
              </w:rPr>
              <w:t>产品</w:t>
            </w:r>
            <w:r>
              <w:rPr>
                <w:rFonts w:ascii="Times New Roman" w:hAnsi="Times New Roman" w:eastAsiaTheme="minorEastAsia"/>
                <w:color w:val="000000"/>
                <w:kern w:val="2"/>
                <w:szCs w:val="24"/>
                <w:lang w:bidi="ar"/>
              </w:rPr>
              <w:t>将持续深化推广，</w:t>
            </w:r>
            <w:r>
              <w:rPr>
                <w:rFonts w:ascii="Times New Roman" w:hAnsi="Times New Roman" w:eastAsiaTheme="minorEastAsia"/>
                <w:color w:val="000000"/>
                <w:kern w:val="2"/>
                <w:szCs w:val="24"/>
                <w:lang w:eastAsia="zh" w:bidi="ar"/>
              </w:rPr>
              <w:t>逐步进入更多的大型客户，</w:t>
            </w:r>
            <w:r>
              <w:rPr>
                <w:rFonts w:ascii="Times New Roman" w:hAnsi="Times New Roman" w:eastAsiaTheme="minorEastAsia"/>
                <w:color w:val="000000"/>
                <w:kern w:val="2"/>
                <w:szCs w:val="24"/>
                <w:lang w:bidi="ar"/>
              </w:rPr>
              <w:t>市场份额</w:t>
            </w:r>
            <w:r>
              <w:rPr>
                <w:rFonts w:ascii="Times New Roman" w:hAnsi="Times New Roman" w:eastAsiaTheme="minorEastAsia"/>
                <w:color w:val="000000"/>
                <w:kern w:val="2"/>
                <w:szCs w:val="24"/>
                <w:lang w:eastAsia="zh" w:bidi="ar"/>
              </w:rPr>
              <w:t>持续扩大</w:t>
            </w:r>
            <w:r>
              <w:rPr>
                <w:rFonts w:ascii="Times New Roman" w:hAnsi="Times New Roman" w:eastAsiaTheme="minorEastAsia"/>
                <w:color w:val="000000"/>
                <w:kern w:val="2"/>
                <w:szCs w:val="24"/>
                <w:lang w:bidi="ar"/>
              </w:rPr>
              <w:t>。</w:t>
            </w:r>
            <w:r>
              <w:rPr>
                <w:rFonts w:ascii="Times New Roman" w:hAnsi="Times New Roman" w:eastAsiaTheme="minorEastAsia"/>
                <w:color w:val="000000"/>
                <w:spacing w:val="-2"/>
                <w:szCs w:val="24"/>
                <w:shd w:val="clear" w:color="auto" w:fill="FFFFFF"/>
                <w:lang w:bidi="ar"/>
              </w:rPr>
              <w:t>感谢您的关注！</w:t>
            </w:r>
          </w:p>
          <w:p w14:paraId="1A56DD82">
            <w:pPr>
              <w:overflowPunct w:val="0"/>
              <w:adjustRightInd w:val="0"/>
              <w:snapToGrid w:val="0"/>
              <w:spacing w:line="360" w:lineRule="auto"/>
              <w:ind w:firstLine="482" w:firstLineChars="200"/>
              <w:jc w:val="both"/>
              <w:rPr>
                <w:rFonts w:ascii="Times New Roman" w:hAnsi="Times New Roman" w:cs="Times New Roman" w:eastAsiaTheme="minorEastAsia"/>
                <w:b/>
                <w:bCs/>
                <w:color w:val="000000"/>
                <w:sz w:val="24"/>
                <w:szCs w:val="24"/>
                <w:lang w:eastAsia="zh"/>
              </w:rPr>
            </w:pPr>
            <w:r>
              <w:rPr>
                <w:rFonts w:ascii="Times New Roman" w:hAnsi="Times New Roman" w:cs="Times New Roman" w:eastAsiaTheme="minorEastAsia"/>
                <w:b/>
                <w:bCs/>
                <w:color w:val="000000"/>
                <w:sz w:val="24"/>
                <w:szCs w:val="24"/>
                <w:lang w:eastAsia="zh"/>
              </w:rPr>
              <w:t>2、如何看待行业未来的发展前景？</w:t>
            </w:r>
          </w:p>
          <w:p w14:paraId="3AEC583B">
            <w:pPr>
              <w:overflowPunct w:val="0"/>
              <w:adjustRightInd w:val="0"/>
              <w:snapToGrid w:val="0"/>
              <w:spacing w:line="360" w:lineRule="auto"/>
              <w:ind w:firstLine="480" w:firstLineChars="200"/>
              <w:jc w:val="both"/>
              <w:rPr>
                <w:rFonts w:ascii="Times New Roman" w:hAnsi="Times New Roman" w:cs="Times New Roman" w:eastAsiaTheme="minorEastAsia"/>
                <w:color w:val="000000"/>
                <w:spacing w:val="-2"/>
                <w:sz w:val="24"/>
                <w:szCs w:val="24"/>
                <w:shd w:val="clear" w:color="auto" w:fill="FFFFFF"/>
                <w:lang w:val="en-US" w:bidi="ar"/>
              </w:rPr>
            </w:pPr>
            <w:r>
              <w:rPr>
                <w:rFonts w:ascii="Times New Roman" w:hAnsi="Times New Roman" w:cs="Times New Roman" w:eastAsiaTheme="minorEastAsia"/>
                <w:color w:val="000000"/>
                <w:sz w:val="24"/>
                <w:szCs w:val="24"/>
                <w:lang w:eastAsia="zh"/>
              </w:rPr>
              <w:t>答：</w:t>
            </w:r>
            <w:r>
              <w:rPr>
                <w:rFonts w:ascii="Times New Roman" w:hAnsi="Times New Roman" w:cs="Times New Roman" w:eastAsiaTheme="minorEastAsia"/>
                <w:color w:val="000000"/>
                <w:kern w:val="2"/>
                <w:sz w:val="24"/>
                <w:szCs w:val="24"/>
                <w:lang w:val="en-US" w:eastAsia="zh" w:bidi="ar"/>
              </w:rPr>
              <w:t>尊敬的投资者您好！</w:t>
            </w:r>
            <w:r>
              <w:rPr>
                <w:rFonts w:ascii="Times New Roman" w:hAnsi="Times New Roman" w:cs="Times New Roman" w:eastAsiaTheme="minorEastAsia"/>
                <w:color w:val="000000"/>
                <w:spacing w:val="-2"/>
                <w:sz w:val="24"/>
                <w:szCs w:val="24"/>
                <w:shd w:val="clear" w:color="auto" w:fill="FFFFFF"/>
                <w:lang w:val="en-US" w:bidi="ar"/>
              </w:rPr>
              <w:t>关于行业未来发展前景及公司的战略布局，</w:t>
            </w:r>
            <w:r>
              <w:rPr>
                <w:rFonts w:ascii="Times New Roman" w:hAnsi="Times New Roman" w:cs="Times New Roman" w:eastAsiaTheme="minorEastAsia"/>
                <w:color w:val="000000"/>
                <w:spacing w:val="-2"/>
                <w:sz w:val="24"/>
                <w:szCs w:val="24"/>
                <w:shd w:val="clear" w:color="auto" w:fill="FFFFFF"/>
                <w:lang w:val="en-US" w:eastAsia="zh" w:bidi="ar"/>
              </w:rPr>
              <w:t>将</w:t>
            </w:r>
            <w:r>
              <w:rPr>
                <w:rFonts w:ascii="Times New Roman" w:hAnsi="Times New Roman" w:cs="Times New Roman" w:eastAsiaTheme="minorEastAsia"/>
                <w:color w:val="000000"/>
                <w:spacing w:val="-2"/>
                <w:sz w:val="24"/>
                <w:szCs w:val="24"/>
                <w:shd w:val="clear" w:color="auto" w:fill="FFFFFF"/>
                <w:lang w:val="en-US" w:bidi="ar"/>
              </w:rPr>
              <w:t>从动保和创新药两个</w:t>
            </w:r>
            <w:r>
              <w:rPr>
                <w:rFonts w:ascii="Times New Roman" w:hAnsi="Times New Roman" w:cs="Times New Roman" w:eastAsiaTheme="minorEastAsia"/>
                <w:color w:val="000000"/>
                <w:spacing w:val="-2"/>
                <w:sz w:val="24"/>
                <w:szCs w:val="24"/>
                <w:shd w:val="clear" w:color="auto" w:fill="FFFFFF"/>
                <w:lang w:val="en-US" w:eastAsia="zh" w:bidi="ar"/>
              </w:rPr>
              <w:t>方面</w:t>
            </w:r>
            <w:r>
              <w:rPr>
                <w:rFonts w:ascii="Times New Roman" w:hAnsi="Times New Roman" w:cs="Times New Roman" w:eastAsiaTheme="minorEastAsia"/>
                <w:color w:val="000000"/>
                <w:spacing w:val="-2"/>
                <w:sz w:val="24"/>
                <w:szCs w:val="24"/>
                <w:shd w:val="clear" w:color="auto" w:fill="FFFFFF"/>
                <w:lang w:val="en-US" w:bidi="ar"/>
              </w:rPr>
              <w:t>进行阐述。</w:t>
            </w:r>
          </w:p>
          <w:p w14:paraId="3BE0AE9C">
            <w:pPr>
              <w:overflowPunct w:val="0"/>
              <w:adjustRightInd w:val="0"/>
              <w:snapToGrid w:val="0"/>
              <w:spacing w:line="360" w:lineRule="auto"/>
              <w:ind w:firstLine="472" w:firstLineChars="200"/>
              <w:jc w:val="both"/>
              <w:rPr>
                <w:rFonts w:ascii="Times New Roman" w:hAnsi="Times New Roman" w:cs="Times New Roman" w:eastAsiaTheme="minorEastAsia"/>
                <w:color w:val="000000"/>
                <w:kern w:val="2"/>
                <w:sz w:val="24"/>
                <w:szCs w:val="24"/>
                <w:lang w:val="en-US" w:eastAsia="zh" w:bidi="ar"/>
              </w:rPr>
            </w:pPr>
            <w:r>
              <w:rPr>
                <w:rFonts w:ascii="Times New Roman" w:hAnsi="Times New Roman" w:cs="Times New Roman" w:eastAsiaTheme="minorEastAsia"/>
                <w:color w:val="000000"/>
                <w:spacing w:val="-2"/>
                <w:sz w:val="24"/>
                <w:szCs w:val="24"/>
                <w:shd w:val="clear" w:color="auto" w:fill="FFFFFF"/>
                <w:lang w:val="en-US" w:eastAsia="zh" w:bidi="ar"/>
              </w:rPr>
              <w:t>当前，我国动保行业迈向高质量发展通道，</w:t>
            </w:r>
            <w:r>
              <w:rPr>
                <w:rFonts w:ascii="Times New Roman" w:hAnsi="Times New Roman" w:cs="Times New Roman" w:eastAsiaTheme="minorEastAsia"/>
                <w:color w:val="000000"/>
                <w:spacing w:val="-2"/>
                <w:sz w:val="24"/>
                <w:szCs w:val="24"/>
                <w:shd w:val="clear" w:color="auto" w:fill="FFFFFF"/>
                <w:lang w:val="en-US" w:bidi="ar"/>
              </w:rPr>
              <w:t>国家持续推行重大动物疫病强制免疫政策，并向</w:t>
            </w:r>
            <w:r>
              <w:rPr>
                <w:rFonts w:hint="eastAsia" w:ascii="宋体" w:hAnsi="宋体" w:eastAsia="宋体" w:cs="宋体"/>
                <w:color w:val="000000"/>
                <w:spacing w:val="-2"/>
                <w:sz w:val="24"/>
                <w:szCs w:val="24"/>
                <w:shd w:val="clear" w:color="auto" w:fill="FFFFFF"/>
                <w:lang w:val="en-US" w:bidi="ar"/>
              </w:rPr>
              <w:t>“</w:t>
            </w:r>
            <w:r>
              <w:rPr>
                <w:rFonts w:ascii="Times New Roman" w:hAnsi="Times New Roman" w:cs="Times New Roman" w:eastAsiaTheme="minorEastAsia"/>
                <w:color w:val="000000"/>
                <w:spacing w:val="-2"/>
                <w:sz w:val="24"/>
                <w:szCs w:val="24"/>
                <w:shd w:val="clear" w:color="auto" w:fill="FFFFFF"/>
                <w:lang w:val="en-US" w:bidi="ar"/>
              </w:rPr>
              <w:t>先打后补</w:t>
            </w:r>
            <w:r>
              <w:rPr>
                <w:rFonts w:hint="eastAsia" w:ascii="宋体" w:hAnsi="宋体" w:eastAsia="宋体" w:cs="宋体"/>
                <w:color w:val="000000"/>
                <w:spacing w:val="-2"/>
                <w:sz w:val="24"/>
                <w:szCs w:val="24"/>
                <w:shd w:val="clear" w:color="auto" w:fill="FFFFFF"/>
                <w:lang w:val="en-US" w:bidi="ar"/>
              </w:rPr>
              <w:t>”</w:t>
            </w:r>
            <w:r>
              <w:rPr>
                <w:rFonts w:ascii="Times New Roman" w:hAnsi="Times New Roman" w:cs="Times New Roman" w:eastAsiaTheme="minorEastAsia"/>
                <w:color w:val="000000"/>
                <w:spacing w:val="-2"/>
                <w:sz w:val="24"/>
                <w:szCs w:val="24"/>
                <w:shd w:val="clear" w:color="auto" w:fill="FFFFFF"/>
                <w:lang w:val="en-US" w:bidi="ar"/>
              </w:rPr>
              <w:t>等市场化方向深入推进。</w:t>
            </w:r>
            <w:r>
              <w:rPr>
                <w:rFonts w:ascii="Times New Roman" w:hAnsi="Times New Roman" w:cs="Times New Roman" w:eastAsiaTheme="minorEastAsia"/>
                <w:color w:val="000000"/>
                <w:spacing w:val="-2"/>
                <w:sz w:val="24"/>
                <w:szCs w:val="24"/>
                <w:shd w:val="clear" w:color="auto" w:fill="FFFFFF"/>
                <w:lang w:val="en-US" w:eastAsia="zh" w:bidi="ar"/>
              </w:rPr>
              <w:t>同时，</w:t>
            </w:r>
            <w:r>
              <w:rPr>
                <w:rFonts w:ascii="Times New Roman" w:hAnsi="Times New Roman" w:cs="Times New Roman" w:eastAsiaTheme="minorEastAsia"/>
                <w:color w:val="000000"/>
                <w:spacing w:val="-2"/>
                <w:sz w:val="24"/>
                <w:szCs w:val="24"/>
                <w:shd w:val="clear" w:color="auto" w:fill="FFFFFF"/>
                <w:lang w:val="en-US" w:bidi="ar"/>
              </w:rPr>
              <w:t>规模化、集约化养殖比例的提升将更</w:t>
            </w:r>
            <w:r>
              <w:rPr>
                <w:rFonts w:ascii="Times New Roman" w:hAnsi="Times New Roman" w:cs="Times New Roman" w:eastAsiaTheme="minorEastAsia"/>
                <w:color w:val="000000"/>
                <w:spacing w:val="-2"/>
                <w:sz w:val="24"/>
                <w:szCs w:val="24"/>
                <w:shd w:val="clear" w:color="auto" w:fill="FFFFFF"/>
                <w:lang w:val="en-US" w:eastAsia="zh" w:bidi="ar"/>
              </w:rPr>
              <w:t>加</w:t>
            </w:r>
            <w:r>
              <w:rPr>
                <w:rFonts w:ascii="Times New Roman" w:hAnsi="Times New Roman" w:cs="Times New Roman" w:eastAsiaTheme="minorEastAsia"/>
                <w:color w:val="000000"/>
                <w:spacing w:val="-2"/>
                <w:sz w:val="24"/>
                <w:szCs w:val="24"/>
                <w:shd w:val="clear" w:color="auto" w:fill="FFFFFF"/>
                <w:lang w:val="en-US" w:bidi="ar"/>
              </w:rPr>
              <w:t>促进养殖行业对兽用生物制品的</w:t>
            </w:r>
            <w:r>
              <w:rPr>
                <w:rFonts w:ascii="Times New Roman" w:hAnsi="Times New Roman" w:cs="Times New Roman" w:eastAsiaTheme="minorEastAsia"/>
                <w:color w:val="000000"/>
                <w:spacing w:val="-2"/>
                <w:sz w:val="24"/>
                <w:szCs w:val="24"/>
                <w:shd w:val="clear" w:color="auto" w:fill="FFFFFF"/>
                <w:lang w:val="en-US" w:eastAsia="zh" w:bidi="ar"/>
              </w:rPr>
              <w:t>需求升级</w:t>
            </w:r>
            <w:r>
              <w:rPr>
                <w:rFonts w:ascii="Times New Roman" w:hAnsi="Times New Roman" w:cs="Times New Roman" w:eastAsiaTheme="minorEastAsia"/>
                <w:color w:val="000000"/>
                <w:spacing w:val="-2"/>
                <w:sz w:val="24"/>
                <w:szCs w:val="24"/>
                <w:shd w:val="clear" w:color="auto" w:fill="FFFFFF"/>
                <w:lang w:val="en-US" w:bidi="ar"/>
              </w:rPr>
              <w:t>，有利于自主研发能力强、工艺技术先进、产品品质优异稳定、综合服务水平高、注重满足用户需求的创新型兽用生物制品企业的发展。</w:t>
            </w:r>
            <w:r>
              <w:rPr>
                <w:rFonts w:ascii="Times New Roman" w:hAnsi="Times New Roman" w:cs="Times New Roman" w:eastAsiaTheme="minorEastAsia"/>
                <w:color w:val="000000"/>
                <w:spacing w:val="-2"/>
                <w:sz w:val="24"/>
                <w:szCs w:val="24"/>
                <w:shd w:val="clear" w:color="auto" w:fill="FFFFFF"/>
                <w:lang w:val="en-US" w:eastAsia="zh" w:bidi="ar"/>
              </w:rPr>
              <w:t>公司依托自身先进的生物医药技术平台，重点开发临床需求迫切的多联多价疫苗以及其他新型生物技术的疫苗产品。</w:t>
            </w:r>
            <w:r>
              <w:rPr>
                <w:rFonts w:ascii="Times New Roman" w:hAnsi="Times New Roman" w:cs="Times New Roman" w:eastAsiaTheme="minorEastAsia"/>
                <w:color w:val="000000"/>
                <w:sz w:val="24"/>
                <w:szCs w:val="24"/>
                <w:lang w:val="en-US" w:bidi="ar"/>
              </w:rPr>
              <w:t>公司多元化技术路径</w:t>
            </w:r>
            <w:r>
              <w:rPr>
                <w:rFonts w:ascii="Times New Roman" w:hAnsi="Times New Roman" w:cs="Times New Roman" w:eastAsiaTheme="minorEastAsia"/>
                <w:color w:val="000000"/>
                <w:kern w:val="2"/>
                <w:sz w:val="24"/>
                <w:szCs w:val="24"/>
                <w:lang w:val="en-US" w:bidi="ar"/>
              </w:rPr>
              <w:t>的深度覆盖与产线资源的有机结合，为新型基因工程疫苗、细菌性疫苗以及多联多价疫苗的产业化落地提供了保障。</w:t>
            </w:r>
          </w:p>
          <w:p w14:paraId="217C4848">
            <w:pPr>
              <w:pStyle w:val="9"/>
              <w:widowControl/>
              <w:shd w:val="clear" w:color="auto" w:fill="FFFFFF"/>
              <w:overflowPunct w:val="0"/>
              <w:adjustRightInd w:val="0"/>
              <w:snapToGrid w:val="0"/>
              <w:spacing w:before="0" w:beforeAutospacing="0" w:after="0" w:afterAutospacing="0" w:line="360" w:lineRule="auto"/>
              <w:ind w:firstLine="480" w:firstLineChars="200"/>
              <w:jc w:val="both"/>
              <w:textAlignment w:val="baseline"/>
              <w:rPr>
                <w:rFonts w:ascii="Times New Roman" w:hAnsi="Times New Roman" w:eastAsiaTheme="minorEastAsia"/>
                <w:color w:val="000000"/>
                <w:spacing w:val="-2"/>
                <w:szCs w:val="24"/>
                <w:shd w:val="clear" w:color="auto" w:fill="FFFFFF"/>
              </w:rPr>
            </w:pPr>
            <w:r>
              <w:rPr>
                <w:rFonts w:ascii="Times New Roman" w:hAnsi="Times New Roman" w:eastAsiaTheme="minorEastAsia"/>
                <w:color w:val="000000"/>
                <w:kern w:val="2"/>
                <w:szCs w:val="24"/>
                <w:lang w:eastAsia="zh" w:bidi="ar"/>
              </w:rPr>
              <w:t>近年来中国创新药行业呈现爆发式增长，市场规模与全球竞争力显著提升。公司依托多元化的生物医药技术平台及人才储备，不断拓展业务边界，积极布局人用创新药领域，着力培育企业增长新动能。公司投资的</w:t>
            </w:r>
            <w:r>
              <w:rPr>
                <w:rFonts w:ascii="Times New Roman" w:hAnsi="Times New Roman" w:eastAsiaTheme="minorEastAsia"/>
                <w:color w:val="000000"/>
                <w:kern w:val="2"/>
                <w:szCs w:val="24"/>
                <w:lang w:bidi="ar"/>
              </w:rPr>
              <w:t>世之源已有三款创新药包括艾滋病治疗单克隆抗体药物（UB-421）、抗过敏Anti-IgE单克隆抗体药物（UB-221）及抗单纯疱疹病毒单克隆抗体药物（UB-621）等，三款产品均具备差异化竞争优势，临床需求明确，市场潜力显著。</w:t>
            </w:r>
            <w:r>
              <w:rPr>
                <w:rFonts w:ascii="Times New Roman" w:hAnsi="Times New Roman" w:eastAsiaTheme="minorEastAsia"/>
                <w:color w:val="000000"/>
                <w:spacing w:val="-2"/>
                <w:szCs w:val="24"/>
                <w:shd w:val="clear" w:color="auto" w:fill="FFFFFF"/>
                <w:lang w:bidi="ar"/>
              </w:rPr>
              <w:t>感谢您的关注！</w:t>
            </w:r>
          </w:p>
          <w:p w14:paraId="2A5370F8">
            <w:pPr>
              <w:overflowPunct w:val="0"/>
              <w:adjustRightInd w:val="0"/>
              <w:snapToGrid w:val="0"/>
              <w:spacing w:line="360" w:lineRule="auto"/>
              <w:ind w:firstLine="482" w:firstLineChars="200"/>
              <w:jc w:val="both"/>
              <w:rPr>
                <w:rFonts w:ascii="Times New Roman" w:hAnsi="Times New Roman" w:cs="Times New Roman" w:eastAsiaTheme="minorEastAsia"/>
                <w:b/>
                <w:bCs/>
                <w:color w:val="000000"/>
                <w:kern w:val="2"/>
                <w:sz w:val="24"/>
                <w:szCs w:val="24"/>
                <w:lang w:eastAsia="zh"/>
              </w:rPr>
            </w:pPr>
            <w:r>
              <w:rPr>
                <w:rFonts w:ascii="Times New Roman" w:hAnsi="Times New Roman" w:cs="Times New Roman" w:eastAsiaTheme="minorEastAsia"/>
                <w:b/>
                <w:bCs/>
                <w:color w:val="000000"/>
                <w:kern w:val="2"/>
                <w:sz w:val="24"/>
                <w:szCs w:val="24"/>
                <w:lang w:eastAsia="zh"/>
              </w:rPr>
              <w:t>3、是否有新品研发？</w:t>
            </w:r>
          </w:p>
          <w:p w14:paraId="4E62C93C">
            <w:pPr>
              <w:widowControl/>
              <w:overflowPunct w:val="0"/>
              <w:adjustRightInd w:val="0"/>
              <w:snapToGrid w:val="0"/>
              <w:spacing w:line="360" w:lineRule="auto"/>
              <w:ind w:firstLine="480" w:firstLineChars="200"/>
              <w:jc w:val="both"/>
              <w:textAlignment w:val="baseline"/>
              <w:rPr>
                <w:rFonts w:ascii="Times New Roman" w:hAnsi="Times New Roman" w:cs="Times New Roman" w:eastAsiaTheme="minorEastAsia"/>
                <w:color w:val="000000"/>
                <w:kern w:val="2"/>
                <w:sz w:val="24"/>
                <w:szCs w:val="24"/>
              </w:rPr>
            </w:pPr>
            <w:r>
              <w:rPr>
                <w:rFonts w:ascii="Times New Roman" w:hAnsi="Times New Roman" w:cs="Times New Roman" w:eastAsiaTheme="minorEastAsia"/>
                <w:color w:val="000000"/>
                <w:sz w:val="24"/>
                <w:szCs w:val="24"/>
                <w:lang w:eastAsia="zh"/>
              </w:rPr>
              <w:t>答：</w:t>
            </w:r>
            <w:r>
              <w:rPr>
                <w:rFonts w:ascii="Times New Roman" w:hAnsi="Times New Roman" w:cs="Times New Roman" w:eastAsiaTheme="minorEastAsia"/>
                <w:color w:val="000000"/>
                <w:kern w:val="2"/>
                <w:sz w:val="24"/>
                <w:szCs w:val="24"/>
                <w:lang w:val="en-US" w:eastAsia="zh" w:bidi="ar"/>
              </w:rPr>
              <w:t>尊敬的投资者您好！</w:t>
            </w:r>
            <w:r>
              <w:rPr>
                <w:rFonts w:ascii="Times New Roman" w:hAnsi="Times New Roman" w:cs="Times New Roman" w:eastAsiaTheme="minorEastAsia"/>
                <w:color w:val="000000"/>
                <w:kern w:val="2"/>
                <w:sz w:val="24"/>
                <w:szCs w:val="24"/>
                <w:lang w:val="en-US" w:bidi="ar"/>
              </w:rPr>
              <w:t>公司</w:t>
            </w:r>
            <w:r>
              <w:rPr>
                <w:rFonts w:ascii="Times New Roman" w:hAnsi="Times New Roman" w:cs="Times New Roman" w:eastAsiaTheme="minorEastAsia"/>
                <w:color w:val="000000"/>
                <w:kern w:val="2"/>
                <w:sz w:val="24"/>
                <w:szCs w:val="24"/>
                <w:lang w:val="en-US" w:eastAsia="zh" w:bidi="ar"/>
              </w:rPr>
              <w:t>拥有丰富的在研管线，</w:t>
            </w:r>
            <w:r>
              <w:rPr>
                <w:rFonts w:ascii="Times New Roman" w:hAnsi="Times New Roman" w:cs="Times New Roman" w:eastAsiaTheme="minorEastAsia"/>
                <w:color w:val="000000"/>
                <w:kern w:val="2"/>
                <w:sz w:val="24"/>
                <w:szCs w:val="24"/>
                <w:lang w:val="en-US" w:bidi="ar"/>
              </w:rPr>
              <w:t>涵盖猪用疫苗、牛羊用疫苗、宠物用生物制品</w:t>
            </w:r>
            <w:r>
              <w:rPr>
                <w:rFonts w:ascii="Times New Roman" w:hAnsi="Times New Roman" w:cs="Times New Roman" w:eastAsiaTheme="minorEastAsia"/>
                <w:color w:val="000000"/>
                <w:kern w:val="2"/>
                <w:sz w:val="24"/>
                <w:szCs w:val="24"/>
                <w:lang w:val="en-US" w:eastAsia="zh" w:bidi="ar"/>
              </w:rPr>
              <w:t>及人用创新药等。</w:t>
            </w:r>
            <w:r>
              <w:rPr>
                <w:rFonts w:ascii="Times New Roman" w:hAnsi="Times New Roman" w:cs="Times New Roman" w:eastAsiaTheme="minorEastAsia"/>
                <w:color w:val="000000"/>
                <w:kern w:val="2"/>
                <w:sz w:val="24"/>
                <w:szCs w:val="24"/>
                <w:lang w:val="en-US" w:bidi="ar"/>
              </w:rPr>
              <w:t>未来3-5年将有</w:t>
            </w:r>
            <w:r>
              <w:rPr>
                <w:rFonts w:hint="eastAsia" w:ascii="Times New Roman" w:hAnsi="Times New Roman" w:cs="Times New Roman" w:eastAsiaTheme="minorEastAsia"/>
                <w:color w:val="000000"/>
                <w:kern w:val="2"/>
                <w:sz w:val="24"/>
                <w:szCs w:val="24"/>
                <w:lang w:val="en-US" w:eastAsia="zh-CN" w:bidi="ar"/>
              </w:rPr>
              <w:t>多款</w:t>
            </w:r>
            <w:r>
              <w:rPr>
                <w:rFonts w:ascii="Times New Roman" w:hAnsi="Times New Roman" w:cs="Times New Roman" w:eastAsiaTheme="minorEastAsia"/>
                <w:color w:val="000000"/>
                <w:kern w:val="2"/>
                <w:sz w:val="24"/>
                <w:szCs w:val="24"/>
                <w:lang w:val="en-US" w:bidi="ar"/>
              </w:rPr>
              <w:t>具备市场竞争力的产品陆续上市，重点包括：</w:t>
            </w:r>
            <w:r>
              <w:rPr>
                <w:rFonts w:hint="default" w:ascii="Times New Roman" w:hAnsi="Times New Roman" w:cs="Times New Roman" w:eastAsiaTheme="minorEastAsia"/>
                <w:color w:val="000000"/>
                <w:kern w:val="2"/>
                <w:sz w:val="24"/>
                <w:szCs w:val="24"/>
                <w:lang w:val="en-US" w:bidi="ar"/>
              </w:rPr>
              <w:t>①多联多价疫苗</w:t>
            </w:r>
            <w:r>
              <w:rPr>
                <w:rFonts w:hint="default" w:ascii="Times New Roman" w:hAnsi="Times New Roman" w:cs="Times New Roman" w:eastAsiaTheme="minorEastAsia"/>
                <w:color w:val="000000"/>
                <w:kern w:val="2"/>
                <w:sz w:val="24"/>
                <w:szCs w:val="24"/>
                <w:lang w:val="en-US" w:eastAsia="zh" w:bidi="ar"/>
              </w:rPr>
              <w:t>方面，</w:t>
            </w:r>
            <w:r>
              <w:rPr>
                <w:rFonts w:hint="default" w:ascii="Times New Roman" w:hAnsi="Times New Roman" w:cs="Times New Roman" w:eastAsiaTheme="minorEastAsia"/>
                <w:color w:val="000000"/>
                <w:kern w:val="2"/>
                <w:sz w:val="24"/>
                <w:szCs w:val="24"/>
                <w:lang w:val="en-US" w:bidi="ar"/>
              </w:rPr>
              <w:t>猪口蹄疫O型/A型、猪瘟、伪狂犬病三联疫苗及牛口蹄疫O型/A型、病毒性腹泻/黏膜病、传染性鼻气管炎三联疫苗，此产品预计可获得较高的</w:t>
            </w:r>
            <w:r>
              <w:rPr>
                <w:rFonts w:hint="default" w:ascii="Times New Roman" w:hAnsi="Times New Roman" w:cs="Times New Roman" w:eastAsiaTheme="minorEastAsia"/>
                <w:color w:val="000000"/>
                <w:kern w:val="2"/>
                <w:sz w:val="24"/>
                <w:szCs w:val="24"/>
                <w:lang w:val="en-US" w:eastAsia="zh" w:bidi="ar"/>
              </w:rPr>
              <w:t>售价</w:t>
            </w:r>
            <w:r>
              <w:rPr>
                <w:rFonts w:hint="default" w:ascii="Times New Roman" w:hAnsi="Times New Roman" w:cs="Times New Roman" w:eastAsiaTheme="minorEastAsia"/>
                <w:color w:val="000000"/>
                <w:kern w:val="2"/>
                <w:sz w:val="24"/>
                <w:szCs w:val="24"/>
                <w:lang w:val="en-US" w:bidi="ar"/>
              </w:rPr>
              <w:t>，且契合当前大型养殖集团对高效疫苗的需求，未来将重点推进</w:t>
            </w:r>
            <w:r>
              <w:rPr>
                <w:rFonts w:hint="default" w:ascii="Times New Roman" w:hAnsi="Times New Roman" w:cs="Times New Roman" w:eastAsiaTheme="minorEastAsia"/>
                <w:color w:val="000000"/>
                <w:kern w:val="2"/>
                <w:sz w:val="24"/>
                <w:szCs w:val="24"/>
                <w:lang w:val="en-US" w:eastAsia="zh" w:bidi="ar"/>
              </w:rPr>
              <w:t>该两款多联</w:t>
            </w:r>
            <w:r>
              <w:rPr>
                <w:rFonts w:hint="eastAsia" w:ascii="Times New Roman" w:hAnsi="Times New Roman" w:cs="Times New Roman" w:eastAsiaTheme="minorEastAsia"/>
                <w:color w:val="000000"/>
                <w:kern w:val="2"/>
                <w:sz w:val="24"/>
                <w:szCs w:val="24"/>
                <w:lang w:val="en-US" w:eastAsia="zh-CN" w:bidi="ar"/>
              </w:rPr>
              <w:t>多价</w:t>
            </w:r>
            <w:r>
              <w:rPr>
                <w:rFonts w:hint="default" w:ascii="Times New Roman" w:hAnsi="Times New Roman" w:cs="Times New Roman" w:eastAsiaTheme="minorEastAsia"/>
                <w:color w:val="000000"/>
                <w:kern w:val="2"/>
                <w:sz w:val="24"/>
                <w:szCs w:val="24"/>
                <w:lang w:val="en-US" w:eastAsia="zh" w:bidi="ar"/>
              </w:rPr>
              <w:t>疫苗的</w:t>
            </w:r>
            <w:r>
              <w:rPr>
                <w:rFonts w:hint="default" w:ascii="Times New Roman" w:hAnsi="Times New Roman" w:cs="Times New Roman" w:eastAsiaTheme="minorEastAsia"/>
                <w:color w:val="000000"/>
                <w:kern w:val="2"/>
                <w:sz w:val="24"/>
                <w:szCs w:val="24"/>
                <w:lang w:val="en-US" w:bidi="ar"/>
              </w:rPr>
              <w:t>研发与</w:t>
            </w:r>
            <w:r>
              <w:rPr>
                <w:rFonts w:hint="default" w:ascii="Times New Roman" w:hAnsi="Times New Roman" w:cs="Times New Roman" w:eastAsiaTheme="minorEastAsia"/>
                <w:color w:val="000000"/>
                <w:kern w:val="2"/>
                <w:sz w:val="24"/>
                <w:szCs w:val="24"/>
                <w:lang w:val="en-US" w:eastAsia="zh" w:bidi="ar"/>
              </w:rPr>
              <w:t>推广。</w:t>
            </w:r>
            <w:r>
              <w:rPr>
                <w:rFonts w:hint="default" w:ascii="Times New Roman" w:hAnsi="Times New Roman" w:cs="Times New Roman" w:eastAsiaTheme="minorEastAsia"/>
                <w:color w:val="000000"/>
                <w:kern w:val="2"/>
                <w:sz w:val="24"/>
                <w:szCs w:val="24"/>
                <w:lang w:val="en-US" w:bidi="ar"/>
              </w:rPr>
              <w:t>②特色功能</w:t>
            </w:r>
            <w:r>
              <w:rPr>
                <w:rFonts w:hint="default" w:ascii="Times New Roman" w:hAnsi="Times New Roman" w:cs="Times New Roman" w:eastAsiaTheme="minorEastAsia"/>
                <w:color w:val="000000"/>
                <w:kern w:val="2"/>
                <w:sz w:val="24"/>
                <w:szCs w:val="24"/>
                <w:lang w:val="en-US" w:eastAsia="zh" w:bidi="ar"/>
              </w:rPr>
              <w:t>性</w:t>
            </w:r>
            <w:r>
              <w:rPr>
                <w:rFonts w:hint="default" w:ascii="Times New Roman" w:hAnsi="Times New Roman" w:cs="Times New Roman" w:eastAsiaTheme="minorEastAsia"/>
                <w:color w:val="000000"/>
                <w:kern w:val="2"/>
                <w:sz w:val="24"/>
                <w:szCs w:val="24"/>
                <w:lang w:val="en-US" w:bidi="ar"/>
              </w:rPr>
              <w:t>疫苗</w:t>
            </w:r>
            <w:r>
              <w:rPr>
                <w:rFonts w:hint="default" w:ascii="Times New Roman" w:hAnsi="Times New Roman" w:cs="Times New Roman" w:eastAsiaTheme="minorEastAsia"/>
                <w:color w:val="000000"/>
                <w:kern w:val="2"/>
                <w:sz w:val="24"/>
                <w:szCs w:val="24"/>
                <w:lang w:val="en-US" w:eastAsia="zh" w:bidi="ar"/>
              </w:rPr>
              <w:t>方面，</w:t>
            </w:r>
            <w:r>
              <w:rPr>
                <w:rFonts w:hint="default" w:ascii="Times New Roman" w:hAnsi="Times New Roman" w:cs="Times New Roman" w:eastAsiaTheme="minorEastAsia"/>
                <w:color w:val="000000"/>
                <w:kern w:val="2"/>
                <w:sz w:val="24"/>
                <w:szCs w:val="24"/>
                <w:lang w:val="en-US" w:bidi="ar"/>
              </w:rPr>
              <w:t>公司</w:t>
            </w:r>
            <w:r>
              <w:rPr>
                <w:rFonts w:hint="default" w:ascii="Times New Roman" w:hAnsi="Times New Roman" w:cs="Times New Roman" w:eastAsiaTheme="minorEastAsia"/>
                <w:color w:val="000000"/>
                <w:kern w:val="2"/>
                <w:sz w:val="24"/>
                <w:szCs w:val="24"/>
                <w:lang w:val="en-US" w:eastAsia="zh" w:bidi="ar"/>
              </w:rPr>
              <w:t>正在积极研发</w:t>
            </w:r>
            <w:r>
              <w:rPr>
                <w:rFonts w:hint="default" w:ascii="Times New Roman" w:hAnsi="Times New Roman" w:cs="Times New Roman" w:eastAsiaTheme="minorEastAsia"/>
                <w:color w:val="000000"/>
                <w:kern w:val="2"/>
                <w:sz w:val="24"/>
                <w:szCs w:val="24"/>
                <w:lang w:val="en-US" w:bidi="ar"/>
              </w:rPr>
              <w:t>猪去势疫苗</w:t>
            </w:r>
            <w:r>
              <w:rPr>
                <w:rFonts w:hint="default" w:ascii="Times New Roman" w:hAnsi="Times New Roman" w:cs="Times New Roman" w:eastAsiaTheme="minorEastAsia"/>
                <w:color w:val="000000"/>
                <w:kern w:val="2"/>
                <w:sz w:val="24"/>
                <w:szCs w:val="24"/>
                <w:lang w:val="en-US" w:eastAsia="zh" w:bidi="ar"/>
              </w:rPr>
              <w:t>，</w:t>
            </w:r>
            <w:r>
              <w:rPr>
                <w:rFonts w:hint="default" w:ascii="Times New Roman" w:hAnsi="Times New Roman" w:cs="Times New Roman" w:eastAsiaTheme="minorEastAsia"/>
                <w:color w:val="000000"/>
                <w:kern w:val="2"/>
                <w:sz w:val="24"/>
                <w:szCs w:val="24"/>
                <w:lang w:val="en-US" w:bidi="ar"/>
              </w:rPr>
              <w:t>该产品可去除公猪骚味并促进增重，对规模猪场吸引力显著，市场潜力较大；③其他</w:t>
            </w:r>
            <w:r>
              <w:rPr>
                <w:rFonts w:hint="default" w:ascii="Times New Roman" w:hAnsi="Times New Roman" w:cs="Times New Roman" w:eastAsiaTheme="minorEastAsia"/>
                <w:color w:val="000000"/>
                <w:kern w:val="2"/>
                <w:sz w:val="24"/>
                <w:szCs w:val="24"/>
                <w:lang w:val="en-US" w:eastAsia="zh" w:bidi="ar"/>
              </w:rPr>
              <w:t>正在开发的</w:t>
            </w:r>
            <w:r>
              <w:rPr>
                <w:rFonts w:hint="default" w:ascii="Times New Roman" w:hAnsi="Times New Roman" w:cs="Times New Roman" w:eastAsiaTheme="minorEastAsia"/>
                <w:color w:val="000000"/>
                <w:kern w:val="2"/>
                <w:sz w:val="24"/>
                <w:szCs w:val="24"/>
                <w:lang w:val="en-US" w:bidi="ar"/>
              </w:rPr>
              <w:t>潜力产品：羊棘球蚴（包虫）病亚单位疫苗</w:t>
            </w:r>
            <w:r>
              <w:rPr>
                <w:rFonts w:hint="default" w:ascii="Times New Roman" w:hAnsi="Times New Roman" w:cs="Times New Roman" w:eastAsiaTheme="minorEastAsia"/>
                <w:color w:val="000000"/>
                <w:kern w:val="2"/>
                <w:sz w:val="24"/>
                <w:szCs w:val="24"/>
                <w:lang w:val="en-US" w:eastAsia="zh" w:bidi="ar"/>
              </w:rPr>
              <w:t>、</w:t>
            </w:r>
            <w:r>
              <w:rPr>
                <w:rFonts w:hint="default" w:ascii="Times New Roman" w:hAnsi="Times New Roman" w:cs="Times New Roman" w:eastAsiaTheme="minorEastAsia"/>
                <w:color w:val="000000"/>
                <w:kern w:val="2"/>
                <w:sz w:val="24"/>
                <w:szCs w:val="24"/>
                <w:lang w:val="en-US" w:bidi="ar"/>
              </w:rPr>
              <w:t>猪繁殖与呼吸综合症mRNA疫苗、</w:t>
            </w:r>
            <w:r>
              <w:rPr>
                <w:rFonts w:hint="default" w:ascii="Times New Roman" w:hAnsi="Times New Roman" w:cs="Times New Roman" w:eastAsiaTheme="minorEastAsia"/>
                <w:color w:val="000000"/>
                <w:kern w:val="2"/>
                <w:sz w:val="24"/>
                <w:szCs w:val="24"/>
                <w:lang w:val="en-US" w:eastAsia="zh" w:bidi="ar"/>
              </w:rPr>
              <w:t>猪腹泻</w:t>
            </w:r>
            <w:r>
              <w:rPr>
                <w:rFonts w:hint="default" w:ascii="Times New Roman" w:hAnsi="Times New Roman" w:cs="Times New Roman" w:eastAsiaTheme="minorEastAsia"/>
                <w:color w:val="000000"/>
                <w:kern w:val="2"/>
                <w:sz w:val="24"/>
                <w:szCs w:val="24"/>
                <w:lang w:val="en-US" w:bidi="ar"/>
              </w:rPr>
              <w:t>mRNA疫苗</w:t>
            </w:r>
            <w:r>
              <w:rPr>
                <w:rFonts w:hint="default" w:ascii="Times New Roman" w:hAnsi="Times New Roman" w:cs="Times New Roman" w:eastAsiaTheme="minorEastAsia"/>
                <w:color w:val="000000"/>
                <w:kern w:val="2"/>
                <w:sz w:val="24"/>
                <w:szCs w:val="24"/>
                <w:lang w:val="en-US" w:eastAsia="zh" w:bidi="ar"/>
              </w:rPr>
              <w:t>等</w:t>
            </w:r>
            <w:r>
              <w:rPr>
                <w:rFonts w:hint="default" w:ascii="Times New Roman" w:hAnsi="Times New Roman" w:cs="Times New Roman" w:eastAsiaTheme="minorEastAsia"/>
                <w:color w:val="000000"/>
                <w:kern w:val="2"/>
                <w:sz w:val="24"/>
                <w:szCs w:val="24"/>
                <w:lang w:val="en-US" w:bidi="ar"/>
              </w:rPr>
              <w:t>产品市场潜力较大；④宠物疫苗</w:t>
            </w:r>
            <w:r>
              <w:rPr>
                <w:rFonts w:hint="default" w:ascii="Times New Roman" w:hAnsi="Times New Roman" w:cs="Times New Roman" w:eastAsiaTheme="minorEastAsia"/>
                <w:color w:val="000000"/>
                <w:kern w:val="2"/>
                <w:sz w:val="24"/>
                <w:szCs w:val="24"/>
                <w:lang w:val="en-US" w:eastAsia="zh" w:bidi="ar"/>
              </w:rPr>
              <w:t>方面，宠物mRNA新型疫苗</w:t>
            </w:r>
            <w:r>
              <w:rPr>
                <w:rFonts w:hint="default" w:ascii="Times New Roman" w:hAnsi="Times New Roman" w:cs="Times New Roman" w:eastAsiaTheme="minorEastAsia"/>
                <w:color w:val="000000"/>
                <w:kern w:val="2"/>
                <w:sz w:val="24"/>
                <w:szCs w:val="24"/>
                <w:lang w:val="en-US" w:bidi="ar"/>
              </w:rPr>
              <w:t>（RKC0042024）</w:t>
            </w:r>
            <w:r>
              <w:rPr>
                <w:rFonts w:hint="default" w:ascii="Times New Roman" w:hAnsi="Times New Roman" w:cs="Times New Roman" w:eastAsiaTheme="minorEastAsia"/>
                <w:color w:val="000000"/>
                <w:kern w:val="2"/>
                <w:sz w:val="24"/>
                <w:szCs w:val="24"/>
                <w:lang w:val="en-US" w:eastAsia="zh" w:bidi="ar"/>
              </w:rPr>
              <w:t>试验效果优异；</w:t>
            </w:r>
            <w:r>
              <w:rPr>
                <w:rFonts w:hint="default" w:ascii="Times New Roman" w:hAnsi="Times New Roman" w:cs="Times New Roman" w:eastAsiaTheme="minorEastAsia"/>
                <w:color w:val="000000"/>
                <w:kern w:val="2"/>
                <w:sz w:val="24"/>
                <w:szCs w:val="24"/>
                <w:lang w:val="en-US" w:bidi="ar"/>
              </w:rPr>
              <w:t>长效重组犬α干扰素</w:t>
            </w:r>
            <w:r>
              <w:rPr>
                <w:rFonts w:hint="default" w:ascii="Times New Roman" w:hAnsi="Times New Roman" w:cs="Times New Roman" w:eastAsiaTheme="minorEastAsia"/>
                <w:color w:val="000000"/>
                <w:kern w:val="2"/>
                <w:sz w:val="24"/>
                <w:szCs w:val="24"/>
                <w:lang w:val="en-US" w:eastAsia="zh" w:bidi="ar"/>
              </w:rPr>
              <w:t>已完成临</w:t>
            </w:r>
            <w:r>
              <w:rPr>
                <w:rFonts w:hint="default" w:ascii="Times New Roman" w:hAnsi="Times New Roman" w:cs="Times New Roman" w:eastAsiaTheme="minorEastAsia"/>
                <w:color w:val="000000"/>
                <w:sz w:val="24"/>
                <w:szCs w:val="24"/>
                <w:lang w:eastAsia="zh"/>
              </w:rPr>
              <w:t>床试验，即将申请新兽药注册；⑤</w:t>
            </w:r>
            <w:r>
              <w:rPr>
                <w:rFonts w:ascii="Times New Roman" w:hAnsi="Times New Roman" w:cs="Times New Roman" w:eastAsiaTheme="minorEastAsia"/>
                <w:color w:val="000000"/>
                <w:sz w:val="24"/>
                <w:szCs w:val="24"/>
                <w:lang w:eastAsia="zh"/>
              </w:rPr>
              <w:t>人用创新药方面，联营公司扬州世之源在研管线</w:t>
            </w:r>
            <w:r>
              <w:rPr>
                <w:rFonts w:ascii="Times New Roman" w:hAnsi="Times New Roman" w:cs="Times New Roman" w:eastAsiaTheme="minorEastAsia"/>
                <w:color w:val="000000"/>
                <w:kern w:val="2"/>
                <w:sz w:val="24"/>
                <w:szCs w:val="24"/>
                <w:lang w:val="en-US" w:bidi="ar"/>
              </w:rPr>
              <w:t>艾滋病治疗单克隆抗体药物（UB-421）、抗过敏Anti-IgE单克隆抗体药物（UB-221）及抗单纯疱疹病毒单克隆抗体药物（UB-621）</w:t>
            </w:r>
            <w:r>
              <w:rPr>
                <w:rFonts w:ascii="Times New Roman" w:hAnsi="Times New Roman" w:cs="Times New Roman" w:eastAsiaTheme="minorEastAsia"/>
                <w:color w:val="000000"/>
                <w:kern w:val="2"/>
                <w:sz w:val="24"/>
                <w:szCs w:val="24"/>
                <w:lang w:val="en-US" w:eastAsia="zh" w:bidi="ar"/>
              </w:rPr>
              <w:t>处于不同研发阶段，具备差异化竞争优势，市场潜力显著。</w:t>
            </w:r>
            <w:r>
              <w:rPr>
                <w:rFonts w:ascii="Times New Roman" w:hAnsi="Times New Roman" w:cs="Times New Roman" w:eastAsiaTheme="minorEastAsia"/>
                <w:color w:val="000000"/>
                <w:sz w:val="24"/>
                <w:szCs w:val="24"/>
                <w:lang w:eastAsia="zh"/>
              </w:rPr>
              <w:t>感谢您的关注！</w:t>
            </w:r>
          </w:p>
          <w:p w14:paraId="15B09486">
            <w:pPr>
              <w:overflowPunct w:val="0"/>
              <w:autoSpaceDE/>
              <w:autoSpaceDN/>
              <w:adjustRightInd w:val="0"/>
              <w:snapToGrid w:val="0"/>
              <w:spacing w:line="360" w:lineRule="auto"/>
              <w:ind w:firstLine="482" w:firstLineChars="200"/>
              <w:jc w:val="both"/>
              <w:rPr>
                <w:rFonts w:ascii="Times New Roman" w:hAnsi="Times New Roman" w:cs="Times New Roman" w:eastAsiaTheme="minorEastAsia"/>
                <w:b/>
                <w:bCs/>
                <w:color w:val="000000"/>
                <w:sz w:val="24"/>
                <w:szCs w:val="24"/>
                <w:lang w:val="en-US" w:eastAsia="zh"/>
              </w:rPr>
            </w:pPr>
            <w:r>
              <w:rPr>
                <w:rFonts w:ascii="Times New Roman" w:hAnsi="Times New Roman" w:cs="Times New Roman" w:eastAsiaTheme="minorEastAsia"/>
                <w:b/>
                <w:bCs/>
                <w:color w:val="000000"/>
                <w:sz w:val="24"/>
                <w:szCs w:val="24"/>
                <w:lang w:val="en-US" w:eastAsia="zh"/>
              </w:rPr>
              <w:t>4、</w:t>
            </w:r>
            <w:r>
              <w:rPr>
                <w:rFonts w:ascii="Times New Roman" w:hAnsi="Times New Roman" w:cs="Times New Roman" w:eastAsiaTheme="minorEastAsia"/>
                <w:b/>
                <w:bCs/>
                <w:color w:val="000000"/>
                <w:sz w:val="24"/>
                <w:szCs w:val="24"/>
                <w:lang w:val="en-US"/>
              </w:rPr>
              <w:t>公司</w:t>
            </w:r>
            <w:r>
              <w:rPr>
                <w:rFonts w:ascii="Times New Roman" w:hAnsi="Times New Roman" w:cs="Times New Roman" w:eastAsiaTheme="minorEastAsia"/>
                <w:b/>
                <w:bCs/>
                <w:color w:val="000000"/>
                <w:sz w:val="24"/>
                <w:szCs w:val="24"/>
                <w:lang w:val="en-US" w:eastAsia="zh"/>
              </w:rPr>
              <w:t>的</w:t>
            </w:r>
            <w:r>
              <w:rPr>
                <w:rFonts w:ascii="Times New Roman" w:hAnsi="Times New Roman" w:cs="Times New Roman" w:eastAsiaTheme="minorEastAsia"/>
                <w:b/>
                <w:bCs/>
                <w:color w:val="000000"/>
                <w:sz w:val="24"/>
                <w:szCs w:val="24"/>
                <w:lang w:val="en-US"/>
              </w:rPr>
              <w:t>UB</w:t>
            </w:r>
            <w:r>
              <w:rPr>
                <w:rFonts w:ascii="Times New Roman" w:hAnsi="Times New Roman" w:cs="Times New Roman" w:eastAsiaTheme="minorEastAsia"/>
                <w:b/>
                <w:bCs/>
                <w:color w:val="000000"/>
                <w:sz w:val="24"/>
                <w:szCs w:val="24"/>
                <w:lang w:val="en-US" w:eastAsia="zh"/>
              </w:rPr>
              <w:t>-</w:t>
            </w:r>
            <w:r>
              <w:rPr>
                <w:rFonts w:ascii="Times New Roman" w:hAnsi="Times New Roman" w:cs="Times New Roman" w:eastAsiaTheme="minorEastAsia"/>
                <w:b/>
                <w:bCs/>
                <w:color w:val="000000"/>
                <w:sz w:val="24"/>
                <w:szCs w:val="24"/>
                <w:lang w:val="en-US"/>
              </w:rPr>
              <w:t>221</w:t>
            </w:r>
            <w:r>
              <w:rPr>
                <w:rFonts w:ascii="Times New Roman" w:hAnsi="Times New Roman" w:cs="Times New Roman" w:eastAsiaTheme="minorEastAsia"/>
                <w:b/>
                <w:bCs/>
                <w:color w:val="000000"/>
                <w:sz w:val="24"/>
                <w:szCs w:val="24"/>
                <w:lang w:val="en-US" w:eastAsia="zh"/>
              </w:rPr>
              <w:t>项目进展如何，</w:t>
            </w:r>
            <w:r>
              <w:rPr>
                <w:rFonts w:ascii="Times New Roman" w:hAnsi="Times New Roman" w:cs="Times New Roman" w:eastAsiaTheme="minorEastAsia"/>
                <w:b/>
                <w:bCs/>
                <w:color w:val="000000"/>
                <w:sz w:val="24"/>
                <w:szCs w:val="24"/>
                <w:lang w:val="en-US"/>
              </w:rPr>
              <w:t>在临床价值方面有何差异化优势？</w:t>
            </w:r>
            <w:r>
              <w:rPr>
                <w:rFonts w:ascii="Times New Roman" w:hAnsi="Times New Roman" w:cs="Times New Roman" w:eastAsiaTheme="minorEastAsia"/>
                <w:b/>
                <w:bCs/>
                <w:color w:val="000000"/>
                <w:sz w:val="24"/>
                <w:szCs w:val="24"/>
                <w:lang w:val="en-US" w:eastAsia="zh"/>
              </w:rPr>
              <w:t>预计什么时候有数据读出？</w:t>
            </w:r>
          </w:p>
          <w:p w14:paraId="1CBB9413">
            <w:pPr>
              <w:widowControl/>
              <w:overflowPunct w:val="0"/>
              <w:adjustRightInd w:val="0"/>
              <w:snapToGrid w:val="0"/>
              <w:spacing w:line="360" w:lineRule="auto"/>
              <w:ind w:firstLine="480" w:firstLineChars="200"/>
              <w:jc w:val="both"/>
              <w:textAlignment w:val="baseline"/>
              <w:rPr>
                <w:rFonts w:ascii="Times New Roman" w:hAnsi="Times New Roman" w:cs="Times New Roman" w:eastAsiaTheme="minorEastAsia"/>
                <w:color w:val="000000"/>
                <w:kern w:val="2"/>
                <w:sz w:val="24"/>
                <w:szCs w:val="24"/>
                <w:lang w:val="en-US" w:eastAsia="zh" w:bidi="ar"/>
              </w:rPr>
            </w:pPr>
            <w:r>
              <w:rPr>
                <w:rFonts w:ascii="Times New Roman" w:hAnsi="Times New Roman" w:cs="Times New Roman" w:eastAsiaTheme="minorEastAsia"/>
                <w:color w:val="000000"/>
                <w:kern w:val="2"/>
                <w:sz w:val="24"/>
                <w:szCs w:val="24"/>
                <w:lang w:val="en-US" w:eastAsia="zh" w:bidi="ar"/>
              </w:rPr>
              <w:t>答：尊敬的投资者您好！世之源正在国内全面开展UB-221的</w:t>
            </w:r>
            <w:r>
              <w:rPr>
                <w:rFonts w:hint="eastAsia" w:ascii="Times New Roman" w:hAnsi="Times New Roman" w:cs="Times New Roman" w:eastAsiaTheme="minorEastAsia"/>
                <w:color w:val="000000"/>
                <w:kern w:val="2"/>
                <w:sz w:val="24"/>
                <w:szCs w:val="24"/>
                <w:lang w:val="en-US" w:eastAsia="zh-CN" w:bidi="ar"/>
              </w:rPr>
              <w:t>Ⅱ期</w:t>
            </w:r>
            <w:r>
              <w:rPr>
                <w:rFonts w:ascii="Times New Roman" w:hAnsi="Times New Roman" w:cs="Times New Roman" w:eastAsiaTheme="minorEastAsia"/>
                <w:color w:val="000000"/>
                <w:kern w:val="2"/>
                <w:sz w:val="24"/>
                <w:szCs w:val="24"/>
                <w:lang w:val="en-US" w:eastAsia="zh" w:bidi="ar"/>
              </w:rPr>
              <w:t>临床试验，用于治疗慢性自发性荨麻疹（CSU），目前已收案完毕。共招募145例患者，患者被随机分配到五个治疗组之一，分别接受4mg/kgUB-221、2mg/kgUB-221、1mg/kgUB-221、300mgXolair®或安慰剂治疗</w:t>
            </w:r>
            <w:r>
              <w:rPr>
                <w:rFonts w:hint="eastAsia" w:ascii="Times New Roman" w:hAnsi="Times New Roman" w:cs="Times New Roman" w:eastAsiaTheme="minorEastAsia"/>
                <w:color w:val="000000"/>
                <w:kern w:val="2"/>
                <w:sz w:val="24"/>
                <w:szCs w:val="24"/>
                <w:lang w:val="en-US" w:eastAsia="zh-CN" w:bidi="ar"/>
              </w:rPr>
              <w:t>，</w:t>
            </w:r>
            <w:r>
              <w:rPr>
                <w:rFonts w:ascii="Times New Roman" w:hAnsi="Times New Roman" w:cs="Times New Roman" w:eastAsiaTheme="minorEastAsia"/>
                <w:color w:val="000000"/>
                <w:kern w:val="2"/>
                <w:sz w:val="24"/>
                <w:szCs w:val="24"/>
                <w:lang w:val="en-US" w:eastAsia="zh" w:bidi="ar"/>
              </w:rPr>
              <w:t>主要终点为第12周时HSS7=0的患者百分比。后续世之源将按照国家药品注册的相关规定和要求开展后续临床研究工作。</w:t>
            </w:r>
          </w:p>
          <w:p w14:paraId="35A01173">
            <w:pPr>
              <w:widowControl/>
              <w:overflowPunct w:val="0"/>
              <w:adjustRightInd w:val="0"/>
              <w:snapToGrid w:val="0"/>
              <w:spacing w:line="360" w:lineRule="auto"/>
              <w:ind w:firstLine="480" w:firstLineChars="200"/>
              <w:jc w:val="both"/>
              <w:textAlignment w:val="baseline"/>
              <w:rPr>
                <w:rFonts w:ascii="Times New Roman" w:hAnsi="Times New Roman" w:cs="Times New Roman" w:eastAsiaTheme="minorEastAsia"/>
                <w:color w:val="000000"/>
                <w:kern w:val="2"/>
                <w:sz w:val="24"/>
                <w:szCs w:val="24"/>
                <w:lang w:val="en-US" w:bidi="ar"/>
              </w:rPr>
            </w:pPr>
            <w:r>
              <w:rPr>
                <w:rFonts w:ascii="Times New Roman" w:hAnsi="Times New Roman" w:cs="Times New Roman" w:eastAsiaTheme="minorEastAsia"/>
                <w:color w:val="000000"/>
                <w:kern w:val="2"/>
                <w:sz w:val="24"/>
                <w:szCs w:val="24"/>
                <w:lang w:val="en-US" w:eastAsia="zh" w:bidi="ar"/>
              </w:rPr>
              <w:t>该项目由anti-IgE治疗法发明人张子文博士开发的次世代产品，是皮下注射剂型的人源化原研单抗。UB-221不仅可同时中和引发过敏反应的游离IgE，亦能透过结合至B细胞表面的CD23受体结合的IgE而抑制IgE的合成。临床前资料充分证明UB-221具有比同类已上市的产品更加优越的药理学特征：UB-221不仅可中和游离IgE，抑制IgE生成；UB-221中和游离IgE的效果更好；UB-221阻断IgE生成的效果更优；在食蟹猴和人类IgE(ε,κ）基因转殖小鼠实验模式里，单一剂量的UB-221即可快速、大幅度降低血清中IgE的浓度。</w:t>
            </w:r>
            <w:r>
              <w:rPr>
                <w:rFonts w:ascii="Times New Roman" w:hAnsi="Times New Roman" w:cs="Times New Roman" w:eastAsiaTheme="minorEastAsia"/>
                <w:color w:val="000000"/>
                <w:kern w:val="2"/>
                <w:sz w:val="24"/>
                <w:szCs w:val="24"/>
                <w:lang w:val="en-US" w:bidi="ar"/>
              </w:rPr>
              <w:t>感谢您的关注！</w:t>
            </w:r>
          </w:p>
          <w:p w14:paraId="2B1B28B2">
            <w:pPr>
              <w:overflowPunct w:val="0"/>
              <w:adjustRightInd w:val="0"/>
              <w:snapToGrid w:val="0"/>
              <w:spacing w:line="360" w:lineRule="auto"/>
              <w:ind w:firstLine="482" w:firstLineChars="200"/>
              <w:jc w:val="both"/>
              <w:rPr>
                <w:rFonts w:ascii="Times New Roman" w:hAnsi="Times New Roman" w:cs="Times New Roman" w:eastAsiaTheme="minorEastAsia"/>
                <w:b/>
                <w:bCs/>
                <w:color w:val="000000"/>
                <w:kern w:val="2"/>
                <w:sz w:val="24"/>
                <w:szCs w:val="24"/>
                <w:lang w:val="en-US" w:eastAsia="zh" w:bidi="ar"/>
              </w:rPr>
            </w:pPr>
            <w:r>
              <w:rPr>
                <w:rFonts w:ascii="Times New Roman" w:hAnsi="Times New Roman" w:cs="Times New Roman" w:eastAsiaTheme="minorEastAsia"/>
                <w:b/>
                <w:bCs/>
                <w:color w:val="000000"/>
                <w:kern w:val="2"/>
                <w:sz w:val="24"/>
                <w:szCs w:val="24"/>
                <w:lang w:val="en-US" w:eastAsia="zh" w:bidi="ar"/>
              </w:rPr>
              <w:t>5、</w:t>
            </w:r>
            <w:r>
              <w:rPr>
                <w:rFonts w:ascii="Times New Roman" w:hAnsi="Times New Roman" w:cs="Times New Roman" w:eastAsiaTheme="minorEastAsia"/>
                <w:b/>
                <w:bCs/>
                <w:color w:val="000000"/>
                <w:kern w:val="2"/>
                <w:sz w:val="24"/>
                <w:szCs w:val="24"/>
                <w:lang w:val="en-US" w:bidi="ar"/>
              </w:rPr>
              <w:t>公司此前已获得</w:t>
            </w:r>
            <w:r>
              <w:rPr>
                <w:rFonts w:ascii="Times New Roman" w:hAnsi="Times New Roman" w:cs="Times New Roman" w:eastAsiaTheme="minorEastAsia"/>
                <w:b/>
                <w:bCs/>
                <w:color w:val="000000"/>
                <w:kern w:val="2"/>
                <w:sz w:val="24"/>
                <w:szCs w:val="24"/>
                <w:lang w:val="en-US" w:eastAsia="zh" w:bidi="ar"/>
              </w:rPr>
              <w:t>世之源</w:t>
            </w:r>
            <w:r>
              <w:rPr>
                <w:rFonts w:ascii="Times New Roman" w:hAnsi="Times New Roman" w:cs="Times New Roman" w:eastAsiaTheme="minorEastAsia"/>
                <w:b/>
                <w:bCs/>
                <w:color w:val="000000"/>
                <w:kern w:val="2"/>
                <w:sz w:val="24"/>
                <w:szCs w:val="24"/>
                <w:lang w:val="en-US" w:bidi="ar"/>
              </w:rPr>
              <w:t>20</w:t>
            </w:r>
            <w:r>
              <w:rPr>
                <w:rFonts w:ascii="Times New Roman" w:hAnsi="Times New Roman" w:cs="Times New Roman" w:eastAsiaTheme="minorEastAsia"/>
                <w:b/>
                <w:bCs/>
                <w:color w:val="000000"/>
                <w:kern w:val="2"/>
                <w:sz w:val="24"/>
                <w:szCs w:val="24"/>
                <w:lang w:val="en-US" w:eastAsia="zh" w:bidi="ar"/>
              </w:rPr>
              <w:t>.48</w:t>
            </w:r>
            <w:r>
              <w:rPr>
                <w:rFonts w:ascii="Times New Roman" w:hAnsi="Times New Roman" w:cs="Times New Roman" w:eastAsiaTheme="minorEastAsia"/>
                <w:b/>
                <w:bCs/>
                <w:color w:val="000000"/>
                <w:kern w:val="2"/>
                <w:sz w:val="24"/>
                <w:szCs w:val="24"/>
                <w:lang w:val="en-US" w:bidi="ar"/>
              </w:rPr>
              <w:t>%的股权，是否有进一步增加投资比例的计划？如何评估融资压力和资金使用？</w:t>
            </w:r>
            <w:r>
              <w:rPr>
                <w:rFonts w:ascii="Times New Roman" w:hAnsi="Times New Roman" w:cs="Times New Roman" w:eastAsiaTheme="minorEastAsia"/>
                <w:b/>
                <w:bCs/>
                <w:color w:val="000000"/>
                <w:kern w:val="2"/>
                <w:sz w:val="24"/>
                <w:szCs w:val="24"/>
                <w:lang w:val="en-US" w:eastAsia="zh" w:bidi="ar"/>
              </w:rPr>
              <w:t>是否还会引进其他创新药管线？</w:t>
            </w:r>
          </w:p>
          <w:p w14:paraId="24D24364">
            <w:pPr>
              <w:overflowPunct w:val="0"/>
              <w:adjustRightInd w:val="0"/>
              <w:snapToGrid w:val="0"/>
              <w:spacing w:line="360" w:lineRule="auto"/>
              <w:ind w:firstLine="480" w:firstLineChars="200"/>
              <w:jc w:val="both"/>
              <w:rPr>
                <w:rFonts w:ascii="Times New Roman" w:hAnsi="Times New Roman" w:cs="Times New Roman" w:eastAsiaTheme="minorEastAsia"/>
                <w:color w:val="000000"/>
                <w:kern w:val="2"/>
                <w:sz w:val="24"/>
                <w:szCs w:val="24"/>
                <w:lang w:val="en-US" w:eastAsia="zh" w:bidi="ar"/>
              </w:rPr>
            </w:pPr>
            <w:r>
              <w:rPr>
                <w:rFonts w:ascii="Times New Roman" w:hAnsi="Times New Roman" w:cs="Times New Roman" w:eastAsiaTheme="minorEastAsia"/>
                <w:color w:val="000000"/>
                <w:kern w:val="2"/>
                <w:sz w:val="24"/>
                <w:szCs w:val="24"/>
                <w:lang w:val="en-US" w:eastAsia="zh" w:bidi="ar"/>
              </w:rPr>
              <w:t>答：尊敬的投资者您好！公司将根据董事会制定的发展规划，持续从动保疫苗向人用创新药领域延伸，最终实现“动保+人药”双主业发展战略。公司</w:t>
            </w:r>
            <w:r>
              <w:rPr>
                <w:rFonts w:ascii="Times New Roman" w:hAnsi="Times New Roman" w:cs="Times New Roman" w:eastAsiaTheme="minorEastAsia"/>
                <w:color w:val="000000"/>
                <w:kern w:val="2"/>
                <w:sz w:val="24"/>
                <w:szCs w:val="24"/>
                <w:lang w:val="en-US" w:bidi="ar"/>
              </w:rPr>
              <w:t>将根据世之源创新药临床进展、临床试验结果及市场等情况，分步对世之源进行增资或收购</w:t>
            </w:r>
            <w:r>
              <w:rPr>
                <w:rFonts w:ascii="Times New Roman" w:hAnsi="Times New Roman" w:cs="Times New Roman" w:eastAsiaTheme="minorEastAsia"/>
                <w:color w:val="000000"/>
                <w:kern w:val="2"/>
                <w:sz w:val="24"/>
                <w:szCs w:val="24"/>
                <w:lang w:val="en-US" w:eastAsia="zh" w:bidi="ar"/>
              </w:rPr>
              <w:t>，加快推进世之源在研管线的临床研发，充分发挥自身技术平台和管理经验优势。</w:t>
            </w:r>
          </w:p>
          <w:p w14:paraId="1E1C2667">
            <w:pPr>
              <w:overflowPunct w:val="0"/>
              <w:adjustRightInd w:val="0"/>
              <w:snapToGrid w:val="0"/>
              <w:spacing w:line="360" w:lineRule="auto"/>
              <w:ind w:firstLine="480" w:firstLineChars="200"/>
              <w:jc w:val="both"/>
              <w:rPr>
                <w:rFonts w:ascii="Times New Roman" w:hAnsi="Times New Roman" w:cs="Times New Roman" w:eastAsiaTheme="minorEastAsia"/>
                <w:color w:val="000000"/>
                <w:sz w:val="24"/>
                <w:szCs w:val="24"/>
                <w:lang w:eastAsia="zh"/>
              </w:rPr>
            </w:pPr>
            <w:r>
              <w:rPr>
                <w:rFonts w:ascii="Times New Roman" w:hAnsi="Times New Roman" w:cs="Times New Roman" w:eastAsiaTheme="minorEastAsia"/>
                <w:color w:val="000000"/>
                <w:sz w:val="24"/>
                <w:szCs w:val="24"/>
                <w:lang w:eastAsia="zh"/>
              </w:rPr>
              <w:t>目前世之源一方面持续推进三款创新药的研发进程并拓展新适应症，同时持续引入合作方海外的其他有竞争力的管线；另一方面充分借助申联生物在合成肽、基因工程、mRNA等领域的技术积累，以及世之源自身在创新药研发管理方面的体系能力，逐步开展更多新药的自主研发。</w:t>
            </w:r>
            <w:r>
              <w:rPr>
                <w:rFonts w:ascii="Times New Roman" w:hAnsi="Times New Roman" w:cs="Times New Roman" w:eastAsiaTheme="minorEastAsia"/>
                <w:color w:val="000000"/>
                <w:kern w:val="2"/>
                <w:sz w:val="24"/>
                <w:szCs w:val="24"/>
                <w:lang w:val="en-US" w:bidi="ar"/>
              </w:rPr>
              <w:t>感谢您的关注！</w:t>
            </w:r>
          </w:p>
          <w:p w14:paraId="2B140F54">
            <w:pPr>
              <w:overflowPunct w:val="0"/>
              <w:adjustRightInd w:val="0"/>
              <w:snapToGrid w:val="0"/>
              <w:spacing w:line="360" w:lineRule="auto"/>
              <w:ind w:firstLine="482" w:firstLineChars="200"/>
              <w:jc w:val="both"/>
              <w:rPr>
                <w:rFonts w:ascii="Times New Roman" w:hAnsi="Times New Roman" w:cs="Times New Roman" w:eastAsiaTheme="minorEastAsia"/>
                <w:b/>
                <w:bCs/>
                <w:color w:val="000000"/>
                <w:sz w:val="24"/>
                <w:szCs w:val="24"/>
                <w:lang w:eastAsia="zh"/>
              </w:rPr>
            </w:pPr>
            <w:r>
              <w:rPr>
                <w:rFonts w:ascii="Times New Roman" w:hAnsi="Times New Roman" w:cs="Times New Roman" w:eastAsiaTheme="minorEastAsia"/>
                <w:b/>
                <w:bCs/>
                <w:color w:val="000000"/>
                <w:sz w:val="24"/>
                <w:szCs w:val="24"/>
                <w:lang w:eastAsia="zh"/>
              </w:rPr>
              <w:t>6、为什么公司营业收入并没有增长，但是净利润有好转，是市场的原因还是公司的原因？</w:t>
            </w:r>
          </w:p>
          <w:p w14:paraId="6A74E0EB">
            <w:pPr>
              <w:overflowPunct w:val="0"/>
              <w:adjustRightInd w:val="0"/>
              <w:snapToGrid w:val="0"/>
              <w:spacing w:line="360" w:lineRule="auto"/>
              <w:ind w:firstLine="480" w:firstLineChars="200"/>
              <w:jc w:val="both"/>
              <w:rPr>
                <w:rFonts w:ascii="Times New Roman" w:hAnsi="Times New Roman" w:cs="Times New Roman" w:eastAsiaTheme="minorEastAsia"/>
                <w:color w:val="000000"/>
                <w:kern w:val="2"/>
                <w:sz w:val="24"/>
                <w:szCs w:val="24"/>
                <w:lang w:val="en-US" w:eastAsia="zh" w:bidi="ar"/>
              </w:rPr>
            </w:pPr>
            <w:r>
              <w:rPr>
                <w:rFonts w:ascii="Times New Roman" w:hAnsi="Times New Roman" w:cs="Times New Roman" w:eastAsiaTheme="minorEastAsia"/>
                <w:color w:val="000000"/>
                <w:kern w:val="2"/>
                <w:sz w:val="24"/>
                <w:szCs w:val="24"/>
                <w:lang w:val="en-US" w:eastAsia="zh" w:bidi="ar"/>
              </w:rPr>
              <w:t>答：</w:t>
            </w:r>
            <w:r>
              <w:rPr>
                <w:rFonts w:ascii="Times New Roman" w:hAnsi="Times New Roman" w:cs="Times New Roman" w:eastAsiaTheme="minorEastAsia"/>
                <w:color w:val="000000"/>
                <w:sz w:val="24"/>
                <w:szCs w:val="24"/>
              </w:rPr>
              <w:t>尊敬的投资者，您好！</w:t>
            </w:r>
            <w:r>
              <w:rPr>
                <w:rFonts w:ascii="Times New Roman" w:hAnsi="Times New Roman" w:cs="Times New Roman" w:eastAsiaTheme="minorEastAsia"/>
                <w:color w:val="000000"/>
                <w:sz w:val="24"/>
                <w:szCs w:val="24"/>
                <w:lang w:eastAsia="zh"/>
              </w:rPr>
              <w:t>现阶段公司所处行业竞争仍然激烈，虽然公司收入没有增长，但疫苗销量有所提高，市场份额进一步增大，公司经营朝着更加精干高效的方向迈进，市场推广活动更加注重销售转换效率，内部管理上更加精简高效，销售费用、管理费用等期间费用同比有较明显的下降，亏损明显收窄。</w:t>
            </w:r>
            <w:r>
              <w:rPr>
                <w:rFonts w:ascii="Times New Roman" w:hAnsi="Times New Roman" w:cs="Times New Roman" w:eastAsiaTheme="minorEastAsia"/>
                <w:color w:val="000000"/>
                <w:kern w:val="2"/>
                <w:sz w:val="24"/>
                <w:szCs w:val="24"/>
                <w:lang w:val="en-US" w:bidi="ar"/>
              </w:rPr>
              <w:t>感谢您的关注！</w:t>
            </w:r>
          </w:p>
        </w:tc>
      </w:tr>
      <w:tr w14:paraId="60FF4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After w:val="1"/>
          <w:wAfter w:w="7" w:type="pct"/>
          <w:trHeight w:val="561" w:hRule="atLeast"/>
          <w:jc w:val="center"/>
        </w:trPr>
        <w:tc>
          <w:tcPr>
            <w:tcW w:w="1225" w:type="pct"/>
            <w:vAlign w:val="center"/>
          </w:tcPr>
          <w:p w14:paraId="7904E96D">
            <w:pPr>
              <w:pStyle w:val="17"/>
              <w:spacing w:before="1"/>
              <w:ind w:left="107"/>
              <w:jc w:val="both"/>
              <w:rPr>
                <w:rFonts w:ascii="Times New Roman" w:hAnsi="Times New Roman" w:cs="Times New Roman" w:eastAsiaTheme="minorEastAsia"/>
                <w:b/>
                <w:bCs/>
                <w:color w:val="000000"/>
                <w:sz w:val="24"/>
                <w:szCs w:val="24"/>
              </w:rPr>
            </w:pPr>
            <w:r>
              <w:rPr>
                <w:rFonts w:ascii="Times New Roman" w:hAnsi="Times New Roman" w:cs="Times New Roman" w:eastAsiaTheme="minorEastAsia"/>
                <w:b/>
                <w:bCs/>
                <w:color w:val="000000"/>
                <w:sz w:val="24"/>
                <w:szCs w:val="24"/>
              </w:rPr>
              <w:t>附件清单（如有）</w:t>
            </w:r>
          </w:p>
        </w:tc>
        <w:tc>
          <w:tcPr>
            <w:tcW w:w="3768" w:type="pct"/>
            <w:vAlign w:val="center"/>
          </w:tcPr>
          <w:p w14:paraId="67530090">
            <w:pPr>
              <w:pStyle w:val="17"/>
              <w:spacing w:before="1"/>
              <w:ind w:left="107"/>
              <w:jc w:val="both"/>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无</w:t>
            </w:r>
          </w:p>
        </w:tc>
      </w:tr>
      <w:tr w14:paraId="1D4EF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gridAfter w:val="1"/>
          <w:wAfter w:w="7" w:type="pct"/>
          <w:trHeight w:val="558" w:hRule="atLeast"/>
          <w:jc w:val="center"/>
        </w:trPr>
        <w:tc>
          <w:tcPr>
            <w:tcW w:w="1225" w:type="pct"/>
            <w:vAlign w:val="center"/>
          </w:tcPr>
          <w:p w14:paraId="39917B4B">
            <w:pPr>
              <w:pStyle w:val="17"/>
              <w:spacing w:before="1"/>
              <w:ind w:left="107"/>
              <w:jc w:val="both"/>
              <w:rPr>
                <w:rFonts w:ascii="Times New Roman" w:hAnsi="Times New Roman" w:cs="Times New Roman" w:eastAsiaTheme="minorEastAsia"/>
                <w:b/>
                <w:bCs/>
                <w:color w:val="000000"/>
                <w:sz w:val="24"/>
                <w:szCs w:val="24"/>
              </w:rPr>
            </w:pPr>
            <w:r>
              <w:rPr>
                <w:rFonts w:ascii="Times New Roman" w:hAnsi="Times New Roman" w:cs="Times New Roman" w:eastAsiaTheme="minorEastAsia"/>
                <w:b/>
                <w:bCs/>
                <w:color w:val="000000"/>
                <w:sz w:val="24"/>
                <w:szCs w:val="24"/>
              </w:rPr>
              <w:t>日期</w:t>
            </w:r>
          </w:p>
        </w:tc>
        <w:tc>
          <w:tcPr>
            <w:tcW w:w="3768" w:type="pct"/>
            <w:vAlign w:val="center"/>
          </w:tcPr>
          <w:p w14:paraId="518FF2EE">
            <w:pPr>
              <w:pStyle w:val="17"/>
              <w:spacing w:before="1"/>
              <w:ind w:left="107"/>
              <w:jc w:val="both"/>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2025年9月16日</w:t>
            </w:r>
          </w:p>
        </w:tc>
      </w:tr>
    </w:tbl>
    <w:p w14:paraId="72A8F571">
      <w:pPr>
        <w:pStyle w:val="17"/>
        <w:spacing w:before="1"/>
        <w:ind w:left="107"/>
        <w:jc w:val="both"/>
        <w:rPr>
          <w:rFonts w:hint="eastAsia" w:ascii="Times New Roman" w:hAnsi="Times New Roman" w:cs="Times New Roman" w:eastAsiaTheme="minorEastAsia"/>
          <w:b/>
          <w:bCs/>
          <w:color w:val="000000"/>
          <w:sz w:val="24"/>
          <w:szCs w:val="24"/>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Noto Sans SC">
    <w:panose1 w:val="020B02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2ZWU4Nzc4ZTg2MmY4ZDUwMjZhNjZjN2U1YTU2MWUifQ=="/>
  </w:docVars>
  <w:rsids>
    <w:rsidRoot w:val="00301D32"/>
    <w:rsid w:val="00026CC3"/>
    <w:rsid w:val="00036089"/>
    <w:rsid w:val="00053CFA"/>
    <w:rsid w:val="000633EC"/>
    <w:rsid w:val="00063804"/>
    <w:rsid w:val="00065EFE"/>
    <w:rsid w:val="000665A2"/>
    <w:rsid w:val="000877AB"/>
    <w:rsid w:val="000A4DC1"/>
    <w:rsid w:val="000B7C08"/>
    <w:rsid w:val="000D12CF"/>
    <w:rsid w:val="000D2D88"/>
    <w:rsid w:val="000E4B20"/>
    <w:rsid w:val="0011418F"/>
    <w:rsid w:val="00172C24"/>
    <w:rsid w:val="001E59D1"/>
    <w:rsid w:val="001E5EA4"/>
    <w:rsid w:val="002042A7"/>
    <w:rsid w:val="00205911"/>
    <w:rsid w:val="002146AD"/>
    <w:rsid w:val="00275CB6"/>
    <w:rsid w:val="002800B5"/>
    <w:rsid w:val="002951AA"/>
    <w:rsid w:val="00295B29"/>
    <w:rsid w:val="002D4073"/>
    <w:rsid w:val="002E7098"/>
    <w:rsid w:val="00301D32"/>
    <w:rsid w:val="00366FAD"/>
    <w:rsid w:val="0037105B"/>
    <w:rsid w:val="003975BA"/>
    <w:rsid w:val="003A74E6"/>
    <w:rsid w:val="003B73DD"/>
    <w:rsid w:val="003D011C"/>
    <w:rsid w:val="004108C7"/>
    <w:rsid w:val="00411532"/>
    <w:rsid w:val="00412DC2"/>
    <w:rsid w:val="00440041"/>
    <w:rsid w:val="00451268"/>
    <w:rsid w:val="004515AD"/>
    <w:rsid w:val="00451857"/>
    <w:rsid w:val="00453516"/>
    <w:rsid w:val="00457548"/>
    <w:rsid w:val="00470DB2"/>
    <w:rsid w:val="004925E7"/>
    <w:rsid w:val="00495B11"/>
    <w:rsid w:val="004E40AD"/>
    <w:rsid w:val="004F6FF3"/>
    <w:rsid w:val="00571B49"/>
    <w:rsid w:val="005743AE"/>
    <w:rsid w:val="00583A8D"/>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0E40"/>
    <w:rsid w:val="007153A2"/>
    <w:rsid w:val="00724A68"/>
    <w:rsid w:val="007271BF"/>
    <w:rsid w:val="00730DD3"/>
    <w:rsid w:val="00733224"/>
    <w:rsid w:val="00764128"/>
    <w:rsid w:val="007824B8"/>
    <w:rsid w:val="007910DD"/>
    <w:rsid w:val="007A3897"/>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E68A9"/>
    <w:rsid w:val="00BF132F"/>
    <w:rsid w:val="00C13878"/>
    <w:rsid w:val="00CA1705"/>
    <w:rsid w:val="00CE1A54"/>
    <w:rsid w:val="00CF5FB6"/>
    <w:rsid w:val="00D02518"/>
    <w:rsid w:val="00D17454"/>
    <w:rsid w:val="00D33FBC"/>
    <w:rsid w:val="00D472A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73A4F"/>
    <w:rsid w:val="00FB4A08"/>
    <w:rsid w:val="00FC0C2A"/>
    <w:rsid w:val="00FD7F8E"/>
    <w:rsid w:val="00FF11E4"/>
    <w:rsid w:val="04076B91"/>
    <w:rsid w:val="04B072D4"/>
    <w:rsid w:val="05F575D4"/>
    <w:rsid w:val="064249C6"/>
    <w:rsid w:val="08641132"/>
    <w:rsid w:val="09186774"/>
    <w:rsid w:val="0945438F"/>
    <w:rsid w:val="0A71587A"/>
    <w:rsid w:val="0B426F5D"/>
    <w:rsid w:val="0B792C38"/>
    <w:rsid w:val="0C28640C"/>
    <w:rsid w:val="0D587038"/>
    <w:rsid w:val="0E90599A"/>
    <w:rsid w:val="0ED720CD"/>
    <w:rsid w:val="0F31FF3E"/>
    <w:rsid w:val="0F51A385"/>
    <w:rsid w:val="12070CAE"/>
    <w:rsid w:val="1373F6CE"/>
    <w:rsid w:val="145F688C"/>
    <w:rsid w:val="15DD2205"/>
    <w:rsid w:val="15FB9DFC"/>
    <w:rsid w:val="17072842"/>
    <w:rsid w:val="179906D6"/>
    <w:rsid w:val="17A67110"/>
    <w:rsid w:val="1864189B"/>
    <w:rsid w:val="18D73A7D"/>
    <w:rsid w:val="19557370"/>
    <w:rsid w:val="1BAF15F3"/>
    <w:rsid w:val="1BD06B6A"/>
    <w:rsid w:val="1CF6B07F"/>
    <w:rsid w:val="1D1B5967"/>
    <w:rsid w:val="1EB2C510"/>
    <w:rsid w:val="1F5C77BC"/>
    <w:rsid w:val="1F782BDE"/>
    <w:rsid w:val="1FEDA819"/>
    <w:rsid w:val="204A6A53"/>
    <w:rsid w:val="22481013"/>
    <w:rsid w:val="23317869"/>
    <w:rsid w:val="25650CAE"/>
    <w:rsid w:val="26406598"/>
    <w:rsid w:val="28080056"/>
    <w:rsid w:val="28734C1A"/>
    <w:rsid w:val="28C72DDD"/>
    <w:rsid w:val="29EE0E64"/>
    <w:rsid w:val="2BC4020A"/>
    <w:rsid w:val="2BD3162B"/>
    <w:rsid w:val="2BFDBFB7"/>
    <w:rsid w:val="2DDE2BE9"/>
    <w:rsid w:val="2DFBC424"/>
    <w:rsid w:val="2EF90F16"/>
    <w:rsid w:val="2EFFB871"/>
    <w:rsid w:val="2F125C63"/>
    <w:rsid w:val="2FDFF723"/>
    <w:rsid w:val="302C3D0A"/>
    <w:rsid w:val="3104598F"/>
    <w:rsid w:val="31DD1AD3"/>
    <w:rsid w:val="33244988"/>
    <w:rsid w:val="33DE31BB"/>
    <w:rsid w:val="34C35252"/>
    <w:rsid w:val="34F3D12E"/>
    <w:rsid w:val="36FD4FEF"/>
    <w:rsid w:val="389C49C0"/>
    <w:rsid w:val="39BC78F4"/>
    <w:rsid w:val="3ABF3F09"/>
    <w:rsid w:val="3AFDB17B"/>
    <w:rsid w:val="3B35486F"/>
    <w:rsid w:val="3B376877"/>
    <w:rsid w:val="3BDD7B9C"/>
    <w:rsid w:val="3BEF970B"/>
    <w:rsid w:val="3C33C697"/>
    <w:rsid w:val="3CDE9ECF"/>
    <w:rsid w:val="3D4FC636"/>
    <w:rsid w:val="3D6BEF23"/>
    <w:rsid w:val="3D7F55BB"/>
    <w:rsid w:val="3DB775AC"/>
    <w:rsid w:val="3DB7968B"/>
    <w:rsid w:val="3DDFEE98"/>
    <w:rsid w:val="3EF1250A"/>
    <w:rsid w:val="3F2EB110"/>
    <w:rsid w:val="3F6CE118"/>
    <w:rsid w:val="3F7AEC75"/>
    <w:rsid w:val="3FB62E53"/>
    <w:rsid w:val="3FBE138C"/>
    <w:rsid w:val="3FD86FE9"/>
    <w:rsid w:val="3FFDB6D2"/>
    <w:rsid w:val="40567DB0"/>
    <w:rsid w:val="40FF5CD2"/>
    <w:rsid w:val="42DB40B0"/>
    <w:rsid w:val="43B71B0A"/>
    <w:rsid w:val="44FA0589"/>
    <w:rsid w:val="45A663E3"/>
    <w:rsid w:val="46285882"/>
    <w:rsid w:val="469F09AF"/>
    <w:rsid w:val="46CE0CBD"/>
    <w:rsid w:val="47EFD968"/>
    <w:rsid w:val="4AFEC02D"/>
    <w:rsid w:val="4B756271"/>
    <w:rsid w:val="4C8E1CA8"/>
    <w:rsid w:val="4D6D36A4"/>
    <w:rsid w:val="4E75D4E0"/>
    <w:rsid w:val="4EFAE351"/>
    <w:rsid w:val="4FFD225E"/>
    <w:rsid w:val="510903EF"/>
    <w:rsid w:val="53F137F4"/>
    <w:rsid w:val="543A6906"/>
    <w:rsid w:val="55DB0A1B"/>
    <w:rsid w:val="55E33656"/>
    <w:rsid w:val="55FEDB76"/>
    <w:rsid w:val="56850CBB"/>
    <w:rsid w:val="569A10B7"/>
    <w:rsid w:val="575FA2E5"/>
    <w:rsid w:val="57FB7098"/>
    <w:rsid w:val="59D8738A"/>
    <w:rsid w:val="5A666D76"/>
    <w:rsid w:val="5B2253C2"/>
    <w:rsid w:val="5B9D8E9C"/>
    <w:rsid w:val="5BDB13B3"/>
    <w:rsid w:val="5BE73225"/>
    <w:rsid w:val="5BF67A24"/>
    <w:rsid w:val="5CF02E0F"/>
    <w:rsid w:val="5D39685E"/>
    <w:rsid w:val="5D4C4252"/>
    <w:rsid w:val="5D7B4540"/>
    <w:rsid w:val="5DDB97BB"/>
    <w:rsid w:val="5DFE55F9"/>
    <w:rsid w:val="5DFE98B7"/>
    <w:rsid w:val="5E2BB8BA"/>
    <w:rsid w:val="5E7A279B"/>
    <w:rsid w:val="5EBFF7EF"/>
    <w:rsid w:val="5ED684A9"/>
    <w:rsid w:val="5F2E7FF8"/>
    <w:rsid w:val="5F7F8947"/>
    <w:rsid w:val="5FACCC22"/>
    <w:rsid w:val="5FBA1CEC"/>
    <w:rsid w:val="5FBF39D8"/>
    <w:rsid w:val="5FFB922F"/>
    <w:rsid w:val="5FFBE5C0"/>
    <w:rsid w:val="5FFFA4BB"/>
    <w:rsid w:val="603269D2"/>
    <w:rsid w:val="61A52BCA"/>
    <w:rsid w:val="634D15A9"/>
    <w:rsid w:val="66D52154"/>
    <w:rsid w:val="67095496"/>
    <w:rsid w:val="6749EDEE"/>
    <w:rsid w:val="677B9D6B"/>
    <w:rsid w:val="67BD6601"/>
    <w:rsid w:val="67EBBDF6"/>
    <w:rsid w:val="67ED7463"/>
    <w:rsid w:val="67FFA82E"/>
    <w:rsid w:val="681A546A"/>
    <w:rsid w:val="686F7F5E"/>
    <w:rsid w:val="69CB37D4"/>
    <w:rsid w:val="6A0D5B9B"/>
    <w:rsid w:val="6A2B4C77"/>
    <w:rsid w:val="6A3B23B1"/>
    <w:rsid w:val="6A7BB9BC"/>
    <w:rsid w:val="6AEA32DC"/>
    <w:rsid w:val="6AFF9E53"/>
    <w:rsid w:val="6B75D029"/>
    <w:rsid w:val="6BB54E17"/>
    <w:rsid w:val="6BC593AC"/>
    <w:rsid w:val="6BDDF8B6"/>
    <w:rsid w:val="6BE75209"/>
    <w:rsid w:val="6BFA9198"/>
    <w:rsid w:val="6CC24AB5"/>
    <w:rsid w:val="6D5B2414"/>
    <w:rsid w:val="6D9271B2"/>
    <w:rsid w:val="6DB65CAA"/>
    <w:rsid w:val="6DDF934E"/>
    <w:rsid w:val="6DED6ED2"/>
    <w:rsid w:val="6DF7A5B0"/>
    <w:rsid w:val="6DFF1101"/>
    <w:rsid w:val="6E7E278F"/>
    <w:rsid w:val="6E87E958"/>
    <w:rsid w:val="6F134790"/>
    <w:rsid w:val="6FBFB38D"/>
    <w:rsid w:val="6FE81F5F"/>
    <w:rsid w:val="6FF3295E"/>
    <w:rsid w:val="6FF613E5"/>
    <w:rsid w:val="6FFC1683"/>
    <w:rsid w:val="6FFEB426"/>
    <w:rsid w:val="6FFF6003"/>
    <w:rsid w:val="6FFF868C"/>
    <w:rsid w:val="703F296A"/>
    <w:rsid w:val="707E6DB5"/>
    <w:rsid w:val="71EF39A7"/>
    <w:rsid w:val="71FBB25E"/>
    <w:rsid w:val="72446028"/>
    <w:rsid w:val="72CFB074"/>
    <w:rsid w:val="72FB6FA2"/>
    <w:rsid w:val="73076EC0"/>
    <w:rsid w:val="73933A6A"/>
    <w:rsid w:val="73DEE73A"/>
    <w:rsid w:val="73F71694"/>
    <w:rsid w:val="73FF0B93"/>
    <w:rsid w:val="74210CA6"/>
    <w:rsid w:val="746F4E76"/>
    <w:rsid w:val="754FEF96"/>
    <w:rsid w:val="75CB15AA"/>
    <w:rsid w:val="76AE9510"/>
    <w:rsid w:val="76BDF3B5"/>
    <w:rsid w:val="76CE2B96"/>
    <w:rsid w:val="76D3A710"/>
    <w:rsid w:val="76EF4744"/>
    <w:rsid w:val="76FB9920"/>
    <w:rsid w:val="777D74C2"/>
    <w:rsid w:val="778FBD8F"/>
    <w:rsid w:val="77A73FC4"/>
    <w:rsid w:val="77B91E2C"/>
    <w:rsid w:val="77DD760E"/>
    <w:rsid w:val="77ED553C"/>
    <w:rsid w:val="77EFD258"/>
    <w:rsid w:val="77F76098"/>
    <w:rsid w:val="77F7E3ED"/>
    <w:rsid w:val="77F7EC31"/>
    <w:rsid w:val="77FF03EC"/>
    <w:rsid w:val="788C25F5"/>
    <w:rsid w:val="78FFC1F6"/>
    <w:rsid w:val="79A5E24B"/>
    <w:rsid w:val="79BF270E"/>
    <w:rsid w:val="79BF29A4"/>
    <w:rsid w:val="79F72AA9"/>
    <w:rsid w:val="7A144529"/>
    <w:rsid w:val="7A473228"/>
    <w:rsid w:val="7B0FD0CB"/>
    <w:rsid w:val="7BB30A5C"/>
    <w:rsid w:val="7BCD4B1D"/>
    <w:rsid w:val="7BCF218C"/>
    <w:rsid w:val="7BDF1A54"/>
    <w:rsid w:val="7BF54B20"/>
    <w:rsid w:val="7BF764B4"/>
    <w:rsid w:val="7CB7536E"/>
    <w:rsid w:val="7CEDC0CA"/>
    <w:rsid w:val="7CEE2A83"/>
    <w:rsid w:val="7D7A3D0E"/>
    <w:rsid w:val="7DBE41A9"/>
    <w:rsid w:val="7DD16FED"/>
    <w:rsid w:val="7DD37FAE"/>
    <w:rsid w:val="7DE683F5"/>
    <w:rsid w:val="7E1F45D1"/>
    <w:rsid w:val="7E5203E2"/>
    <w:rsid w:val="7E735775"/>
    <w:rsid w:val="7EAB384D"/>
    <w:rsid w:val="7EBE4B4F"/>
    <w:rsid w:val="7EED7FC4"/>
    <w:rsid w:val="7EEEA21C"/>
    <w:rsid w:val="7EEFB098"/>
    <w:rsid w:val="7EEFCFCE"/>
    <w:rsid w:val="7EF9DD4A"/>
    <w:rsid w:val="7EFAFEE9"/>
    <w:rsid w:val="7EFD91CF"/>
    <w:rsid w:val="7EFDEEEF"/>
    <w:rsid w:val="7EFEA5E6"/>
    <w:rsid w:val="7F2F6D4E"/>
    <w:rsid w:val="7F3C6FDC"/>
    <w:rsid w:val="7F4F3DF4"/>
    <w:rsid w:val="7F5EE404"/>
    <w:rsid w:val="7F699D5B"/>
    <w:rsid w:val="7F6E3B9C"/>
    <w:rsid w:val="7F7DA6FF"/>
    <w:rsid w:val="7F7FA528"/>
    <w:rsid w:val="7FAFD4A5"/>
    <w:rsid w:val="7FB40E4E"/>
    <w:rsid w:val="7FB72AD6"/>
    <w:rsid w:val="7FBDAC02"/>
    <w:rsid w:val="7FBE9950"/>
    <w:rsid w:val="7FBF083C"/>
    <w:rsid w:val="7FBFDC68"/>
    <w:rsid w:val="7FDEF4A7"/>
    <w:rsid w:val="7FDF2677"/>
    <w:rsid w:val="7FDF3321"/>
    <w:rsid w:val="7FEEEE09"/>
    <w:rsid w:val="7FEF6F61"/>
    <w:rsid w:val="7FF39CED"/>
    <w:rsid w:val="7FF47936"/>
    <w:rsid w:val="7FF9D44E"/>
    <w:rsid w:val="7FFB5C21"/>
    <w:rsid w:val="7FFCA27C"/>
    <w:rsid w:val="7FFD5FA4"/>
    <w:rsid w:val="7FFFF2AF"/>
    <w:rsid w:val="87ABE5AB"/>
    <w:rsid w:val="89AA231C"/>
    <w:rsid w:val="8AFF3106"/>
    <w:rsid w:val="8FBA8624"/>
    <w:rsid w:val="97BD2D25"/>
    <w:rsid w:val="99D7BD85"/>
    <w:rsid w:val="9E7EE948"/>
    <w:rsid w:val="9FBE0B57"/>
    <w:rsid w:val="9FFFEC71"/>
    <w:rsid w:val="A7CF9CB9"/>
    <w:rsid w:val="A8BFD12E"/>
    <w:rsid w:val="AADB3EDC"/>
    <w:rsid w:val="AB07F625"/>
    <w:rsid w:val="ACFE589D"/>
    <w:rsid w:val="ADB70483"/>
    <w:rsid w:val="B2FF445E"/>
    <w:rsid w:val="B5BFC890"/>
    <w:rsid w:val="B6FFF898"/>
    <w:rsid w:val="B75E8423"/>
    <w:rsid w:val="B7D74B5A"/>
    <w:rsid w:val="B7EB7F9C"/>
    <w:rsid w:val="B9D71E19"/>
    <w:rsid w:val="BB0BE48D"/>
    <w:rsid w:val="BB5F3321"/>
    <w:rsid w:val="BB7F5033"/>
    <w:rsid w:val="BB9F54D7"/>
    <w:rsid w:val="BBB6333D"/>
    <w:rsid w:val="BBDD0D3D"/>
    <w:rsid w:val="BBFDE4F0"/>
    <w:rsid w:val="BBFF45D4"/>
    <w:rsid w:val="BD7BC19A"/>
    <w:rsid w:val="BDF5A84E"/>
    <w:rsid w:val="BDFC0539"/>
    <w:rsid w:val="BDFD284C"/>
    <w:rsid w:val="BE3FB88B"/>
    <w:rsid w:val="BE9FC45B"/>
    <w:rsid w:val="BF5F3EC9"/>
    <w:rsid w:val="BF770571"/>
    <w:rsid w:val="BF774D32"/>
    <w:rsid w:val="BFDCDB9A"/>
    <w:rsid w:val="BFEFFA67"/>
    <w:rsid w:val="BFF32EBE"/>
    <w:rsid w:val="BFF7EBF6"/>
    <w:rsid w:val="BFFBD0FA"/>
    <w:rsid w:val="BFFEBB80"/>
    <w:rsid w:val="BFFF6191"/>
    <w:rsid w:val="BFFFA68B"/>
    <w:rsid w:val="C57F34CE"/>
    <w:rsid w:val="CBED73AE"/>
    <w:rsid w:val="CBFB2CFF"/>
    <w:rsid w:val="CDFFC9C9"/>
    <w:rsid w:val="CFD924B2"/>
    <w:rsid w:val="CFDFE8DB"/>
    <w:rsid w:val="CFFFDFF5"/>
    <w:rsid w:val="D17C601E"/>
    <w:rsid w:val="D3F5546C"/>
    <w:rsid w:val="D767F929"/>
    <w:rsid w:val="D7AF2B3D"/>
    <w:rsid w:val="D7DEA4F4"/>
    <w:rsid w:val="D8BFD021"/>
    <w:rsid w:val="D8FB94F4"/>
    <w:rsid w:val="DB7F2808"/>
    <w:rsid w:val="DCABD48B"/>
    <w:rsid w:val="DCDDAED5"/>
    <w:rsid w:val="DCEAFA80"/>
    <w:rsid w:val="DD7BD0BC"/>
    <w:rsid w:val="DDB60AB8"/>
    <w:rsid w:val="DDFD46DC"/>
    <w:rsid w:val="DDFF1DF8"/>
    <w:rsid w:val="DE77E298"/>
    <w:rsid w:val="DEAF2582"/>
    <w:rsid w:val="DEBF0145"/>
    <w:rsid w:val="DEDFCB05"/>
    <w:rsid w:val="DEFCEFB5"/>
    <w:rsid w:val="DFCF433E"/>
    <w:rsid w:val="DFDED537"/>
    <w:rsid w:val="DFEF9E9C"/>
    <w:rsid w:val="DFFDE700"/>
    <w:rsid w:val="DFFE4CF0"/>
    <w:rsid w:val="DFFF2B2E"/>
    <w:rsid w:val="E1AF14B8"/>
    <w:rsid w:val="E5EE9BA5"/>
    <w:rsid w:val="E65FE078"/>
    <w:rsid w:val="E786A409"/>
    <w:rsid w:val="E7BFAE64"/>
    <w:rsid w:val="E7DB9A45"/>
    <w:rsid w:val="E7F3ECE4"/>
    <w:rsid w:val="E7FB6E84"/>
    <w:rsid w:val="E7FF8481"/>
    <w:rsid w:val="E89F28D7"/>
    <w:rsid w:val="EA76F941"/>
    <w:rsid w:val="EA9B54F9"/>
    <w:rsid w:val="EAC79DCD"/>
    <w:rsid w:val="EBFB6947"/>
    <w:rsid w:val="EC7FF002"/>
    <w:rsid w:val="ECEDA537"/>
    <w:rsid w:val="ED1D1862"/>
    <w:rsid w:val="EDAB8F24"/>
    <w:rsid w:val="EE2411A5"/>
    <w:rsid w:val="EEB7B314"/>
    <w:rsid w:val="EEFBE43B"/>
    <w:rsid w:val="EEFD9A83"/>
    <w:rsid w:val="EF1E0ECF"/>
    <w:rsid w:val="EFBBE8DB"/>
    <w:rsid w:val="EFBDD192"/>
    <w:rsid w:val="EFD76F40"/>
    <w:rsid w:val="EFEB260A"/>
    <w:rsid w:val="EFF7B0F9"/>
    <w:rsid w:val="EFF7C999"/>
    <w:rsid w:val="EFFDFC96"/>
    <w:rsid w:val="EFFF4410"/>
    <w:rsid w:val="EFFF9E1A"/>
    <w:rsid w:val="F0AEEC5D"/>
    <w:rsid w:val="F2D70C1D"/>
    <w:rsid w:val="F36A46E0"/>
    <w:rsid w:val="F3C79781"/>
    <w:rsid w:val="F43FD870"/>
    <w:rsid w:val="F4EF1068"/>
    <w:rsid w:val="F4FF59A5"/>
    <w:rsid w:val="F57B196B"/>
    <w:rsid w:val="F57FBE65"/>
    <w:rsid w:val="F5CF9732"/>
    <w:rsid w:val="F5D44267"/>
    <w:rsid w:val="F5F77049"/>
    <w:rsid w:val="F6371E42"/>
    <w:rsid w:val="F66FE078"/>
    <w:rsid w:val="F6DF1253"/>
    <w:rsid w:val="F74BECAC"/>
    <w:rsid w:val="F75FAD04"/>
    <w:rsid w:val="F77C13B0"/>
    <w:rsid w:val="F7BB4727"/>
    <w:rsid w:val="F7D74017"/>
    <w:rsid w:val="F7FE252A"/>
    <w:rsid w:val="F7FF3A5E"/>
    <w:rsid w:val="F7FF8BFD"/>
    <w:rsid w:val="F7FF8F69"/>
    <w:rsid w:val="F9965785"/>
    <w:rsid w:val="F9EF9D23"/>
    <w:rsid w:val="FA0FFA11"/>
    <w:rsid w:val="FA1759F8"/>
    <w:rsid w:val="FA373AC2"/>
    <w:rsid w:val="FADD12C3"/>
    <w:rsid w:val="FAF63B89"/>
    <w:rsid w:val="FB3163DC"/>
    <w:rsid w:val="FB4F54FB"/>
    <w:rsid w:val="FB552654"/>
    <w:rsid w:val="FB7FB574"/>
    <w:rsid w:val="FB9F75D8"/>
    <w:rsid w:val="FBB7110D"/>
    <w:rsid w:val="FBBD9150"/>
    <w:rsid w:val="FBF6C1DA"/>
    <w:rsid w:val="FBFA5C12"/>
    <w:rsid w:val="FBFD87D1"/>
    <w:rsid w:val="FC77C416"/>
    <w:rsid w:val="FCDDAF60"/>
    <w:rsid w:val="FD3D8758"/>
    <w:rsid w:val="FD7A5297"/>
    <w:rsid w:val="FD7DCCCC"/>
    <w:rsid w:val="FDAEC88B"/>
    <w:rsid w:val="FDEBCB8E"/>
    <w:rsid w:val="FE6F4BDB"/>
    <w:rsid w:val="FE7B51F9"/>
    <w:rsid w:val="FEC9138C"/>
    <w:rsid w:val="FED3F37C"/>
    <w:rsid w:val="FEDF15BE"/>
    <w:rsid w:val="FF2F3B05"/>
    <w:rsid w:val="FF387846"/>
    <w:rsid w:val="FF3F01C1"/>
    <w:rsid w:val="FF5D7030"/>
    <w:rsid w:val="FF62C5F8"/>
    <w:rsid w:val="FF6D8DD7"/>
    <w:rsid w:val="FF795B46"/>
    <w:rsid w:val="FFA5587B"/>
    <w:rsid w:val="FFA94DDC"/>
    <w:rsid w:val="FFB77294"/>
    <w:rsid w:val="FFB7CF25"/>
    <w:rsid w:val="FFBF7CDD"/>
    <w:rsid w:val="FFBFD093"/>
    <w:rsid w:val="FFC7AB47"/>
    <w:rsid w:val="FFD5FF80"/>
    <w:rsid w:val="FFDF59E2"/>
    <w:rsid w:val="FFDFF3D7"/>
    <w:rsid w:val="FFE998FC"/>
    <w:rsid w:val="FFEB43A0"/>
    <w:rsid w:val="FFEB66CD"/>
    <w:rsid w:val="FFEE82CE"/>
    <w:rsid w:val="FFEF6346"/>
    <w:rsid w:val="FFEFEBA6"/>
    <w:rsid w:val="FFF9211E"/>
    <w:rsid w:val="FFFBC05C"/>
    <w:rsid w:val="FFFEDBE6"/>
    <w:rsid w:val="FFFF0410"/>
    <w:rsid w:val="FFFF11DA"/>
    <w:rsid w:val="FFFFC40F"/>
    <w:rsid w:val="FFFFF8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style>
  <w:style w:type="paragraph" w:styleId="5">
    <w:name w:val="Body Text"/>
    <w:basedOn w:val="1"/>
    <w:qFormat/>
    <w:uiPriority w:val="1"/>
    <w:pPr>
      <w:ind w:left="220"/>
    </w:pPr>
    <w:rPr>
      <w:sz w:val="32"/>
      <w:szCs w:val="32"/>
    </w:rPr>
  </w:style>
  <w:style w:type="paragraph" w:styleId="6">
    <w:name w:val="Balloon Text"/>
    <w:basedOn w:val="1"/>
    <w:link w:val="22"/>
    <w:qFormat/>
    <w:uiPriority w:val="0"/>
    <w:rPr>
      <w:sz w:val="18"/>
      <w:szCs w:val="18"/>
    </w:rPr>
  </w:style>
  <w:style w:type="paragraph" w:styleId="7">
    <w:name w:val="footer"/>
    <w:basedOn w:val="1"/>
    <w:link w:val="19"/>
    <w:qFormat/>
    <w:uiPriority w:val="0"/>
    <w:pPr>
      <w:tabs>
        <w:tab w:val="center" w:pos="4153"/>
        <w:tab w:val="right" w:pos="8306"/>
      </w:tabs>
      <w:snapToGrid w:val="0"/>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rPr>
      <w:rFonts w:cs="Times New Roman"/>
      <w:sz w:val="24"/>
      <w:lang w:val="en-US" w:bidi="ar-SA"/>
    </w:rPr>
  </w:style>
  <w:style w:type="paragraph" w:styleId="10">
    <w:name w:val="annotation subject"/>
    <w:basedOn w:val="4"/>
    <w:next w:val="4"/>
    <w:link w:val="21"/>
    <w:qFormat/>
    <w:uiPriority w:val="0"/>
    <w:rPr>
      <w:b/>
      <w:bCs/>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Table Paragraph"/>
    <w:basedOn w:val="1"/>
    <w:qFormat/>
    <w:uiPriority w:val="1"/>
  </w:style>
  <w:style w:type="character" w:customStyle="1" w:styleId="18">
    <w:name w:val="页眉 字符"/>
    <w:basedOn w:val="12"/>
    <w:link w:val="8"/>
    <w:qFormat/>
    <w:uiPriority w:val="0"/>
    <w:rPr>
      <w:rFonts w:ascii="仿宋" w:hAnsi="仿宋" w:eastAsia="仿宋" w:cs="仿宋"/>
      <w:sz w:val="18"/>
      <w:szCs w:val="18"/>
      <w:lang w:val="zh-CN" w:bidi="zh-CN"/>
    </w:rPr>
  </w:style>
  <w:style w:type="character" w:customStyle="1" w:styleId="19">
    <w:name w:val="页脚 字符"/>
    <w:basedOn w:val="12"/>
    <w:link w:val="7"/>
    <w:qFormat/>
    <w:uiPriority w:val="0"/>
    <w:rPr>
      <w:rFonts w:ascii="仿宋" w:hAnsi="仿宋" w:eastAsia="仿宋" w:cs="仿宋"/>
      <w:sz w:val="18"/>
      <w:szCs w:val="18"/>
      <w:lang w:val="zh-CN" w:bidi="zh-CN"/>
    </w:rPr>
  </w:style>
  <w:style w:type="character" w:customStyle="1" w:styleId="20">
    <w:name w:val="批注文字 字符"/>
    <w:basedOn w:val="12"/>
    <w:link w:val="4"/>
    <w:qFormat/>
    <w:uiPriority w:val="0"/>
    <w:rPr>
      <w:rFonts w:ascii="仿宋" w:hAnsi="仿宋" w:eastAsia="仿宋" w:cs="仿宋"/>
      <w:sz w:val="22"/>
      <w:szCs w:val="22"/>
      <w:lang w:val="zh-CN" w:bidi="zh-CN"/>
    </w:rPr>
  </w:style>
  <w:style w:type="character" w:customStyle="1" w:styleId="21">
    <w:name w:val="批注主题 字符"/>
    <w:basedOn w:val="20"/>
    <w:link w:val="10"/>
    <w:qFormat/>
    <w:uiPriority w:val="0"/>
    <w:rPr>
      <w:rFonts w:ascii="仿宋" w:hAnsi="仿宋" w:eastAsia="仿宋" w:cs="仿宋"/>
      <w:b/>
      <w:bCs/>
      <w:sz w:val="22"/>
      <w:szCs w:val="22"/>
      <w:lang w:val="zh-CN" w:bidi="zh-CN"/>
    </w:rPr>
  </w:style>
  <w:style w:type="character" w:customStyle="1" w:styleId="22">
    <w:name w:val="批注框文本 字符"/>
    <w:basedOn w:val="12"/>
    <w:link w:val="6"/>
    <w:qFormat/>
    <w:uiPriority w:val="0"/>
    <w:rPr>
      <w:rFonts w:ascii="仿宋" w:hAnsi="仿宋" w:eastAsia="仿宋" w:cs="仿宋"/>
      <w:sz w:val="18"/>
      <w:szCs w:val="18"/>
      <w:lang w:val="zh-CN" w:bidi="zh-CN"/>
    </w:rPr>
  </w:style>
  <w:style w:type="paragraph" w:customStyle="1" w:styleId="23">
    <w:name w:val="msolistparagraph"/>
    <w:basedOn w:val="1"/>
    <w:qFormat/>
    <w:uiPriority w:val="0"/>
    <w:pPr>
      <w:ind w:firstLine="420" w:firstLineChars="200"/>
      <w:jc w:val="both"/>
    </w:pPr>
    <w:rPr>
      <w:rFonts w:ascii="Calibri" w:hAnsi="Calibri" w:eastAsia="宋体" w:cs="Times New Roman"/>
      <w:kern w:val="2"/>
      <w:sz w:val="21"/>
      <w:szCs w:val="24"/>
      <w:lang w:val="en-US" w:bidi="ar-SA"/>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hb\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B9723A3-EB27-48D0-B87C-1406CB2616DC}">
  <ds:schemaRefs/>
</ds:datastoreItem>
</file>

<file path=docProps/app.xml><?xml version="1.0" encoding="utf-8"?>
<Properties xmlns="http://schemas.openxmlformats.org/officeDocument/2006/extended-properties" xmlns:vt="http://schemas.openxmlformats.org/officeDocument/2006/docPropsVTypes">
  <Template>SSEReport</Template>
  <Pages>5</Pages>
  <Words>2555</Words>
  <Characters>2785</Characters>
  <Lines>20</Lines>
  <Paragraphs>5</Paragraphs>
  <TotalTime>27</TotalTime>
  <ScaleCrop>false</ScaleCrop>
  <LinksUpToDate>false</LinksUpToDate>
  <CharactersWithSpaces>2830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2023-11-17T08:40:00Z</dcterms:created>
  <dc:creator>jie.huang</dc:creator>
  <cp:lastModifiedBy>脸姐April</cp:lastModifiedBy>
  <dcterms:modified xsi:type="dcterms:W3CDTF">2025-09-16T10:41:53Z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9F04F34E1D80221B7733C96818A76809_43</vt:lpwstr>
  </property>
  <property fmtid="{D5CDD505-2E9C-101B-9397-08002B2CF9AE}" pid="4" name="KSOTemplateDocerSaveRecord">
    <vt:lpwstr>eyJoZGlkIjoiNTg2ZWU4Nzc4ZTg2MmY4ZDUwMjZhNjZjN2U1YTU2MWUiLCJ1c2VySWQiOiI2MTk1MTgyMzIifQ==</vt:lpwstr>
  </property>
</Properties>
</file>