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FE3AD">
      <w:pPr>
        <w:jc w:val="left"/>
        <w:rPr>
          <w:rFonts w:hint="default" w:ascii="宋体" w:hAnsi="宋体"/>
          <w:sz w:val="24"/>
          <w:szCs w:val="24"/>
          <w:lang w:val="en-US"/>
        </w:rPr>
      </w:pPr>
      <w:r>
        <w:rPr>
          <w:rFonts w:hint="eastAsia" w:ascii="宋体" w:hAnsi="宋体"/>
          <w:sz w:val="24"/>
          <w:szCs w:val="24"/>
        </w:rPr>
        <w:t>证券代码：</w:t>
      </w:r>
      <w:r>
        <w:rPr>
          <w:rFonts w:hint="default" w:ascii="宋体" w:hAnsi="宋体"/>
          <w:sz w:val="24"/>
          <w:szCs w:val="24"/>
          <w:lang w:val="en-US"/>
        </w:rPr>
        <w:t>600076</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公司简称：</w:t>
      </w:r>
      <w:r>
        <w:rPr>
          <w:rFonts w:hint="default" w:ascii="宋体" w:hAnsi="宋体"/>
          <w:sz w:val="24"/>
          <w:szCs w:val="24"/>
          <w:lang w:val="en-US"/>
        </w:rPr>
        <w:t>康欣新材</w:t>
      </w:r>
    </w:p>
    <w:p w14:paraId="7B41A5A2">
      <w:pPr>
        <w:jc w:val="center"/>
        <w:rPr>
          <w:rFonts w:hint="eastAsia" w:ascii="黑体" w:hAnsi="黑体" w:eastAsia="黑体"/>
          <w:sz w:val="36"/>
          <w:szCs w:val="36"/>
        </w:rPr>
      </w:pPr>
      <w:r>
        <w:rPr>
          <w:rFonts w:hint="eastAsia" w:ascii="黑体" w:hAnsi="黑体" w:eastAsia="黑体"/>
          <w:sz w:val="36"/>
          <w:szCs w:val="36"/>
        </w:rPr>
        <w:t>康</w:t>
      </w:r>
      <w:bookmarkStart w:id="0" w:name="_GoBack"/>
      <w:bookmarkEnd w:id="0"/>
      <w:r>
        <w:rPr>
          <w:rFonts w:hint="eastAsia" w:ascii="黑体" w:hAnsi="黑体" w:eastAsia="黑体"/>
          <w:sz w:val="36"/>
          <w:szCs w:val="36"/>
        </w:rPr>
        <w:t>欣新材料股份有限公司</w:t>
      </w:r>
    </w:p>
    <w:p w14:paraId="2ABC8CE5">
      <w:pPr>
        <w:jc w:val="center"/>
        <w:rPr>
          <w:rFonts w:ascii="黑体" w:hAnsi="黑体" w:eastAsia="黑体"/>
          <w:sz w:val="36"/>
          <w:szCs w:val="36"/>
        </w:rPr>
      </w:pPr>
      <w:r>
        <w:rPr>
          <w:rFonts w:hint="eastAsia" w:ascii="黑体" w:hAnsi="黑体" w:eastAsia="黑体"/>
          <w:sz w:val="36"/>
          <w:szCs w:val="36"/>
        </w:rPr>
        <w:t>投资者关系活动记录表</w:t>
      </w:r>
    </w:p>
    <w:p w14:paraId="6BF2BC94">
      <w:pPr>
        <w:jc w:val="center"/>
        <w:rPr>
          <w:rFonts w:ascii="黑体" w:hAnsi="黑体" w:eastAsia="黑体"/>
          <w:sz w:val="24"/>
          <w:szCs w:val="24"/>
        </w:rPr>
      </w:pPr>
    </w:p>
    <w:p w14:paraId="1F75C16A">
      <w:pPr>
        <w:ind w:right="720"/>
        <w:jc w:val="right"/>
        <w:rPr>
          <w:rFonts w:hint="default" w:ascii="黑体" w:hAnsi="黑体" w:eastAsia="黑体"/>
          <w:sz w:val="24"/>
          <w:szCs w:val="24"/>
          <w:lang w:val="en-US"/>
        </w:rPr>
      </w:pPr>
      <w:r>
        <w:rPr>
          <w:rFonts w:hint="eastAsia" w:ascii="黑体" w:hAnsi="黑体" w:eastAsia="黑体"/>
          <w:sz w:val="24"/>
          <w:szCs w:val="24"/>
        </w:rPr>
        <w:t>编号：</w:t>
      </w:r>
      <w:r>
        <w:rPr>
          <w:rFonts w:hint="default" w:ascii="黑体" w:hAnsi="黑体" w:eastAsia="黑体"/>
          <w:sz w:val="24"/>
          <w:szCs w:val="24"/>
          <w:lang w:val="en-US"/>
        </w:rPr>
        <w:t>002</w:t>
      </w:r>
    </w:p>
    <w:tbl>
      <w:tblPr>
        <w:tblStyle w:val="4"/>
        <w:tblW w:w="87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7191"/>
      </w:tblGrid>
      <w:tr w14:paraId="1FC09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69DE7AFE">
            <w:pPr>
              <w:rPr>
                <w:sz w:val="24"/>
                <w:szCs w:val="24"/>
              </w:rPr>
            </w:pPr>
            <w:r>
              <w:rPr>
                <w:rFonts w:hint="eastAsia"/>
                <w:sz w:val="24"/>
                <w:szCs w:val="24"/>
              </w:rPr>
              <w:t>投资者关系活动类别</w:t>
            </w:r>
          </w:p>
        </w:tc>
        <w:tc>
          <w:tcPr>
            <w:tcW w:w="7191" w:type="dxa"/>
            <w:noWrap w:val="0"/>
            <w:vAlign w:val="center"/>
          </w:tcPr>
          <w:p w14:paraId="576EEDDC">
            <w:pPr>
              <w:spacing w:line="360" w:lineRule="auto"/>
              <w:rPr>
                <w:rFonts w:hint="eastAsia"/>
                <w:sz w:val="24"/>
                <w:szCs w:val="24"/>
              </w:rPr>
            </w:pPr>
            <w:r>
              <w:rPr>
                <w:rFonts w:hint="eastAsia" w:ascii="宋体" w:hAnsi="宋体" w:eastAsia="宋体" w:cs="宋体"/>
                <w:sz w:val="24"/>
                <w:szCs w:val="24"/>
                <w:highlight w:val="none"/>
              </w:rPr>
              <w:t>业绩说明会</w:t>
            </w:r>
          </w:p>
        </w:tc>
      </w:tr>
      <w:tr w14:paraId="6D6DD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591A1275">
            <w:pPr>
              <w:rPr>
                <w:sz w:val="24"/>
                <w:szCs w:val="24"/>
              </w:rPr>
            </w:pPr>
            <w:r>
              <w:rPr>
                <w:rFonts w:hint="eastAsia"/>
                <w:sz w:val="24"/>
                <w:szCs w:val="24"/>
              </w:rPr>
              <w:t>活动主题</w:t>
            </w:r>
          </w:p>
        </w:tc>
        <w:tc>
          <w:tcPr>
            <w:tcW w:w="7191" w:type="dxa"/>
            <w:noWrap w:val="0"/>
            <w:vAlign w:val="center"/>
          </w:tcPr>
          <w:p w14:paraId="5968EFA8">
            <w:pPr>
              <w:rPr>
                <w:sz w:val="24"/>
                <w:szCs w:val="24"/>
              </w:rPr>
            </w:pPr>
            <w:r>
              <w:rPr>
                <w:rFonts w:hint="eastAsia" w:ascii="宋体" w:hAnsi="宋体" w:eastAsia="宋体" w:cs="宋体"/>
                <w:bCs/>
                <w:iCs/>
                <w:color w:val="000000"/>
                <w:sz w:val="24"/>
                <w:highlight w:val="none"/>
                <w:lang w:val="en-GB"/>
              </w:rPr>
              <w:t>康欣新材2025年半年度业绩说明会</w:t>
            </w:r>
          </w:p>
        </w:tc>
      </w:tr>
      <w:tr w14:paraId="41A23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1526" w:type="dxa"/>
            <w:noWrap w:val="0"/>
            <w:vAlign w:val="center"/>
          </w:tcPr>
          <w:p w14:paraId="0FD1EED3">
            <w:pPr>
              <w:rPr>
                <w:sz w:val="24"/>
                <w:szCs w:val="24"/>
              </w:rPr>
            </w:pPr>
            <w:r>
              <w:rPr>
                <w:rFonts w:hint="eastAsia"/>
                <w:sz w:val="24"/>
                <w:szCs w:val="24"/>
              </w:rPr>
              <w:t>时间</w:t>
            </w:r>
          </w:p>
        </w:tc>
        <w:tc>
          <w:tcPr>
            <w:tcW w:w="7191" w:type="dxa"/>
            <w:noWrap w:val="0"/>
            <w:vAlign w:val="center"/>
          </w:tcPr>
          <w:p w14:paraId="3C3D059D">
            <w:pPr>
              <w:rPr>
                <w:rFonts w:hint="eastAsia"/>
                <w:sz w:val="24"/>
                <w:szCs w:val="24"/>
              </w:rPr>
            </w:pPr>
            <w:r>
              <w:rPr>
                <w:rFonts w:hint="eastAsia" w:ascii="宋体" w:hAnsi="宋体" w:eastAsia="宋体" w:cs="宋体"/>
                <w:bCs/>
                <w:iCs/>
                <w:color w:val="000000"/>
                <w:sz w:val="24"/>
                <w:highlight w:val="none"/>
              </w:rPr>
              <w:t>2025-09-17 - 09:00-10:00</w:t>
            </w:r>
          </w:p>
        </w:tc>
      </w:tr>
      <w:tr w14:paraId="6E042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2035D6B8">
            <w:pPr>
              <w:rPr>
                <w:sz w:val="24"/>
                <w:szCs w:val="24"/>
              </w:rPr>
            </w:pPr>
            <w:r>
              <w:rPr>
                <w:rFonts w:hint="eastAsia"/>
                <w:sz w:val="24"/>
                <w:szCs w:val="24"/>
              </w:rPr>
              <w:t>地点</w:t>
            </w:r>
            <w:r>
              <w:rPr>
                <w:rFonts w:hint="eastAsia" w:ascii="宋体" w:hAnsi="宋体"/>
                <w:sz w:val="24"/>
                <w:szCs w:val="24"/>
              </w:rPr>
              <w:t>/</w:t>
            </w:r>
            <w:r>
              <w:rPr>
                <w:rFonts w:hint="eastAsia"/>
                <w:sz w:val="24"/>
                <w:szCs w:val="24"/>
              </w:rPr>
              <w:t>方式</w:t>
            </w:r>
          </w:p>
        </w:tc>
        <w:tc>
          <w:tcPr>
            <w:tcW w:w="7191" w:type="dxa"/>
            <w:noWrap w:val="0"/>
            <w:vAlign w:val="top"/>
          </w:tcPr>
          <w:p w14:paraId="1891059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sz w:val="24"/>
              </w:rPr>
            </w:pPr>
            <w:r>
              <w:rPr>
                <w:rFonts w:hint="eastAsia" w:ascii="宋体" w:hAnsi="宋体"/>
                <w:bCs/>
                <w:sz w:val="24"/>
              </w:rPr>
              <w:t xml:space="preserve">上证路演中心 </w:t>
            </w:r>
            <w:r>
              <w:fldChar w:fldCharType="begin"/>
            </w:r>
            <w:r>
              <w:instrText xml:space="preserve"> HYPERLINK "https://roadshow.sseinfo.com" </w:instrText>
            </w:r>
            <w:r>
              <w:fldChar w:fldCharType="separate"/>
            </w:r>
            <w:r>
              <w:rPr>
                <w:rStyle w:val="6"/>
                <w:rFonts w:hint="eastAsia" w:ascii="宋体" w:hAnsi="宋体"/>
                <w:bCs/>
                <w:sz w:val="24"/>
              </w:rPr>
              <w:t>https://roadshow.sseinfo.com</w:t>
            </w:r>
            <w:r>
              <w:rPr>
                <w:rStyle w:val="6"/>
                <w:rFonts w:hint="eastAsia" w:ascii="宋体" w:hAnsi="宋体"/>
                <w:bCs/>
                <w:sz w:val="24"/>
              </w:rPr>
              <w:fldChar w:fldCharType="end"/>
            </w:r>
          </w:p>
          <w:p w14:paraId="6DBA47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ascii="宋体" w:hAnsi="宋体"/>
                <w:bCs/>
                <w:sz w:val="24"/>
              </w:rPr>
              <w:t>网络文字互动</w:t>
            </w:r>
          </w:p>
        </w:tc>
      </w:tr>
      <w:tr w14:paraId="319F1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65CFD7DF">
            <w:pPr>
              <w:rPr>
                <w:sz w:val="24"/>
                <w:szCs w:val="24"/>
              </w:rPr>
            </w:pPr>
            <w:r>
              <w:rPr>
                <w:rFonts w:hint="eastAsia"/>
                <w:sz w:val="24"/>
                <w:szCs w:val="24"/>
              </w:rPr>
              <w:t>参会人员</w:t>
            </w:r>
          </w:p>
        </w:tc>
        <w:tc>
          <w:tcPr>
            <w:tcW w:w="7191" w:type="dxa"/>
            <w:noWrap w:val="0"/>
            <w:vAlign w:val="center"/>
          </w:tcPr>
          <w:p w14:paraId="504E977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董事长：邵建东</w:t>
            </w:r>
            <w:r>
              <w:rPr>
                <w:rFonts w:hint="eastAsia" w:ascii="宋体" w:hAnsi="宋体" w:cs="宋体"/>
                <w:sz w:val="24"/>
                <w:szCs w:val="24"/>
                <w:lang w:val="en-US" w:eastAsia="zh-CN"/>
              </w:rPr>
              <w:t>先生</w:t>
            </w:r>
          </w:p>
          <w:p w14:paraId="7F27BF01">
            <w:pPr>
              <w:spacing w:line="360" w:lineRule="auto"/>
              <w:rPr>
                <w:rFonts w:hint="eastAsia" w:ascii="宋体" w:hAnsi="宋体" w:eastAsia="宋体" w:cs="宋体"/>
                <w:sz w:val="24"/>
                <w:szCs w:val="24"/>
              </w:rPr>
            </w:pPr>
            <w:r>
              <w:rPr>
                <w:rFonts w:hint="eastAsia" w:ascii="宋体" w:hAnsi="宋体" w:eastAsia="宋体" w:cs="宋体"/>
                <w:sz w:val="24"/>
                <w:szCs w:val="24"/>
              </w:rPr>
              <w:t>董事、总经理：汤晓超</w:t>
            </w:r>
            <w:r>
              <w:rPr>
                <w:rFonts w:hint="eastAsia" w:ascii="宋体" w:hAnsi="宋体" w:cs="宋体"/>
                <w:sz w:val="24"/>
                <w:szCs w:val="24"/>
                <w:lang w:val="en-US" w:eastAsia="zh-CN"/>
              </w:rPr>
              <w:t>先生</w:t>
            </w:r>
          </w:p>
          <w:p w14:paraId="76B0B94B">
            <w:pPr>
              <w:spacing w:line="360" w:lineRule="auto"/>
              <w:rPr>
                <w:rFonts w:hint="eastAsia" w:ascii="宋体" w:hAnsi="宋体" w:eastAsia="宋体" w:cs="宋体"/>
                <w:sz w:val="24"/>
                <w:szCs w:val="24"/>
              </w:rPr>
            </w:pPr>
            <w:r>
              <w:rPr>
                <w:rFonts w:hint="eastAsia" w:ascii="宋体" w:hAnsi="宋体" w:eastAsia="宋体" w:cs="宋体"/>
                <w:sz w:val="24"/>
                <w:szCs w:val="24"/>
              </w:rPr>
              <w:t>董事、副总经理、财务总监、董事会秘书：黄亮</w:t>
            </w:r>
            <w:r>
              <w:rPr>
                <w:rFonts w:hint="eastAsia" w:ascii="宋体" w:hAnsi="宋体" w:cs="宋体"/>
                <w:sz w:val="24"/>
                <w:szCs w:val="24"/>
                <w:lang w:val="en-US" w:eastAsia="zh-CN"/>
              </w:rPr>
              <w:t>先生</w:t>
            </w:r>
          </w:p>
          <w:p w14:paraId="48A37291">
            <w:pPr>
              <w:spacing w:line="360" w:lineRule="auto"/>
              <w:rPr>
                <w:rFonts w:hint="eastAsia" w:eastAsia="宋体"/>
                <w:sz w:val="24"/>
                <w:szCs w:val="24"/>
                <w:lang w:val="en-US" w:eastAsia="zh-CN"/>
              </w:rPr>
            </w:pPr>
            <w:r>
              <w:rPr>
                <w:rFonts w:hint="eastAsia" w:ascii="宋体" w:hAnsi="宋体" w:eastAsia="宋体" w:cs="宋体"/>
                <w:sz w:val="24"/>
                <w:szCs w:val="24"/>
              </w:rPr>
              <w:t>独立董事：冯凯燕</w:t>
            </w:r>
            <w:r>
              <w:rPr>
                <w:rFonts w:hint="eastAsia" w:ascii="宋体" w:hAnsi="宋体" w:cs="宋体"/>
                <w:sz w:val="24"/>
                <w:szCs w:val="24"/>
                <w:lang w:val="en-US" w:eastAsia="zh-CN"/>
              </w:rPr>
              <w:t>女士</w:t>
            </w:r>
          </w:p>
        </w:tc>
      </w:tr>
      <w:tr w14:paraId="21071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26" w:type="dxa"/>
            <w:noWrap w:val="0"/>
            <w:vAlign w:val="center"/>
          </w:tcPr>
          <w:p w14:paraId="449083D1">
            <w:pPr>
              <w:rPr>
                <w:sz w:val="24"/>
                <w:szCs w:val="24"/>
              </w:rPr>
            </w:pPr>
            <w:r>
              <w:rPr>
                <w:rFonts w:hint="eastAsia"/>
                <w:sz w:val="24"/>
                <w:szCs w:val="24"/>
              </w:rPr>
              <w:t>投资者关系活动主要内容介绍</w:t>
            </w:r>
          </w:p>
        </w:tc>
        <w:tc>
          <w:tcPr>
            <w:tcW w:w="7191" w:type="dxa"/>
            <w:noWrap w:val="0"/>
            <w:vAlign w:val="top"/>
          </w:tcPr>
          <w:p w14:paraId="6994328A">
            <w:pPr>
              <w:keepNext w:val="0"/>
              <w:keepLines w:val="0"/>
              <w:pageBreakBefore w:val="0"/>
              <w:widowControl w:val="0"/>
              <w:kinsoku/>
              <w:wordWrap/>
              <w:overflowPunct/>
              <w:topLinePunct w:val="0"/>
              <w:autoSpaceDE/>
              <w:autoSpaceDN/>
              <w:bidi w:val="0"/>
              <w:adjustRightInd/>
              <w:snapToGrid/>
              <w:spacing w:before="156" w:beforeLines="50" w:line="360" w:lineRule="auto"/>
              <w:jc w:val="center"/>
              <w:textAlignment w:val="auto"/>
              <w:rPr>
                <w:rFonts w:hint="eastAsia" w:ascii="宋体" w:hAnsi="宋体"/>
                <w:b/>
                <w:sz w:val="24"/>
              </w:rPr>
            </w:pPr>
            <w:r>
              <w:rPr>
                <w:rFonts w:hint="eastAsia" w:ascii="宋体" w:hAnsi="宋体"/>
                <w:b/>
                <w:sz w:val="24"/>
              </w:rPr>
              <w:t>投资者关系活动主要内容</w:t>
            </w:r>
          </w:p>
          <w:p w14:paraId="3A7EE4B1">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hint="default" w:ascii="宋体"/>
                <w:sz w:val="24"/>
                <w:lang w:val="en-US"/>
              </w:rPr>
              <w:t>1、请问董事长，公司林业碳汇项目会考虑非公司自有的林地吗？</w:t>
            </w:r>
          </w:p>
          <w:p w14:paraId="0B4DF0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b/>
                <w:bCs/>
                <w:sz w:val="24"/>
                <w:lang w:val="en-US"/>
              </w:rPr>
            </w:pPr>
            <w:r>
              <w:rPr>
                <w:rFonts w:hint="default" w:ascii="宋体"/>
                <w:b/>
                <w:bCs/>
                <w:sz w:val="24"/>
                <w:lang w:val="en-US"/>
              </w:rPr>
              <w:t>答:您好，感谢您的建议，您的建议我们会转告相关部门同事，后续我们将会根据林业碳汇项目实施进展，及时披露相关公告。</w:t>
            </w:r>
          </w:p>
          <w:p w14:paraId="434F7FD6">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hint="default" w:ascii="宋体"/>
                <w:sz w:val="24"/>
                <w:lang w:val="en-US"/>
              </w:rPr>
              <w:t>2、湖北天欣木结构房制造有限公司股权转让对公司木结构房屋业务有何影响？</w:t>
            </w:r>
          </w:p>
          <w:p w14:paraId="40595F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b/>
                <w:bCs/>
                <w:sz w:val="24"/>
                <w:lang w:val="en-US"/>
              </w:rPr>
            </w:pPr>
            <w:r>
              <w:rPr>
                <w:rFonts w:hint="default" w:ascii="宋体"/>
                <w:b/>
                <w:bCs/>
                <w:sz w:val="24"/>
                <w:lang w:val="en-US"/>
              </w:rPr>
              <w:t>答:您好，公司将优化和调配装配式木结构业务产业链相关资源，通过设计、施工等轻资产业务发展木结构业务，提升装配式木结构业务市场竞争力。感谢您对公司的关注！</w:t>
            </w:r>
          </w:p>
          <w:p w14:paraId="24495EE1">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hint="default" w:ascii="宋体"/>
                <w:sz w:val="24"/>
                <w:lang w:val="en-US"/>
              </w:rPr>
              <w:t>3、公司如何根据自身优势和市场需求来制定和实施这些发展目标？</w:t>
            </w:r>
          </w:p>
          <w:p w14:paraId="1D90F1D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b/>
                <w:bCs/>
                <w:sz w:val="24"/>
                <w:lang w:val="en-US"/>
              </w:rPr>
            </w:pPr>
            <w:r>
              <w:rPr>
                <w:rFonts w:hint="default" w:ascii="宋体"/>
                <w:b/>
                <w:bCs/>
                <w:sz w:val="24"/>
                <w:lang w:val="en-US"/>
              </w:rPr>
              <w:t>答:您好，近一年来公司进行了股份回购、管理层增持、控股股东增持等一系列增强信心的行为。未来公司也将通过加大市场开拓、加强科技创新、提升管理效能、降本增效等一系列措施积极推进业务发展，提升公司业绩。感谢您对公司的关注！</w:t>
            </w:r>
          </w:p>
          <w:p w14:paraId="230F6E93">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hint="default" w:ascii="宋体"/>
                <w:sz w:val="24"/>
                <w:lang w:val="en-US"/>
              </w:rPr>
              <w:t>4、请问现在林地碳汇及相关项目发展的情况如何？未来预期如何？</w:t>
            </w:r>
          </w:p>
          <w:p w14:paraId="445E8D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b/>
                <w:bCs/>
                <w:sz w:val="24"/>
                <w:lang w:val="en-US"/>
              </w:rPr>
            </w:pPr>
            <w:r>
              <w:rPr>
                <w:rFonts w:hint="default" w:ascii="宋体"/>
                <w:b/>
                <w:bCs/>
                <w:sz w:val="24"/>
                <w:lang w:val="en-US"/>
              </w:rPr>
              <w:t>答:您好，在碳汇业务方面，公司在与第三方单位签署战略合作协议基础上，共同合作推进森林碳汇项目开发。公司正积极研究相关政策，后续待国家相关森林碳汇方法学出台后，进一步开发自有林业碳汇资源，抓住机遇实现公司价值最大化。感谢您对公司的关注！</w:t>
            </w:r>
          </w:p>
          <w:p w14:paraId="55F41F84">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hint="default" w:ascii="宋体"/>
                <w:sz w:val="24"/>
                <w:lang w:val="en-US"/>
              </w:rPr>
              <w:t>5、国家目前积极鼓励上市公司通过兼并重组、资产注入等做大做强，今年2月份公司董事会年度估值提升计划后好像后续动作了？请问接下来有什么具体举措来提升估值？</w:t>
            </w:r>
          </w:p>
          <w:p w14:paraId="22AA480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b/>
                <w:bCs/>
                <w:sz w:val="24"/>
                <w:lang w:val="en-US"/>
              </w:rPr>
            </w:pPr>
            <w:r>
              <w:rPr>
                <w:rFonts w:hint="default" w:ascii="宋体"/>
                <w:b/>
                <w:bCs/>
                <w:sz w:val="24"/>
                <w:lang w:val="en-US"/>
              </w:rPr>
              <w:t>答:您好，公司在积极探索并购重组机会，相关工作有明确进展时，公司会按照相关要求进行披露。公司将根据市场和行业的变化，并结合公司实际在优化形成的产业布局基础上，积极推进业务发展。目前重点发展的业务有集装箱地板、木结构绿色建筑、林下经济、民用板等，未来公司也将通过加大市场开拓、加强科技创新、提升管理效能等一系列措施积极推进业务发展，提升公司业绩。公司积极关注市场变化和行业趋势，及时调整经营策略，以应对各种风险和挑战。同时，控股股东继续实施股票增持工作。感谢您对公司的关注！</w:t>
            </w:r>
          </w:p>
          <w:p w14:paraId="5E927B6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sz w:val="24"/>
                <w:lang w:val="en-US"/>
              </w:rPr>
            </w:pPr>
            <w:r>
              <w:rPr>
                <w:rFonts w:hint="eastAsia" w:ascii="宋体"/>
                <w:sz w:val="24"/>
                <w:lang w:val="en-US" w:eastAsia="zh-CN"/>
              </w:rPr>
              <w:t>6、</w:t>
            </w:r>
            <w:r>
              <w:rPr>
                <w:rFonts w:hint="default" w:ascii="宋体"/>
                <w:sz w:val="24"/>
                <w:lang w:val="en-US"/>
              </w:rPr>
              <w:t>湖北天欣木结构房制造有限公司股权转让完成没有？</w:t>
            </w:r>
          </w:p>
          <w:p w14:paraId="5BB17A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b/>
                <w:bCs/>
                <w:sz w:val="24"/>
                <w:lang w:val="en-US"/>
              </w:rPr>
            </w:pPr>
            <w:r>
              <w:rPr>
                <w:rFonts w:hint="default" w:ascii="宋体"/>
                <w:b/>
                <w:bCs/>
                <w:sz w:val="24"/>
                <w:lang w:val="en-US"/>
              </w:rPr>
              <w:t>答：您好</w:t>
            </w:r>
            <w:r>
              <w:rPr>
                <w:rFonts w:hint="eastAsia" w:ascii="宋体"/>
                <w:b/>
                <w:bCs/>
                <w:sz w:val="24"/>
                <w:lang w:val="en-US" w:eastAsia="zh-CN"/>
              </w:rPr>
              <w:t>，</w:t>
            </w:r>
            <w:r>
              <w:rPr>
                <w:rFonts w:hint="default" w:ascii="宋体"/>
                <w:b/>
                <w:bCs/>
                <w:sz w:val="24"/>
                <w:lang w:val="en-US"/>
              </w:rPr>
              <w:t>公司目前正在推进湖北天欣木结构房制造有限公司60%股权转让事宜，待有明确进展时，公司会及时进行公告。感谢您对公司的关注！</w:t>
            </w:r>
          </w:p>
          <w:p w14:paraId="332FF5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sz w:val="24"/>
                <w:lang w:val="en-US" w:eastAsia="zh-CN"/>
              </w:rPr>
            </w:pPr>
            <w:r>
              <w:rPr>
                <w:rFonts w:hint="eastAsia" w:ascii="宋体"/>
                <w:sz w:val="24"/>
                <w:lang w:val="en-US" w:eastAsia="zh-CN"/>
              </w:rPr>
              <w:t>7、公司注册地变更进行到哪一步了？还需要多长时间？</w:t>
            </w:r>
          </w:p>
          <w:p w14:paraId="1E35A4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b/>
                <w:bCs/>
                <w:sz w:val="24"/>
                <w:lang w:val="en-US"/>
              </w:rPr>
            </w:pPr>
            <w:r>
              <w:rPr>
                <w:rFonts w:hint="default" w:ascii="宋体"/>
                <w:b/>
                <w:bCs/>
                <w:sz w:val="24"/>
                <w:lang w:val="en-US"/>
              </w:rPr>
              <w:t>答：您好，公司一直在积极推进注册地变更的相关事宜，但变更注册地确实是一项有一定难度的工作，相关工作有明确进展时，公司会按照要求进行披露。感谢您对公司的关注！</w:t>
            </w:r>
          </w:p>
          <w:p w14:paraId="339C6D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sz w:val="24"/>
                <w:lang w:val="en-US" w:eastAsia="zh-CN"/>
              </w:rPr>
            </w:pPr>
            <w:r>
              <w:rPr>
                <w:rFonts w:hint="eastAsia" w:ascii="宋体"/>
                <w:sz w:val="24"/>
                <w:lang w:val="en-US" w:eastAsia="zh-CN"/>
              </w:rPr>
              <w:t>8、请问董事长：1、请问公司碳汇有真实交易了吗？2、贵公司中报上提示，对接头部机构，协同券商研究重组方案，请问该事项有没有时间表，或者具体推进到什么程度了？3、贵公司中报上提示，围绕国家政策及集团主责主业，请问贵公司的转型方向？机器人？算力？新能源？刚好可以整合贵公司旗下的企业</w:t>
            </w:r>
          </w:p>
          <w:p w14:paraId="59E621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b/>
                <w:bCs/>
                <w:sz w:val="24"/>
                <w:lang w:val="en-US"/>
              </w:rPr>
            </w:pPr>
            <w:r>
              <w:rPr>
                <w:rFonts w:hint="default" w:ascii="宋体"/>
                <w:b/>
                <w:bCs/>
                <w:sz w:val="24"/>
                <w:lang w:val="en-US"/>
              </w:rPr>
              <w:t>答：您好，在碳汇业务方面，公司在与第三方单位签署战略合作协议基础上，共同合作推进森林碳汇项目开发。公司正积极研究相关政策，后续待国家相关森林碳汇方法学出台后，进一步开发自有林业碳汇资源，抓住机遇实现公司价值最大化。公司在积极探索并购重组机会，相关工作有明确进展时，公司会按照相关要求进行披露。感谢您对公司的关注！</w:t>
            </w:r>
          </w:p>
          <w:p w14:paraId="13BAA7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sz w:val="24"/>
                <w:lang w:val="en-US" w:eastAsia="zh-CN"/>
              </w:rPr>
            </w:pPr>
            <w:r>
              <w:rPr>
                <w:rFonts w:hint="eastAsia" w:ascii="宋体"/>
                <w:sz w:val="24"/>
                <w:lang w:val="en-US" w:eastAsia="zh-CN"/>
              </w:rPr>
              <w:t>9、无锡国资委2019年入驻康欣新材以来，累计投入超20亿元。加上时间成本可以说，无锡国资委损失惨重。难道无锡国资委无任何作为任凭国有资产流失？感觉公司目前就是保壳不让退市。希望公司领导层拿出担当把公司做大做强，不要辜负我们中小投资者希望。谢谢！</w:t>
            </w:r>
          </w:p>
          <w:p w14:paraId="6291C2F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b/>
                <w:bCs/>
                <w:sz w:val="24"/>
                <w:lang w:val="en-US"/>
              </w:rPr>
            </w:pPr>
            <w:r>
              <w:rPr>
                <w:rFonts w:hint="default" w:ascii="宋体"/>
                <w:b/>
                <w:bCs/>
                <w:sz w:val="24"/>
                <w:lang w:val="en-US"/>
              </w:rPr>
              <w:t>答：您好</w:t>
            </w:r>
            <w:r>
              <w:rPr>
                <w:rFonts w:hint="eastAsia" w:ascii="宋体"/>
                <w:b/>
                <w:bCs/>
                <w:sz w:val="24"/>
                <w:lang w:val="en-US" w:eastAsia="zh-CN"/>
              </w:rPr>
              <w:t>，</w:t>
            </w:r>
            <w:r>
              <w:rPr>
                <w:rFonts w:hint="default" w:ascii="宋体"/>
                <w:b/>
                <w:bCs/>
                <w:sz w:val="24"/>
                <w:lang w:val="en-US"/>
              </w:rPr>
              <w:t>无锡建发作为上市公司的控股股东积极履行权利及义务，在战略、资本、管理等方面为上市公司的长期发展提供支持，积极利用自身的管理、资信等优势持续助力了上市公司的发展。同时，也将进一步强化上市公司与无锡建发业务的协同发展，充分发挥协同效应，谋求长期、健康发展，为全体股东带来良好回报。近年来，公司正在通过加大市场开拓、加强科技创新、提升管理效能、强化成本管控等措施来提高现有业务的盈利能力，同时推进木结构建筑、林下经济等新业务布局，培育未来增长点。公司拟通过提升经营效率、积极寻找并购重组机会、实施股份回购及股东增持、优化信息披露与投资者关系管理等举措，提升公司投资价值和股东回报能力，推动公司投资价值合理反映公司质量，增强投资者信心、维护全体股东利益，促进公司高质量发展。同时，公司积极关注市场变化和行业趋势，及时调整经营策略，以应对各种风险和挑战。控股股东也在积极探索并购重组机会，通过产业整合和转型升级，从根本上提升上市公司的盈利能力和核心竞争力。感谢您对公司的关注！</w:t>
            </w:r>
          </w:p>
          <w:p w14:paraId="0B8DCDB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sz w:val="24"/>
                <w:lang w:val="en-US" w:eastAsia="zh-CN"/>
              </w:rPr>
            </w:pPr>
            <w:r>
              <w:rPr>
                <w:rFonts w:hint="eastAsia" w:ascii="宋体"/>
                <w:sz w:val="24"/>
                <w:lang w:val="en-US" w:eastAsia="zh-CN"/>
              </w:rPr>
              <w:t>10、关于康欣新材公告称“公司控股股东或子公司向公司或子公司提供不超过15亿元人民借款”之事项，请问：什么时间能落实到位？具体用途是什么？</w:t>
            </w:r>
          </w:p>
          <w:p w14:paraId="40B8A2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rPr>
            </w:pPr>
            <w:r>
              <w:rPr>
                <w:rFonts w:hint="default" w:ascii="宋体"/>
                <w:b/>
                <w:bCs/>
                <w:sz w:val="24"/>
                <w:lang w:val="en-US"/>
              </w:rPr>
              <w:t>答：您好，2025年5月20日，公司召开2024年年度股东大会，审议通过了《关于控股股东或其子公司为公司或子公司提供借款额度暨关联交易的议案》。2025年6月26日，公司召开2025年第一次临时股东大会，审议通过了《关于修改控股股东或其子公司为公司或子公司提供借款额度暨关联交易的议案》，公司控股股东或其控股子公司拟向公司或子公司提供的借款额度由不超过10亿元人民币增加至不超过15亿元人民币。自相关事项经2024年年度股东大会审议通过以来，截至目前，公司向控股股东新增借款金额4.18亿元，公司会根据自身实际经营和财务情况使用控股股东提供的借款额度。公司向控股股东借款主要用于置换原有其他金融机构借入的较高成本借款，降低公司资金成本，减少经营负担，同时补充流动资金。感谢您对公司的关注！</w:t>
            </w:r>
          </w:p>
        </w:tc>
      </w:tr>
    </w:tbl>
    <w:p w14:paraId="33F2860A">
      <w:pPr>
        <w:rPr>
          <w:rFonts w:hint="eastAsia"/>
        </w:rPr>
      </w:pPr>
    </w:p>
    <w:p w14:paraId="0D195DE4"/>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41F3C">
    <w:pPr>
      <w:pStyle w:val="2"/>
      <w:tabs>
        <w:tab w:val="clear" w:pos="4153"/>
      </w:tabs>
      <w:jc w:val="right"/>
    </w:pPr>
    <w:r>
      <w:rPr>
        <w:rFonts w:hint="eastAsia"/>
      </w:rPr>
      <w:t>康欣新材料股份有限公司投资者关系活动记录表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TlhNGJhZTk1YmZkMTc2MTM0MTg2MGI3NTFmMTEifQ=="/>
  </w:docVars>
  <w:rsids>
    <w:rsidRoot w:val="00000000"/>
    <w:rsid w:val="02C14FDC"/>
    <w:rsid w:val="0B3D3A17"/>
    <w:rsid w:val="1CB2496B"/>
    <w:rsid w:val="278C564A"/>
    <w:rsid w:val="2E27084C"/>
    <w:rsid w:val="415428DD"/>
    <w:rsid w:val="440C3DB3"/>
    <w:rsid w:val="4EE41C2E"/>
    <w:rsid w:val="504A1A7A"/>
    <w:rsid w:val="51946174"/>
    <w:rsid w:val="52734B8D"/>
    <w:rsid w:val="55191A1B"/>
    <w:rsid w:val="61B42C51"/>
    <w:rsid w:val="670E1BEF"/>
    <w:rsid w:val="78000A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Hyperlink"/>
    <w:basedOn w:val="5"/>
    <w:unhideWhenUsed/>
    <w:qFormat/>
    <w:uiPriority w:val="99"/>
    <w:rPr>
      <w:color w:val="0563C1"/>
      <w:u w:val="single"/>
    </w:rPr>
  </w:style>
  <w:style w:type="paragraph" w:customStyle="1" w:styleId="7">
    <w:name w:val="_Style 6"/>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2402</Words>
  <Characters>2488</Characters>
  <Lines>0</Lines>
  <Paragraphs>0</Paragraphs>
  <TotalTime>3</TotalTime>
  <ScaleCrop>false</ScaleCrop>
  <LinksUpToDate>false</LinksUpToDate>
  <CharactersWithSpaces>2518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2023-06-30T02:03:00Z</dcterms:created>
  <dc:creator>Administrator</dc:creator>
  <cp:lastModifiedBy>周俊博</cp:lastModifiedBy>
  <dcterms:modified xsi:type="dcterms:W3CDTF">2025-09-17T02:40:33Z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B5E2605F9F43412981C91A804570215D_13</vt:lpwstr>
  </property>
  <property fmtid="{D5CDD505-2E9C-101B-9397-08002B2CF9AE}" pid="4" name="KSOTemplateDocerSaveRecord">
    <vt:lpwstr>eyJoZGlkIjoiYmQ5NTVkYzY5ODM3NmFlZGI4ZDk2ZTA2N2ZlNDQyNDciLCJ1c2VySWQiOiIzNDMzMjcyMzUifQ==</vt:lpwstr>
  </property>
</Properties>
</file>