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95A9" w14:textId="77777777" w:rsidR="002B42C7" w:rsidRDefault="00D158B6">
      <w:pPr>
        <w:keepNext/>
        <w:keepLines/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605177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证券简称：东亚药业</w:t>
      </w:r>
    </w:p>
    <w:p w14:paraId="578AB52B" w14:textId="77777777" w:rsidR="002B42C7" w:rsidRDefault="00D158B6">
      <w:pPr>
        <w:keepNext/>
        <w:keepLines/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债券代码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111015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债券简称：东亚转债</w:t>
      </w:r>
    </w:p>
    <w:p w14:paraId="29D67E85" w14:textId="77777777" w:rsidR="002B42C7" w:rsidRDefault="00D158B6">
      <w:pPr>
        <w:keepNext/>
        <w:keepLines/>
        <w:spacing w:beforeLines="50" w:before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浙江东亚药业股份有限公司</w:t>
      </w:r>
    </w:p>
    <w:p w14:paraId="53E82101" w14:textId="77777777" w:rsidR="002B42C7" w:rsidRDefault="00D158B6">
      <w:pPr>
        <w:keepNext/>
        <w:keepLines/>
        <w:spacing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1703DFF" w14:textId="77777777" w:rsidR="002B42C7" w:rsidRDefault="00D158B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2025-004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6787"/>
      </w:tblGrid>
      <w:tr w:rsidR="002B42C7" w14:paraId="09F14138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56C98E1C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787" w:type="dxa"/>
            <w:shd w:val="clear" w:color="auto" w:fill="auto"/>
          </w:tcPr>
          <w:p w14:paraId="22C0A5AA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E3AD350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媒体采访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Wingdings 2" w:eastAsia="宋体" w:hAnsi="Wingdings 2" w:cs="Times New Roman"/>
                <w:bCs/>
                <w:iCs/>
                <w:sz w:val="24"/>
                <w:szCs w:val="24"/>
              </w:rPr>
              <w:t>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6C1CED3E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新闻发布会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0DEE5AEA" w14:textId="77777777" w:rsidR="002B42C7" w:rsidRDefault="00D158B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电话会议（线上调研）</w:t>
            </w:r>
          </w:p>
          <w:p w14:paraId="03CAA71D" w14:textId="77777777" w:rsidR="002B42C7" w:rsidRDefault="00D158B6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2B42C7" w14:paraId="6522B134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56D4A685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参与人员姓名</w:t>
            </w:r>
          </w:p>
        </w:tc>
        <w:tc>
          <w:tcPr>
            <w:tcW w:w="6787" w:type="dxa"/>
            <w:shd w:val="clear" w:color="auto" w:fill="auto"/>
          </w:tcPr>
          <w:p w14:paraId="4329FD44" w14:textId="77777777" w:rsidR="002B42C7" w:rsidRDefault="00D158B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线上参加公司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2025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年半年度业绩说明会的全体投资者</w:t>
            </w:r>
          </w:p>
        </w:tc>
      </w:tr>
      <w:tr w:rsidR="002B42C7" w14:paraId="32852968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2C7F3453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787" w:type="dxa"/>
            <w:shd w:val="clear" w:color="auto" w:fill="auto"/>
          </w:tcPr>
          <w:p w14:paraId="4B8F6CD0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日上午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10:00-11:00</w:t>
            </w:r>
          </w:p>
        </w:tc>
      </w:tr>
      <w:tr w:rsidR="002B42C7" w14:paraId="4370C17F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123D1F95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787" w:type="dxa"/>
            <w:shd w:val="clear" w:color="auto" w:fill="auto"/>
          </w:tcPr>
          <w:p w14:paraId="67C70010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价值在线（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https://www.ir-online.cn/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）网络互动</w:t>
            </w:r>
          </w:p>
        </w:tc>
      </w:tr>
      <w:tr w:rsidR="002B42C7" w14:paraId="19737149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6CC5E5ED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  <w:p w14:paraId="34AC4359" w14:textId="77777777" w:rsidR="002B42C7" w:rsidRDefault="00D158B6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姓名</w:t>
            </w:r>
          </w:p>
        </w:tc>
        <w:tc>
          <w:tcPr>
            <w:tcW w:w="6787" w:type="dxa"/>
            <w:shd w:val="clear" w:color="auto" w:fill="auto"/>
          </w:tcPr>
          <w:p w14:paraId="609955C8" w14:textId="77777777" w:rsidR="002B42C7" w:rsidRDefault="00D158B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董事长兼总经理：池骋</w:t>
            </w:r>
          </w:p>
          <w:p w14:paraId="1FD5E6D4" w14:textId="77777777" w:rsidR="002B42C7" w:rsidRDefault="00D158B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财务负责人：王小敏</w:t>
            </w:r>
          </w:p>
          <w:p w14:paraId="461FAF4F" w14:textId="77777777" w:rsidR="002B42C7" w:rsidRDefault="00D158B6">
            <w:pPr>
              <w:tabs>
                <w:tab w:val="center" w:pos="2798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独立董事：冯燕</w:t>
            </w:r>
          </w:p>
          <w:p w14:paraId="66E1269B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董事会秘书：周剑波</w:t>
            </w:r>
          </w:p>
        </w:tc>
      </w:tr>
      <w:tr w:rsidR="002B42C7" w14:paraId="53F7A50C" w14:textId="77777777">
        <w:trPr>
          <w:trHeight w:val="1408"/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7CAE9788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787" w:type="dxa"/>
            <w:shd w:val="clear" w:color="auto" w:fill="auto"/>
          </w:tcPr>
          <w:p w14:paraId="744E124F" w14:textId="358F4DB1" w:rsidR="002B42C7" w:rsidRDefault="00D158B6">
            <w:pPr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如何提升产品在高端市场竞争力？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，您</w:t>
            </w:r>
            <w:r>
              <w:rPr>
                <w:rFonts w:ascii="宋体" w:eastAsia="宋体" w:hAnsi="宋体" w:cs="宋体"/>
                <w:sz w:val="24"/>
                <w:szCs w:val="24"/>
              </w:rPr>
              <w:t>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！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将通过推进原料药制剂一体化战略，并持续开展深化研发创新，优化产品生产工艺，推进在建项目建成达效，加强精细化管理，服务好现有的客户等具体工作，公司旨在提升产品在高端市场的竞争力，实现公司业绩的改善和长期的稳定发展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2982042" w14:textId="30DE5E3C" w:rsidR="002B42C7" w:rsidRDefault="00D158B6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海外市场拓展有何下半年落地计划？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尊敬的投资者，您好！</w:t>
            </w:r>
            <w:r>
              <w:rPr>
                <w:rFonts w:ascii="宋体" w:eastAsia="宋体" w:hAnsi="宋体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年上半年，公司境外营业收入</w:t>
            </w:r>
            <w:r>
              <w:rPr>
                <w:rFonts w:ascii="宋体" w:eastAsia="宋体" w:hAnsi="宋体" w:cs="宋体"/>
                <w:sz w:val="24"/>
                <w:szCs w:val="24"/>
              </w:rPr>
              <w:t>1.03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亿元，占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主营业务收入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比例</w:t>
            </w:r>
            <w:r>
              <w:rPr>
                <w:rFonts w:ascii="宋体" w:eastAsia="宋体" w:hAnsi="宋体" w:cs="宋体"/>
                <w:sz w:val="24"/>
                <w:szCs w:val="24"/>
              </w:rPr>
              <w:t>超</w:t>
            </w:r>
            <w:r>
              <w:rPr>
                <w:rFonts w:ascii="宋体" w:eastAsia="宋体" w:hAnsi="宋体" w:cs="宋体"/>
                <w:sz w:val="24"/>
                <w:szCs w:val="24"/>
              </w:rPr>
              <w:t>25%</w:t>
            </w:r>
            <w:r>
              <w:rPr>
                <w:rFonts w:ascii="宋体" w:eastAsia="宋体" w:hAnsi="宋体" w:cs="宋体"/>
                <w:sz w:val="24"/>
                <w:szCs w:val="24"/>
              </w:rPr>
              <w:t>，较去年同期</w:t>
            </w:r>
            <w:r>
              <w:rPr>
                <w:rFonts w:ascii="宋体" w:eastAsia="宋体" w:hAnsi="宋体" w:cs="宋体"/>
                <w:sz w:val="24"/>
                <w:szCs w:val="24"/>
              </w:rPr>
              <w:t>占比</w:t>
            </w:r>
            <w:r>
              <w:rPr>
                <w:rFonts w:ascii="宋体" w:eastAsia="宋体" w:hAnsi="宋体" w:cs="宋体"/>
                <w:sz w:val="24"/>
                <w:szCs w:val="24"/>
              </w:rPr>
              <w:t>16%</w:t>
            </w:r>
            <w:r>
              <w:rPr>
                <w:rFonts w:ascii="宋体" w:eastAsia="宋体" w:hAnsi="宋体" w:cs="宋体"/>
                <w:sz w:val="24"/>
                <w:szCs w:val="24"/>
              </w:rPr>
              <w:t>有较大幅度提升。公司高度重视国际市场开拓，始终坚持稳住国内、突破海外，发挥一体化优势，以多种合作方式进</w:t>
            </w:r>
            <w:r>
              <w:rPr>
                <w:rFonts w:ascii="宋体" w:eastAsia="宋体" w:hAnsi="宋体" w:cs="宋体"/>
                <w:sz w:val="24"/>
                <w:szCs w:val="24"/>
              </w:rPr>
              <w:t>入国际市场。</w:t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具体海外市场开拓方面，公司坚持注册先行、销售跟随，在获得产品注册认证的国家深化渠道，通过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产品获得注册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  <w:szCs w:val="24"/>
              </w:rPr>
              <w:t>客户首单采购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  <w:szCs w:val="24"/>
              </w:rPr>
              <w:t>推动持续复购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来</w:t>
            </w:r>
            <w:r>
              <w:rPr>
                <w:rFonts w:ascii="宋体" w:eastAsia="宋体" w:hAnsi="宋体" w:cs="宋体"/>
                <w:sz w:val="24"/>
                <w:szCs w:val="24"/>
              </w:rPr>
              <w:t>实现海外销售开拓的闭环，并根据公司实际产品结构和需求情况，加强已获批产品的国际销售。感谢您对公司的关注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，请注意投资风险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3.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后续新药研发将重点布局哪些治疗领域？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，您好！公司在原料药制剂一体化战略布局下，采用往前伸、向后延的策略。具体制剂业务中，仿制药方面公司将依托自身原料药优势，布局抗感染类、胃肠道疾病、神经类、皮肤用抗真菌药等用药领域，</w:t>
            </w:r>
            <w:r w:rsidR="00712431">
              <w:rPr>
                <w:rFonts w:ascii="宋体" w:eastAsia="宋体" w:hAnsi="宋体" w:cs="宋体" w:hint="eastAsia"/>
                <w:sz w:val="24"/>
                <w:szCs w:val="24"/>
              </w:rPr>
              <w:t>截至2</w:t>
            </w:r>
            <w:r w:rsidR="00712431">
              <w:rPr>
                <w:rFonts w:ascii="宋体" w:eastAsia="宋体" w:hAnsi="宋体" w:cs="宋体"/>
                <w:sz w:val="24"/>
                <w:szCs w:val="24"/>
              </w:rPr>
              <w:t>025</w:t>
            </w:r>
            <w:r w:rsidR="00712431">
              <w:rPr>
                <w:rFonts w:ascii="宋体" w:eastAsia="宋体" w:hAnsi="宋体" w:cs="宋体" w:hint="eastAsia"/>
                <w:sz w:val="24"/>
                <w:szCs w:val="24"/>
              </w:rPr>
              <w:t>年6月底</w:t>
            </w:r>
            <w:r>
              <w:rPr>
                <w:rFonts w:ascii="宋体" w:eastAsia="宋体" w:hAnsi="宋体" w:cs="宋体"/>
                <w:sz w:val="24"/>
                <w:szCs w:val="24"/>
              </w:rPr>
              <w:t>已申报了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个注册批件</w:t>
            </w:r>
            <w:r>
              <w:rPr>
                <w:rFonts w:ascii="宋体" w:eastAsia="宋体" w:hAnsi="宋体" w:cs="宋体"/>
                <w:sz w:val="24"/>
                <w:szCs w:val="24"/>
              </w:rPr>
              <w:t>，报告期内首张批件左氧氟沙星片已成功获批。同时，公司在改良型新药、创新药等方面，</w:t>
            </w:r>
            <w:r w:rsidR="009D128F">
              <w:rPr>
                <w:rFonts w:ascii="宋体" w:eastAsia="宋体" w:hAnsi="宋体" w:cs="宋体" w:hint="eastAsia"/>
                <w:sz w:val="24"/>
                <w:szCs w:val="24"/>
              </w:rPr>
              <w:t>计划</w:t>
            </w:r>
            <w:r>
              <w:rPr>
                <w:rFonts w:ascii="宋体" w:eastAsia="宋体" w:hAnsi="宋体" w:cs="宋体"/>
                <w:sz w:val="24"/>
                <w:szCs w:val="24"/>
              </w:rPr>
              <w:t>通过与</w:t>
            </w:r>
            <w:r>
              <w:rPr>
                <w:rFonts w:ascii="宋体" w:eastAsia="宋体" w:hAnsi="宋体" w:cs="宋体"/>
                <w:sz w:val="24"/>
                <w:szCs w:val="24"/>
              </w:rPr>
              <w:t>CRO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公司深度合作及自主投资</w:t>
            </w:r>
            <w:r w:rsidR="009236D1">
              <w:rPr>
                <w:rFonts w:ascii="宋体" w:eastAsia="宋体" w:hAnsi="宋体" w:cs="宋体" w:hint="eastAsia"/>
                <w:sz w:val="24"/>
                <w:szCs w:val="24"/>
              </w:rPr>
              <w:t>等方式</w:t>
            </w:r>
            <w:r>
              <w:rPr>
                <w:rFonts w:ascii="宋体" w:eastAsia="宋体" w:hAnsi="宋体" w:cs="宋体"/>
                <w:sz w:val="24"/>
                <w:szCs w:val="24"/>
              </w:rPr>
              <w:t>来布局有发展潜力的公司或具体品种，不断孵化和培育新药项目，未来将逐步进入创新药领域。感谢您对公司的关注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，请注意投资风险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4.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上半年再次计提存货减值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准备，后续的减值风险是否已经出清？</w:t>
            </w:r>
            <w:bookmarkStart w:id="0" w:name="_GoBack"/>
            <w:bookmarkEnd w:id="0"/>
            <w:r>
              <w:rPr>
                <w:rFonts w:ascii="宋体" w:eastAsia="宋体" w:hAnsi="宋体" w:cs="宋体"/>
                <w:b/>
                <w:sz w:val="24"/>
                <w:szCs w:val="24"/>
              </w:rPr>
              <w:t>请问贵公司今年后续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还有计提资产计划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您好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！</w:t>
            </w:r>
            <w:r>
              <w:rPr>
                <w:rFonts w:ascii="宋体" w:eastAsia="宋体" w:hAnsi="宋体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年半年度公司已</w:t>
            </w:r>
            <w:r>
              <w:rPr>
                <w:rFonts w:ascii="宋体" w:eastAsia="宋体" w:hAnsi="宋体" w:cs="宋体"/>
                <w:sz w:val="24"/>
                <w:szCs w:val="24"/>
              </w:rPr>
              <w:t>根据《企业会计准则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sz w:val="24"/>
                <w:szCs w:val="24"/>
              </w:rPr>
              <w:t>资产减值》和公司会计政策的相关规定，基于谨慎性原则，结合公司的运营管理现状、经营业绩数据、资产负债结构、市场格局变化以及持续经营预期等综合因素，对可能存在减值迹象的相关资产计提了减值准备，</w:t>
            </w:r>
            <w:r>
              <w:rPr>
                <w:rFonts w:ascii="宋体" w:eastAsia="宋体" w:hAnsi="宋体" w:cs="宋体"/>
                <w:sz w:val="24"/>
                <w:szCs w:val="24"/>
              </w:rPr>
              <w:t>后续公司会根据资产减值测试的结果，以及市场变化和资产实际情况，按照企业会计准则和公司会计政策进行必要的会计处理，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如触发信息披露标准，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公司将按照相关法律法规的要求及时履行信息披露义务。感谢您对公司的关注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，请注意投资风险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5.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董事长你好，请问今年公司在青霉素、头孢以外的各个用药领域的产品整体表现情况如何；上半年表现突出的马来酸曲美布汀、依帕司他、厄多司坦原料药，其增长表现能否延续至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下半年？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尊敬的投资者，您好！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上半年公司非</w:t>
            </w:r>
            <w:r>
              <w:rPr>
                <w:rFonts w:ascii="宋体" w:eastAsia="宋体" w:hAnsi="宋体" w:cs="宋体"/>
                <w:sz w:val="24"/>
                <w:szCs w:val="24"/>
              </w:rPr>
              <w:t>β-</w:t>
            </w:r>
            <w:r>
              <w:rPr>
                <w:rFonts w:ascii="宋体" w:eastAsia="宋体" w:hAnsi="宋体" w:cs="宋体"/>
                <w:sz w:val="24"/>
                <w:szCs w:val="24"/>
              </w:rPr>
              <w:t>内酰胺类抗菌药营收</w:t>
            </w: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940.15</w:t>
            </w:r>
            <w:r>
              <w:rPr>
                <w:rFonts w:ascii="宋体" w:eastAsia="宋体" w:hAnsi="宋体" w:cs="宋体"/>
                <w:sz w:val="24"/>
                <w:szCs w:val="24"/>
              </w:rPr>
              <w:t>万元，</w:t>
            </w:r>
            <w:r>
              <w:rPr>
                <w:rFonts w:ascii="宋体" w:eastAsia="宋体" w:hAnsi="宋体" w:cs="宋体"/>
                <w:sz w:val="24"/>
                <w:szCs w:val="24"/>
              </w:rPr>
              <w:t>占</w:t>
            </w:r>
            <w:r>
              <w:rPr>
                <w:rFonts w:ascii="宋体" w:eastAsia="宋体" w:hAnsi="宋体" w:cs="宋体"/>
                <w:sz w:val="24"/>
                <w:szCs w:val="24"/>
              </w:rPr>
              <w:t>营收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的比例为</w:t>
            </w:r>
            <w:r>
              <w:rPr>
                <w:rFonts w:ascii="宋体" w:eastAsia="宋体" w:hAnsi="宋体" w:cs="宋体"/>
                <w:sz w:val="24"/>
                <w:szCs w:val="24"/>
              </w:rPr>
              <w:t>55.16%</w:t>
            </w:r>
            <w:r>
              <w:rPr>
                <w:rFonts w:ascii="宋体" w:eastAsia="宋体" w:hAnsi="宋体" w:cs="宋体"/>
                <w:sz w:val="24"/>
                <w:szCs w:val="24"/>
              </w:rPr>
              <w:t>；其中，马来酸曲美布汀原料药国际注册优势显著，目前已经获得中国、欧洲、日本、韩国、加拿大、俄罗斯注册，在</w:t>
            </w:r>
            <w:r>
              <w:rPr>
                <w:rFonts w:ascii="宋体" w:eastAsia="宋体" w:hAnsi="宋体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上半年实现了良好增速，单品类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抗胆碱和合成解痉药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</w:rPr>
              <w:t>营收实现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z w:val="24"/>
                <w:szCs w:val="24"/>
              </w:rPr>
              <w:t>946.70</w:t>
            </w:r>
            <w:r>
              <w:rPr>
                <w:rFonts w:ascii="宋体" w:eastAsia="宋体" w:hAnsi="宋体" w:cs="宋体"/>
                <w:sz w:val="24"/>
                <w:szCs w:val="24"/>
              </w:rPr>
              <w:t>万元，同比增长</w:t>
            </w:r>
            <w:r>
              <w:rPr>
                <w:rFonts w:ascii="宋体" w:eastAsia="宋体" w:hAnsi="宋体" w:cs="宋体"/>
                <w:sz w:val="24"/>
                <w:szCs w:val="24"/>
              </w:rPr>
              <w:t>25.10%</w:t>
            </w:r>
            <w:r>
              <w:rPr>
                <w:rFonts w:ascii="宋体" w:eastAsia="宋体" w:hAnsi="宋体" w:cs="宋体"/>
                <w:sz w:val="24"/>
                <w:szCs w:val="24"/>
              </w:rPr>
              <w:t>；依帕司他、厄多司坦原料药正在加速贡献业绩增量，下半年有望保持增长态势。未来，公司将坚持注册先行、销售跟随，在获得产品注册认证的国家深化渠道的策略，打开后续增长空间。感谢您对公司的关注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，请注意投资风险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6.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下半年有无合作或并购项目推进计划？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尊敬的投资者，您好！公司目前</w:t>
            </w:r>
            <w:r>
              <w:rPr>
                <w:rFonts w:ascii="宋体" w:eastAsia="宋体" w:hAnsi="宋体" w:cs="宋体"/>
                <w:sz w:val="24"/>
                <w:szCs w:val="24"/>
              </w:rPr>
              <w:t>没有</w:t>
            </w:r>
            <w:r>
              <w:rPr>
                <w:rFonts w:ascii="宋体" w:eastAsia="宋体" w:hAnsi="宋体" w:cs="宋体"/>
                <w:sz w:val="24"/>
                <w:szCs w:val="24"/>
              </w:rPr>
              <w:t>需要披露</w:t>
            </w:r>
            <w:r w:rsidR="00AC1BD6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</w:rPr>
              <w:t>相关</w:t>
            </w:r>
            <w:r w:rsidR="00AC1BD6">
              <w:rPr>
                <w:rFonts w:ascii="宋体" w:eastAsia="宋体" w:hAnsi="宋体" w:cs="宋体" w:hint="eastAsia"/>
                <w:sz w:val="24"/>
                <w:szCs w:val="24"/>
              </w:rPr>
              <w:t>合作或并购项目</w:t>
            </w:r>
            <w:r>
              <w:rPr>
                <w:rFonts w:ascii="宋体" w:eastAsia="宋体" w:hAnsi="宋体" w:cs="宋体"/>
                <w:sz w:val="24"/>
                <w:szCs w:val="24"/>
              </w:rPr>
              <w:t>。公司</w:t>
            </w:r>
            <w:r>
              <w:rPr>
                <w:rFonts w:ascii="宋体" w:eastAsia="宋体" w:hAnsi="宋体" w:cs="宋体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年已作为</w:t>
            </w:r>
            <w:r>
              <w:rPr>
                <w:rFonts w:ascii="宋体" w:eastAsia="宋体" w:hAnsi="宋体" w:cs="宋体"/>
                <w:sz w:val="24"/>
                <w:szCs w:val="24"/>
              </w:rPr>
              <w:t>LP</w:t>
            </w:r>
            <w:r>
              <w:rPr>
                <w:rFonts w:ascii="宋体" w:eastAsia="宋体" w:hAnsi="宋体" w:cs="宋体"/>
                <w:sz w:val="24"/>
                <w:szCs w:val="24"/>
              </w:rPr>
              <w:t>出资参与了北京市元生天使创业投资合伙企业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</w:rPr>
              <w:t>有限合伙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>，公司将利用</w:t>
            </w:r>
            <w:r>
              <w:rPr>
                <w:rFonts w:ascii="宋体" w:eastAsia="宋体" w:hAnsi="宋体" w:cs="宋体"/>
                <w:sz w:val="24"/>
                <w:szCs w:val="24"/>
              </w:rPr>
              <w:t>LP</w:t>
            </w:r>
            <w:r>
              <w:rPr>
                <w:rFonts w:ascii="宋体" w:eastAsia="宋体" w:hAnsi="宋体" w:cs="宋体"/>
                <w:sz w:val="24"/>
                <w:szCs w:val="24"/>
              </w:rPr>
              <w:t>的身份充分挖掘项目合作机会。未来若有相关计划将根据法规和信息披露要求及时披露，请您后续关注公司相关公告。感谢您对公司的关注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7.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尊敬的公司领导，即将开始的第十一批集采规则的优化，传导到原料药环节会有多大的积极影响？预计将从什么时候开始体现？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>
              <w:rPr>
                <w:rFonts w:ascii="宋体" w:eastAsia="宋体" w:hAnsi="宋体" w:cs="宋体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尊敬的投资者，您好！</w:t>
            </w:r>
            <w:r>
              <w:rPr>
                <w:rFonts w:ascii="宋体" w:eastAsia="宋体" w:hAnsi="宋体" w:cs="宋体"/>
                <w:sz w:val="24"/>
                <w:szCs w:val="24"/>
              </w:rPr>
              <w:t>目前第十一批集采可能对公司产生影响的是头孢唑肟品种，集采结果未公布之前，难以评估影响。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感谢您对公司的关注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，请注意投资风险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</w:t>
            </w:r>
          </w:p>
        </w:tc>
      </w:tr>
      <w:tr w:rsidR="002B42C7" w14:paraId="44BC53A1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48163EB6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87" w:type="dxa"/>
            <w:shd w:val="clear" w:color="auto" w:fill="auto"/>
          </w:tcPr>
          <w:p w14:paraId="6825DFBD" w14:textId="77777777" w:rsidR="002B42C7" w:rsidRDefault="00D158B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2B42C7" w14:paraId="1EB11D78" w14:textId="77777777">
        <w:trPr>
          <w:jc w:val="center"/>
        </w:trPr>
        <w:tc>
          <w:tcPr>
            <w:tcW w:w="2422" w:type="dxa"/>
            <w:shd w:val="clear" w:color="auto" w:fill="auto"/>
            <w:vAlign w:val="center"/>
          </w:tcPr>
          <w:p w14:paraId="1B3B9DE3" w14:textId="77777777" w:rsidR="002B42C7" w:rsidRDefault="00D158B6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1A564E53" w14:textId="77777777" w:rsidR="002B42C7" w:rsidRDefault="00D158B6">
            <w:pPr>
              <w:spacing w:line="360" w:lineRule="auto"/>
              <w:ind w:firstLineChars="100" w:firstLine="240"/>
              <w:jc w:val="center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日</w:t>
            </w:r>
          </w:p>
        </w:tc>
      </w:tr>
    </w:tbl>
    <w:p w14:paraId="2834D44E" w14:textId="77777777" w:rsidR="002B42C7" w:rsidRDefault="002B4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C7"/>
    <w:rsid w:val="001D722A"/>
    <w:rsid w:val="002B42C7"/>
    <w:rsid w:val="00712431"/>
    <w:rsid w:val="007557FA"/>
    <w:rsid w:val="009236D1"/>
    <w:rsid w:val="009D128F"/>
    <w:rsid w:val="00AA2C32"/>
    <w:rsid w:val="00AC1BD6"/>
    <w:rsid w:val="00BA5F96"/>
    <w:rsid w:val="00D1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2AF6D"/>
  <w15:docId w15:val="{DACA8BC2-02FF-4283-8FFB-6C07EE8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周剑波</cp:lastModifiedBy>
  <cp:revision>9</cp:revision>
  <cp:lastPrinted>2024-03-13T09:08:00Z</cp:lastPrinted>
  <dcterms:created xsi:type="dcterms:W3CDTF">2025-09-17T07:39:00Z</dcterms:created>
  <dcterms:modified xsi:type="dcterms:W3CDTF">2025-09-17T07:49:00Z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2052-12.32.1</vt:lpwstr>
  </property>
  <property fmtid="{D5CDD505-2E9C-101B-9397-08002B2CF9AE}" pid="3" name="ICV">
    <vt:lpwstr>7407F8D8E1794016BBE731B32940E6A9_12</vt:lpwstr>
  </property>
</Properties>
</file>