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宋体" w:hAnsi="宋体"/>
          <w:sz w:val="24"/>
          <w:szCs w:val="24"/>
        </w:rPr>
        <w:t>证券代码：600726  900937        证券简称：华电能源  华电B股</w:t>
      </w:r>
    </w:p>
    <w:p>
      <w:pPr>
        <w:jc w:val="center"/>
        <w:rPr>
          <w:rFonts w:hint="eastAsia" w:ascii="黑体" w:hAnsi="黑体" w:eastAsia="黑体"/>
          <w:sz w:val="36"/>
          <w:szCs w:val="36"/>
        </w:rPr>
      </w:pPr>
    </w:p>
    <w:p>
      <w:pPr>
        <w:jc w:val="center"/>
        <w:rPr>
          <w:rFonts w:hint="eastAsia" w:ascii="黑体" w:hAnsi="黑体" w:eastAsia="黑体"/>
          <w:sz w:val="36"/>
          <w:szCs w:val="36"/>
        </w:rPr>
      </w:pPr>
      <w:r>
        <w:rPr>
          <w:rFonts w:hint="eastAsia" w:ascii="黑体" w:hAnsi="黑体" w:eastAsia="黑体"/>
          <w:sz w:val="36"/>
          <w:szCs w:val="36"/>
        </w:rPr>
        <w:t>华电能源股份有限公司</w:t>
      </w:r>
    </w:p>
    <w:p>
      <w:pPr>
        <w:jc w:val="center"/>
        <w:rPr>
          <w:rFonts w:ascii="黑体" w:hAnsi="黑体" w:eastAsia="黑体"/>
          <w:sz w:val="24"/>
          <w:szCs w:val="24"/>
        </w:rPr>
      </w:pPr>
      <w:r>
        <w:rPr>
          <w:rFonts w:hint="eastAsia" w:ascii="黑体" w:hAnsi="黑体" w:eastAsia="黑体"/>
          <w:sz w:val="36"/>
          <w:szCs w:val="36"/>
        </w:rPr>
        <w:t>投资者关系活动记录表</w:t>
      </w:r>
    </w:p>
    <w:p>
      <w:pPr>
        <w:ind w:right="720"/>
        <w:jc w:val="right"/>
        <w:rPr>
          <w:rFonts w:hint="default" w:ascii="黑体" w:hAnsi="黑体" w:eastAsia="黑体"/>
          <w:sz w:val="24"/>
          <w:szCs w:val="24"/>
          <w:lang w:val="en-US" w:eastAsia="zh-CN"/>
        </w:rPr>
      </w:pPr>
      <w:bookmarkStart w:id="0" w:name="OLE_LINK2"/>
      <w:r>
        <w:rPr>
          <w:rFonts w:hint="eastAsia" w:ascii="黑体" w:hAnsi="黑体" w:eastAsia="黑体"/>
          <w:sz w:val="24"/>
          <w:szCs w:val="24"/>
          <w:lang w:val="en-US" w:eastAsia="zh-CN"/>
        </w:rPr>
        <w:t xml:space="preserve">    </w:t>
      </w:r>
      <w:r>
        <w:rPr>
          <w:rFonts w:hint="eastAsia" w:ascii="黑体" w:hAnsi="黑体" w:eastAsia="黑体"/>
          <w:sz w:val="24"/>
          <w:szCs w:val="24"/>
        </w:rPr>
        <w:t>编号：</w:t>
      </w:r>
      <w:r>
        <w:rPr>
          <w:rFonts w:hint="eastAsia" w:ascii="黑体" w:hAnsi="黑体" w:eastAsia="黑体"/>
          <w:sz w:val="24"/>
          <w:szCs w:val="24"/>
          <w:highlight w:val="none"/>
          <w:lang w:val="en-US" w:eastAsia="zh-CN"/>
        </w:rPr>
        <w:t>2025-004</w:t>
      </w:r>
    </w:p>
    <w:bookmarkEnd w:id="0"/>
    <w:tbl>
      <w:tblPr>
        <w:tblStyle w:val="5"/>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6" w:type="dxa"/>
            <w:noWrap w:val="0"/>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投资者关系活动类别</w:t>
            </w:r>
          </w:p>
        </w:tc>
        <w:tc>
          <w:tcPr>
            <w:tcW w:w="7431" w:type="dxa"/>
            <w:noWrap w:val="0"/>
            <w:vAlign w:val="center"/>
          </w:tcPr>
          <w:p>
            <w:pPr>
              <w:keepNext w:val="0"/>
              <w:keepLines w:val="0"/>
              <w:suppressLineNumbers w:val="0"/>
              <w:spacing w:before="0" w:beforeAutospacing="0" w:after="0" w:afterAutospacing="0" w:line="360" w:lineRule="auto"/>
              <w:ind w:left="0" w:right="0"/>
              <w:rPr>
                <w:rFonts w:hint="eastAsia"/>
              </w:rPr>
            </w:pPr>
            <w:r>
              <w:rPr>
                <w:rFonts w:hint="eastAsia"/>
              </w:rPr>
              <w:t>□特定对象调研        □分析师会议</w:t>
            </w:r>
          </w:p>
          <w:p>
            <w:pPr>
              <w:keepNext w:val="0"/>
              <w:keepLines w:val="0"/>
              <w:suppressLineNumbers w:val="0"/>
              <w:spacing w:before="0" w:beforeAutospacing="0" w:after="0" w:afterAutospacing="0" w:line="360" w:lineRule="auto"/>
              <w:ind w:left="0" w:right="0"/>
              <w:rPr>
                <w:rFonts w:hint="eastAsia"/>
              </w:rPr>
            </w:pPr>
            <w:r>
              <w:rPr>
                <w:rFonts w:hint="eastAsia"/>
              </w:rPr>
              <w:t xml:space="preserve">□媒体采访            </w:t>
            </w:r>
            <w:r>
              <w:rPr>
                <w:rFonts w:hint="eastAsia"/>
                <w:lang w:eastAsia="zh-CN"/>
              </w:rPr>
              <w:sym w:font="Wingdings 2" w:char="0052"/>
            </w:r>
            <w:r>
              <w:rPr>
                <w:rFonts w:hint="eastAsia"/>
              </w:rPr>
              <w:t>业绩说明会</w:t>
            </w:r>
          </w:p>
          <w:p>
            <w:pPr>
              <w:keepNext w:val="0"/>
              <w:keepLines w:val="0"/>
              <w:suppressLineNumbers w:val="0"/>
              <w:spacing w:before="0" w:beforeAutospacing="0" w:after="0" w:afterAutospacing="0" w:line="360" w:lineRule="auto"/>
              <w:ind w:left="0" w:right="0"/>
              <w:rPr>
                <w:rFonts w:hint="eastAsia"/>
              </w:rPr>
            </w:pPr>
            <w:r>
              <w:rPr>
                <w:rFonts w:hint="eastAsia"/>
              </w:rPr>
              <w:t>□新闻发布会          □路演活动</w:t>
            </w:r>
          </w:p>
          <w:p>
            <w:pPr>
              <w:keepNext w:val="0"/>
              <w:keepLines w:val="0"/>
              <w:suppressLineNumbers w:val="0"/>
              <w:spacing w:before="0" w:beforeAutospacing="0" w:after="0" w:afterAutospacing="0" w:line="360" w:lineRule="auto"/>
              <w:ind w:left="0" w:right="0"/>
              <w:rPr>
                <w:rFonts w:hint="eastAsia"/>
                <w:sz w:val="24"/>
                <w:szCs w:val="24"/>
              </w:rPr>
            </w:pPr>
            <w:r>
              <w:rPr>
                <w:rFonts w:hint="eastAsia"/>
              </w:rPr>
              <w:t>□现场参观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6" w:type="dxa"/>
            <w:noWrap w:val="0"/>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活动主题</w:t>
            </w:r>
          </w:p>
        </w:tc>
        <w:tc>
          <w:tcPr>
            <w:tcW w:w="7431" w:type="dxa"/>
            <w:noWrap w:val="0"/>
            <w:vAlign w:val="center"/>
          </w:tcPr>
          <w:p>
            <w:pPr>
              <w:keepNext w:val="0"/>
              <w:keepLines w:val="0"/>
              <w:suppressLineNumbers w:val="0"/>
              <w:spacing w:before="0" w:beforeAutospacing="0" w:after="0" w:afterAutospacing="0"/>
              <w:ind w:left="0" w:right="0"/>
              <w:rPr>
                <w:rFonts w:hint="default"/>
                <w:sz w:val="24"/>
                <w:szCs w:val="24"/>
              </w:rPr>
            </w:pPr>
            <w:r>
              <w:rPr>
                <w:rFonts w:hint="eastAsia" w:ascii="宋体" w:hAnsi="宋体" w:eastAsia="宋体" w:cs="宋体"/>
                <w:bCs/>
                <w:iCs/>
                <w:color w:val="000000"/>
                <w:sz w:val="24"/>
                <w:highlight w:val="none"/>
                <w:lang w:val="en-GB"/>
              </w:rPr>
              <w:t>华电能源2025年半年度业绩说明会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1526" w:type="dxa"/>
            <w:noWrap w:val="0"/>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时间</w:t>
            </w:r>
          </w:p>
        </w:tc>
        <w:tc>
          <w:tcPr>
            <w:tcW w:w="7431" w:type="dxa"/>
            <w:noWrap w:val="0"/>
            <w:vAlign w:val="center"/>
          </w:tcPr>
          <w:p>
            <w:pPr>
              <w:keepNext w:val="0"/>
              <w:keepLines w:val="0"/>
              <w:suppressLineNumbers w:val="0"/>
              <w:spacing w:before="0" w:beforeAutospacing="0" w:after="0" w:afterAutospacing="0"/>
              <w:ind w:left="0" w:right="0"/>
              <w:rPr>
                <w:rFonts w:hint="eastAsia"/>
                <w:sz w:val="24"/>
                <w:szCs w:val="24"/>
              </w:rPr>
            </w:pPr>
            <w:r>
              <w:rPr>
                <w:rFonts w:hint="eastAsia" w:ascii="宋体" w:hAnsi="宋体" w:eastAsia="宋体" w:cs="宋体"/>
                <w:bCs/>
                <w:iCs/>
                <w:color w:val="000000"/>
                <w:sz w:val="24"/>
                <w:highlight w:val="none"/>
              </w:rPr>
              <w:t>2025年</w:t>
            </w:r>
            <w:r>
              <w:rPr>
                <w:rFonts w:hint="eastAsia" w:ascii="宋体" w:hAnsi="宋体" w:cs="宋体"/>
                <w:bCs/>
                <w:iCs/>
                <w:color w:val="000000"/>
                <w:sz w:val="24"/>
                <w:highlight w:val="none"/>
                <w:lang w:val="en-US" w:eastAsia="zh-CN"/>
              </w:rPr>
              <w:t>9</w:t>
            </w:r>
            <w:r>
              <w:rPr>
                <w:rFonts w:hint="eastAsia" w:ascii="宋体" w:hAnsi="宋体" w:eastAsia="宋体" w:cs="宋体"/>
                <w:bCs/>
                <w:iCs/>
                <w:color w:val="000000"/>
                <w:sz w:val="24"/>
                <w:highlight w:val="none"/>
              </w:rPr>
              <w:t>月1</w:t>
            </w:r>
            <w:r>
              <w:rPr>
                <w:rFonts w:hint="eastAsia" w:ascii="宋体" w:hAnsi="宋体" w:cs="宋体"/>
                <w:bCs/>
                <w:iCs/>
                <w:color w:val="000000"/>
                <w:sz w:val="24"/>
                <w:highlight w:val="none"/>
                <w:lang w:val="en-US" w:eastAsia="zh-CN"/>
              </w:rPr>
              <w:t>7</w:t>
            </w:r>
            <w:r>
              <w:rPr>
                <w:rFonts w:hint="eastAsia" w:ascii="宋体" w:hAnsi="宋体" w:eastAsia="宋体" w:cs="宋体"/>
                <w:bCs/>
                <w:iCs/>
                <w:color w:val="000000"/>
                <w:sz w:val="24"/>
                <w:highlight w:val="none"/>
              </w:rPr>
              <w:t>日</w:t>
            </w:r>
            <w:r>
              <w:rPr>
                <w:rFonts w:hint="eastAsia" w:ascii="宋体" w:hAnsi="宋体" w:cs="宋体"/>
                <w:bCs/>
                <w:iCs/>
                <w:color w:val="000000"/>
                <w:sz w:val="24"/>
                <w:highlight w:val="none"/>
                <w:lang w:val="en-US" w:eastAsia="zh-CN"/>
              </w:rPr>
              <w:t>10</w:t>
            </w:r>
            <w:r>
              <w:rPr>
                <w:rFonts w:hint="eastAsia" w:ascii="宋体" w:hAnsi="宋体" w:eastAsia="宋体" w:cs="宋体"/>
                <w:bCs/>
                <w:iCs/>
                <w:color w:val="000000"/>
                <w:sz w:val="24"/>
                <w:highlight w:val="none"/>
              </w:rPr>
              <w:t>:</w:t>
            </w:r>
            <w:r>
              <w:rPr>
                <w:rFonts w:hint="eastAsia" w:ascii="宋体" w:hAnsi="宋体" w:cs="宋体"/>
                <w:bCs/>
                <w:iCs/>
                <w:color w:val="000000"/>
                <w:sz w:val="24"/>
                <w:highlight w:val="none"/>
                <w:lang w:val="en-US" w:eastAsia="zh-CN"/>
              </w:rPr>
              <w:t>0</w:t>
            </w:r>
            <w:r>
              <w:rPr>
                <w:rFonts w:hint="eastAsia" w:ascii="宋体" w:hAnsi="宋体" w:eastAsia="宋体" w:cs="宋体"/>
                <w:bCs/>
                <w:iCs/>
                <w:color w:val="000000"/>
                <w:sz w:val="24"/>
                <w:highlight w:val="none"/>
              </w:rPr>
              <w:t>0-1</w:t>
            </w:r>
            <w:r>
              <w:rPr>
                <w:rFonts w:hint="eastAsia" w:ascii="宋体" w:hAnsi="宋体" w:cs="宋体"/>
                <w:bCs/>
                <w:iCs/>
                <w:color w:val="000000"/>
                <w:sz w:val="24"/>
                <w:highlight w:val="none"/>
                <w:lang w:val="en-US" w:eastAsia="zh-CN"/>
              </w:rPr>
              <w:t>1</w:t>
            </w:r>
            <w:r>
              <w:rPr>
                <w:rFonts w:hint="eastAsia" w:ascii="宋体" w:hAnsi="宋体" w:eastAsia="宋体" w:cs="宋体"/>
                <w:bCs/>
                <w:iCs/>
                <w:color w:val="000000"/>
                <w:sz w:val="24"/>
                <w:highlight w:val="none"/>
              </w:rPr>
              <w:t>:</w:t>
            </w:r>
            <w:r>
              <w:rPr>
                <w:rFonts w:hint="eastAsia" w:ascii="宋体" w:hAnsi="宋体" w:cs="宋体"/>
                <w:bCs/>
                <w:iCs/>
                <w:color w:val="000000"/>
                <w:sz w:val="24"/>
                <w:highlight w:val="none"/>
                <w:lang w:val="en-US" w:eastAsia="zh-CN"/>
              </w:rPr>
              <w:t>0</w:t>
            </w:r>
            <w:r>
              <w:rPr>
                <w:rFonts w:hint="eastAsia" w:ascii="宋体" w:hAnsi="宋体" w:eastAsia="宋体" w:cs="宋体"/>
                <w:bCs/>
                <w:iCs/>
                <w:color w:val="000000"/>
                <w:sz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6" w:type="dxa"/>
            <w:noWrap w:val="0"/>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431" w:type="dxa"/>
            <w:noWrap w:val="0"/>
            <w:vAlign w:val="top"/>
          </w:tcPr>
          <w:p>
            <w:pPr>
              <w:keepNext w:val="0"/>
              <w:keepLines w:val="0"/>
              <w:suppressLineNumbers w:val="0"/>
              <w:spacing w:before="0" w:beforeAutospacing="0" w:after="0" w:afterAutospacing="0"/>
              <w:ind w:left="0" w:right="0"/>
              <w:rPr>
                <w:rFonts w:hint="default" w:ascii="宋体" w:hAnsi="宋体"/>
                <w:bCs/>
                <w:sz w:val="24"/>
              </w:rPr>
            </w:pPr>
            <w:r>
              <w:rPr>
                <w:rFonts w:hint="eastAsia" w:ascii="宋体" w:hAnsi="宋体"/>
                <w:bCs/>
                <w:sz w:val="24"/>
              </w:rPr>
              <w:t xml:space="preserve">上证路演中心 </w:t>
            </w:r>
            <w:r>
              <w:rPr>
                <w:rFonts w:hint="default"/>
              </w:rPr>
              <w:fldChar w:fldCharType="begin"/>
            </w:r>
            <w:r>
              <w:rPr>
                <w:rFonts w:hint="default"/>
              </w:rPr>
              <w:instrText xml:space="preserve"> HYPERLINK "https://roadshow.sseinfo.com" </w:instrText>
            </w:r>
            <w:r>
              <w:rPr>
                <w:rFonts w:hint="default"/>
              </w:rPr>
              <w:fldChar w:fldCharType="separate"/>
            </w:r>
            <w:r>
              <w:rPr>
                <w:rStyle w:val="7"/>
                <w:rFonts w:hint="eastAsia" w:ascii="宋体" w:hAnsi="宋体"/>
                <w:bCs/>
                <w:sz w:val="24"/>
              </w:rPr>
              <w:t>https://roadshow.sseinfo.com</w:t>
            </w:r>
            <w:r>
              <w:rPr>
                <w:rStyle w:val="7"/>
                <w:rFonts w:hint="eastAsia" w:ascii="宋体" w:hAnsi="宋体"/>
                <w:bCs/>
                <w:sz w:val="24"/>
              </w:rPr>
              <w:fldChar w:fldCharType="end"/>
            </w:r>
          </w:p>
          <w:p>
            <w:pPr>
              <w:keepNext w:val="0"/>
              <w:keepLines w:val="0"/>
              <w:suppressLineNumbers w:val="0"/>
              <w:spacing w:before="0" w:beforeAutospacing="0" w:after="0" w:afterAutospacing="0"/>
              <w:ind w:left="0" w:right="0"/>
              <w:rPr>
                <w:rFonts w:hint="eastAsia"/>
                <w:sz w:val="24"/>
                <w:szCs w:val="24"/>
              </w:rPr>
            </w:pPr>
            <w:r>
              <w:rPr>
                <w:rFonts w:hint="eastAsia" w:ascii="宋体" w:hAnsi="宋体"/>
                <w:bCs/>
                <w:sz w:val="24"/>
              </w:rPr>
              <w:t>网络文字互动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6" w:type="dxa"/>
            <w:noWrap w:val="0"/>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参会人员</w:t>
            </w:r>
          </w:p>
        </w:tc>
        <w:tc>
          <w:tcPr>
            <w:tcW w:w="7431"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董事长：郎国民</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总经理：魏</w:t>
            </w:r>
            <w:r>
              <w:rPr>
                <w:rFonts w:hint="eastAsia" w:ascii="宋体" w:hAnsi="宋体" w:cs="宋体"/>
                <w:sz w:val="24"/>
                <w:szCs w:val="24"/>
                <w:lang w:val="en-US" w:eastAsia="zh-CN"/>
              </w:rPr>
              <w:t xml:space="preserve">  </w:t>
            </w:r>
            <w:r>
              <w:rPr>
                <w:rFonts w:hint="eastAsia" w:ascii="宋体" w:hAnsi="宋体" w:eastAsia="宋体" w:cs="宋体"/>
                <w:sz w:val="24"/>
                <w:szCs w:val="24"/>
              </w:rPr>
              <w:t>宁</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董事会秘书、总会计师：付璐璐</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rPr>
              <w:t>独立董事：</w:t>
            </w:r>
            <w:r>
              <w:rPr>
                <w:rFonts w:hint="eastAsia" w:ascii="宋体" w:hAnsi="宋体" w:cs="宋体"/>
                <w:sz w:val="24"/>
                <w:szCs w:val="24"/>
                <w:lang w:val="en-US" w:eastAsia="zh-CN"/>
              </w:rPr>
              <w:t>曹玉昆</w:t>
            </w:r>
          </w:p>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eastAsia="宋体" w:cs="宋体"/>
                <w:sz w:val="24"/>
                <w:szCs w:val="24"/>
              </w:rPr>
              <w:t>公司业务部</w:t>
            </w:r>
            <w:r>
              <w:rPr>
                <w:rFonts w:hint="eastAsia" w:ascii="宋体" w:hAnsi="宋体" w:cs="宋体"/>
                <w:sz w:val="24"/>
                <w:szCs w:val="24"/>
                <w:lang w:val="en-US" w:eastAsia="zh-CN"/>
              </w:rPr>
              <w:t>门</w:t>
            </w:r>
            <w:r>
              <w:rPr>
                <w:rFonts w:hint="eastAsia" w:ascii="宋体" w:hAnsi="宋体" w:eastAsia="宋体" w:cs="宋体"/>
                <w:sz w:val="24"/>
                <w:szCs w:val="24"/>
              </w:rPr>
              <w:t>负责人及相关人员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6" w:type="dxa"/>
            <w:noWrap w:val="0"/>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投资者关系活动主要内容介绍</w:t>
            </w:r>
          </w:p>
        </w:tc>
        <w:tc>
          <w:tcPr>
            <w:tcW w:w="743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b/>
                <w:sz w:val="24"/>
                <w:lang w:eastAsia="zh-CN"/>
              </w:rPr>
            </w:pPr>
            <w:r>
              <w:rPr>
                <w:rFonts w:hint="eastAsia" w:ascii="宋体" w:hAnsi="宋体"/>
                <w:b/>
                <w:sz w:val="24"/>
              </w:rPr>
              <w:t>1</w:t>
            </w:r>
            <w:r>
              <w:rPr>
                <w:rFonts w:hint="eastAsia" w:ascii="宋体" w:hAnsi="宋体"/>
                <w:b/>
                <w:sz w:val="24"/>
                <w:lang w:val="en-US" w:eastAsia="zh-CN"/>
              </w:rPr>
              <w:t>.</w:t>
            </w:r>
            <w:r>
              <w:rPr>
                <w:rFonts w:hint="eastAsia" w:ascii="宋体" w:hAnsi="宋体"/>
                <w:b/>
                <w:sz w:val="24"/>
              </w:rPr>
              <w:t>比较关心煤炭资产注入事宜，请介绍下锦兴能源经营情况，以及煤炭资产注入进展程度</w:t>
            </w:r>
            <w:r>
              <w:rPr>
                <w:rFonts w:hint="eastAsia" w:ascii="宋体" w:hAnsi="宋体"/>
                <w:b/>
                <w:sz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b w:val="0"/>
                <w:bCs/>
                <w:sz w:val="24"/>
              </w:rPr>
            </w:pPr>
            <w:r>
              <w:rPr>
                <w:rFonts w:hint="eastAsia" w:ascii="宋体" w:hAnsi="宋体"/>
                <w:b w:val="0"/>
                <w:bCs/>
                <w:sz w:val="24"/>
              </w:rPr>
              <w:t>答:您好，感谢您的关注。目前暂未获悉控股股东煤矿注入上市公司计划。后续如有相关计划，公司将严格按照相关法律法规及规范性文件履行信息披露义务。山西锦兴能源有限公司是华电能源重要的子公司，主要从事煤炭开采、洗选加工和销售业务。公司位于山西省吕梁市，主要开发肖家洼煤矿及相关煤炭资源。锦兴能源2025年上半年继续保持稳健经营，截至2025年上半年，锦兴能源实现营业收入27.19亿元，净利润7.11亿元。谢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b/>
                <w:sz w:val="24"/>
                <w:lang w:eastAsia="zh-CN"/>
              </w:rPr>
            </w:pPr>
            <w:r>
              <w:rPr>
                <w:rFonts w:hint="eastAsia" w:ascii="宋体" w:hAnsi="宋体"/>
                <w:b/>
                <w:sz w:val="24"/>
              </w:rPr>
              <w:t>2</w:t>
            </w:r>
            <w:r>
              <w:rPr>
                <w:rFonts w:hint="eastAsia" w:ascii="宋体" w:hAnsi="宋体"/>
                <w:b/>
                <w:sz w:val="24"/>
                <w:lang w:val="en-US" w:eastAsia="zh-CN"/>
              </w:rPr>
              <w:t>.</w:t>
            </w:r>
            <w:r>
              <w:rPr>
                <w:rFonts w:hint="eastAsia" w:ascii="宋体" w:hAnsi="宋体"/>
                <w:b/>
                <w:sz w:val="24"/>
              </w:rPr>
              <w:t>公司简要说一说市值管理的工作以及规划</w:t>
            </w:r>
            <w:r>
              <w:rPr>
                <w:rFonts w:hint="eastAsia" w:ascii="宋体" w:hAnsi="宋体"/>
                <w:b/>
                <w:sz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b w:val="0"/>
                <w:bCs/>
                <w:sz w:val="24"/>
              </w:rPr>
            </w:pPr>
            <w:r>
              <w:rPr>
                <w:rFonts w:hint="eastAsia" w:ascii="宋体" w:hAnsi="宋体"/>
                <w:b w:val="0"/>
                <w:bCs/>
                <w:sz w:val="24"/>
              </w:rPr>
              <w:t>答:您好，感谢您的关注。公司积极响应国资委、证监会关于市值管理的政策指引，高度重视市值管理工作，加快构建市值管理长效机制，通过提升经营质量、增强信息披露质量和透明度、强化投资者沟通等举措，推动公司投资价值合理反映公司质量及内在价值。公司制定了《华电能源市值管理制度》，制度明确了管理机构和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b w:val="0"/>
                <w:bCs/>
                <w:sz w:val="24"/>
              </w:rPr>
            </w:pPr>
            <w:r>
              <w:rPr>
                <w:rFonts w:hint="eastAsia" w:ascii="宋体" w:hAnsi="宋体"/>
                <w:b w:val="0"/>
                <w:bCs/>
                <w:sz w:val="24"/>
              </w:rPr>
              <w:t>同时，公司高度重视与投资者的沟通，通过举办业绩说明会、机构调研等活动加强投资者交流、回应投资者关切。公司管理层将继续做好各项经营管理工作，以良好的业绩回报广大投资者，我们也将加强与投资者沟通和交流，实时传达公司价值，提振投资者信心。谢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b/>
                <w:sz w:val="24"/>
              </w:rPr>
            </w:pPr>
            <w:r>
              <w:rPr>
                <w:rFonts w:hint="eastAsia" w:ascii="宋体" w:hAnsi="宋体"/>
                <w:b/>
                <w:sz w:val="24"/>
              </w:rPr>
              <w:t>3</w:t>
            </w:r>
            <w:r>
              <w:rPr>
                <w:rFonts w:hint="eastAsia" w:ascii="宋体" w:hAnsi="宋体"/>
                <w:b/>
                <w:sz w:val="24"/>
                <w:lang w:val="en-US" w:eastAsia="zh-CN"/>
              </w:rPr>
              <w:t>.</w:t>
            </w:r>
            <w:r>
              <w:rPr>
                <w:rFonts w:hint="eastAsia" w:ascii="宋体" w:hAnsi="宋体"/>
                <w:b/>
                <w:sz w:val="24"/>
              </w:rPr>
              <w:t>公司为什么自2015年以来都没有分红派送？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b w:val="0"/>
                <w:bCs/>
                <w:sz w:val="24"/>
              </w:rPr>
            </w:pPr>
            <w:r>
              <w:rPr>
                <w:rFonts w:hint="eastAsia" w:ascii="宋体" w:hAnsi="宋体"/>
                <w:b w:val="0"/>
                <w:bCs/>
                <w:sz w:val="24"/>
              </w:rPr>
              <w:t>答:您好，感谢您的关注。公司高度重视股东回报，致力于以良好的经营业绩为股东创造持续稳定的投资回报。公司将严格按照法律法规、分红规划及公司章程等相关制度的规定，在符合分红条件及利润分配政策的情况下实施分红，积极回报投资者。谢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b/>
                <w:sz w:val="24"/>
              </w:rPr>
            </w:pPr>
            <w:r>
              <w:rPr>
                <w:rFonts w:hint="eastAsia" w:ascii="宋体" w:hAnsi="宋体"/>
                <w:b/>
                <w:sz w:val="24"/>
              </w:rPr>
              <w:t>4</w:t>
            </w:r>
            <w:r>
              <w:rPr>
                <w:rFonts w:hint="eastAsia" w:ascii="宋体" w:hAnsi="宋体"/>
                <w:b/>
                <w:sz w:val="24"/>
                <w:lang w:val="en-US" w:eastAsia="zh-CN"/>
              </w:rPr>
              <w:t>.</w:t>
            </w:r>
            <w:r>
              <w:rPr>
                <w:rFonts w:hint="eastAsia" w:ascii="宋体" w:hAnsi="宋体"/>
                <w:b/>
                <w:sz w:val="24"/>
              </w:rPr>
              <w:t>煤炭是火电主要成本，公司上半年是否受益于煤炭价格低位运行？谢谢！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b w:val="0"/>
                <w:bCs/>
                <w:sz w:val="24"/>
              </w:rPr>
            </w:pPr>
            <w:r>
              <w:rPr>
                <w:rFonts w:hint="eastAsia" w:ascii="宋体" w:hAnsi="宋体"/>
                <w:b w:val="0"/>
                <w:bCs/>
                <w:sz w:val="24"/>
              </w:rPr>
              <w:t>答:尊敬的投资者，您好！公司业务主要包括电力销售、煤炭销售和供热三大块，上半年煤炭采购价格同比有所降低，助力公司降低成本。公司将密切关注煤炭市场价格走势情况，积极研判灵活的经营策略，围绕公司发展战略，努力做好经营管理工作，保障公司可持续发展，并争取以良好的业绩驱动公司价值成长。感谢您的关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b/>
                <w:sz w:val="24"/>
                <w:lang w:eastAsia="zh-CN"/>
              </w:rPr>
            </w:pPr>
            <w:r>
              <w:rPr>
                <w:rFonts w:hint="eastAsia" w:ascii="宋体" w:hAnsi="宋体"/>
                <w:b/>
                <w:sz w:val="24"/>
              </w:rPr>
              <w:t>5</w:t>
            </w:r>
            <w:r>
              <w:rPr>
                <w:rFonts w:hint="eastAsia" w:ascii="宋体" w:hAnsi="宋体"/>
                <w:b/>
                <w:sz w:val="24"/>
                <w:lang w:val="en-US" w:eastAsia="zh-CN"/>
              </w:rPr>
              <w:t>.</w:t>
            </w:r>
            <w:bookmarkStart w:id="1" w:name="_GoBack"/>
            <w:bookmarkEnd w:id="1"/>
            <w:r>
              <w:rPr>
                <w:rFonts w:hint="eastAsia" w:ascii="宋体" w:hAnsi="宋体"/>
                <w:b/>
                <w:sz w:val="24"/>
              </w:rPr>
              <w:t>比较关注数据的动态表现，请问下，公司上半年发电量及供热量情况、上网电价变动情况如何呢？请简要阐述下取得的成效</w:t>
            </w:r>
            <w:r>
              <w:rPr>
                <w:rFonts w:hint="eastAsia" w:ascii="宋体" w:hAnsi="宋体"/>
                <w:b/>
                <w:sz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b w:val="0"/>
                <w:bCs/>
                <w:sz w:val="24"/>
              </w:rPr>
            </w:pPr>
            <w:r>
              <w:rPr>
                <w:rFonts w:hint="eastAsia" w:ascii="宋体" w:hAnsi="宋体"/>
                <w:b w:val="0"/>
                <w:bCs/>
                <w:sz w:val="24"/>
              </w:rPr>
              <w:t>答:尊敬的投资者，您好！截至2025年6月30日，公司全资及控股电厂完成发电量101.01亿千瓦时，同比增长3.35%；上网电量完成86.31亿千瓦时，同比增长0.59%；机组含税平均电价480.40元/兆瓦时，同比升高0.25元/兆瓦时；机组平均利用小时1,575小时，同比增加51小时；上半年供热量完成3,752万吉焦，同比下降3.10%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b w:val="0"/>
                <w:bCs/>
                <w:sz w:val="24"/>
              </w:rPr>
            </w:pPr>
            <w:r>
              <w:rPr>
                <w:rFonts w:hint="eastAsia" w:ascii="宋体" w:hAnsi="宋体"/>
                <w:b w:val="0"/>
                <w:bCs/>
                <w:sz w:val="24"/>
              </w:rPr>
              <w:t>2025年上半年，华电能源在复杂多变的能源市场环境中展现出较强的适应能力和经营韧性，多项关键经营指标均取得同比提升。虽然供热量同比有所下降，但通过有效的成本控制和多元化的收入策略，公司仍然保持了相对稳定的经营表现。未来，公司将继续积极应对市场变化，优化业务结构，提高价值创造能力。谢谢您的关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b/>
                <w:bCs w:val="0"/>
                <w:sz w:val="24"/>
                <w:lang w:val="en-US" w:eastAsia="zh-CN"/>
              </w:rPr>
            </w:pPr>
            <w:r>
              <w:rPr>
                <w:rFonts w:hint="eastAsia" w:ascii="宋体" w:hAnsi="宋体"/>
                <w:b/>
                <w:bCs w:val="0"/>
                <w:sz w:val="24"/>
                <w:lang w:val="en-US" w:eastAsia="zh-CN"/>
              </w:rPr>
              <w:t>6.股价表现这块公司怎么看？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b w:val="0"/>
                <w:bCs/>
                <w:sz w:val="24"/>
                <w:lang w:val="en-US" w:eastAsia="zh-CN"/>
              </w:rPr>
            </w:pPr>
            <w:r>
              <w:rPr>
                <w:rFonts w:hint="eastAsia" w:ascii="宋体" w:hAnsi="宋体"/>
                <w:b w:val="0"/>
                <w:bCs/>
                <w:sz w:val="24"/>
                <w:lang w:val="en-US" w:eastAsia="zh-CN"/>
              </w:rPr>
              <w:t>尊敬的投资者，您好！二级市场股价波动受到多种因素的综合影响，如宏观经济环境、行业热点轮动、市场情绪等。公司始终致力于提升经营成效，努力通过合规手段推动企业价值的合理反映，提高经营效率和盈利能力。未来，公司将继续坚守合规信息披露，持续提升公司经营效能，并做好投资者关系管理和市值管理工作。谢谢您的关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b/>
                <w:bCs w:val="0"/>
                <w:sz w:val="24"/>
                <w:lang w:val="en-US" w:eastAsia="zh-CN"/>
              </w:rPr>
            </w:pPr>
            <w:r>
              <w:rPr>
                <w:rFonts w:hint="eastAsia" w:ascii="宋体" w:hAnsi="宋体"/>
                <w:b/>
                <w:bCs w:val="0"/>
                <w:sz w:val="24"/>
                <w:lang w:val="en-US" w:eastAsia="zh-CN"/>
              </w:rPr>
              <w:t>7.公司是能源型企业，想了解下，非化石风光水等能源发电这块有何布局呢？未来有何种规划？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宋体" w:hAnsi="宋体"/>
                <w:b/>
                <w:bCs w:val="0"/>
                <w:sz w:val="24"/>
                <w:lang w:val="en-US" w:eastAsia="zh-CN"/>
              </w:rPr>
            </w:pPr>
            <w:r>
              <w:rPr>
                <w:rFonts w:hint="default" w:ascii="宋体" w:hAnsi="宋体"/>
                <w:b w:val="0"/>
                <w:bCs/>
                <w:sz w:val="24"/>
                <w:lang w:val="en-US" w:eastAsia="zh-CN"/>
              </w:rPr>
              <w:t>尊敬的投资者，您好！公司致力于全力提升经营质量，狠抓政策机遇，通过“两个联营”，快速推进哈尔滨第三发电厂66万千瓦“上大压小”热电联产项目，哈尔滨新能源、孙吴新能源、汤原新能源、北安新能源等70万千瓦一体化联营新能源项目建设，为企业优化资产结构、实现绿色转型、高质量发展注入新动能。未来，公司将依托自身经营优势提升竞争力，并积极把握行业发展机会，推动公司价值持续增长。谢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6"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sz w:val="24"/>
                <w:szCs w:val="24"/>
              </w:rPr>
            </w:pPr>
            <w:r>
              <w:rPr>
                <w:rFonts w:hint="eastAsia" w:ascii="Calibri" w:hAnsi="宋体" w:eastAsia="宋体" w:cs="Times New Roman"/>
                <w:color w:val="000000"/>
                <w:kern w:val="0"/>
                <w:sz w:val="24"/>
                <w:szCs w:val="24"/>
                <w:lang w:val="en-US" w:eastAsia="zh-CN" w:bidi="ar"/>
              </w:rPr>
              <w:t>关于本次活动是否涉及应披露重大信息的说明</w:t>
            </w:r>
          </w:p>
        </w:tc>
        <w:tc>
          <w:tcPr>
            <w:tcW w:w="7431" w:type="dxa"/>
            <w:noWrap w:val="0"/>
            <w:vAlign w:val="top"/>
          </w:tcPr>
          <w:p>
            <w:pPr>
              <w:keepNext w:val="0"/>
              <w:keepLines w:val="0"/>
              <w:widowControl w:val="0"/>
              <w:suppressLineNumbers w:val="0"/>
              <w:spacing w:before="0" w:beforeAutospacing="0" w:after="0" w:afterAutospacing="0" w:line="560" w:lineRule="exact"/>
              <w:ind w:left="0" w:leftChars="0" w:right="0" w:rightChars="0" w:firstLine="480" w:firstLineChars="200"/>
              <w:jc w:val="both"/>
              <w:rPr>
                <w:rFonts w:hint="default" w:ascii="宋体"/>
                <w:sz w:val="24"/>
                <w:lang w:val="en-US"/>
              </w:rPr>
            </w:pPr>
            <w:r>
              <w:rPr>
                <w:rFonts w:hint="eastAsia" w:ascii="Calibri" w:hAnsi="Calibri" w:eastAsia="宋体" w:cs="Times New Roman"/>
                <w:color w:val="000000"/>
                <w:kern w:val="2"/>
                <w:sz w:val="24"/>
                <w:szCs w:val="24"/>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6"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宋体"/>
                <w:sz w:val="24"/>
                <w:lang w:val="en-US"/>
              </w:rPr>
            </w:pPr>
            <w:r>
              <w:rPr>
                <w:rFonts w:hint="eastAsia" w:ascii="Calibri" w:hAnsi="Calibri" w:eastAsia="宋体" w:cs="Times New Roman"/>
                <w:kern w:val="2"/>
                <w:sz w:val="24"/>
                <w:szCs w:val="24"/>
                <w:lang w:val="en-US" w:eastAsia="zh-CN" w:bidi="ar"/>
              </w:rPr>
              <w:t>附件清单（如有）</w:t>
            </w:r>
            <w:r>
              <w:rPr>
                <w:rFonts w:hint="eastAsia" w:ascii="Calibri" w:hAnsi="Calibri" w:eastAsia="宋体" w:cs="Times New Roman"/>
                <w:kern w:val="2"/>
                <w:sz w:val="24"/>
                <w:szCs w:val="24"/>
                <w:lang w:val="en-US" w:eastAsia="zh-CN" w:bidi="ar"/>
              </w:rPr>
              <w:tab/>
            </w:r>
          </w:p>
        </w:tc>
        <w:tc>
          <w:tcPr>
            <w:tcW w:w="7431" w:type="dxa"/>
            <w:noWrap w:val="0"/>
            <w:vAlign w:val="top"/>
          </w:tcPr>
          <w:p>
            <w:pPr>
              <w:keepNext w:val="0"/>
              <w:keepLines w:val="0"/>
              <w:widowControl w:val="0"/>
              <w:suppressLineNumbers w:val="0"/>
              <w:spacing w:before="0" w:beforeAutospacing="0" w:after="0" w:afterAutospacing="0" w:line="560" w:lineRule="exact"/>
              <w:ind w:left="0" w:leftChars="0" w:right="0" w:rightChars="0" w:firstLine="480" w:firstLineChars="200"/>
              <w:jc w:val="both"/>
              <w:rPr>
                <w:rFonts w:hint="default" w:ascii="宋体"/>
                <w:sz w:val="24"/>
                <w:lang w:val="en-US"/>
              </w:rPr>
            </w:pPr>
            <w:r>
              <w:rPr>
                <w:rFonts w:hint="eastAsia" w:ascii="宋体" w:hAnsi="Calibri" w:eastAsia="宋体" w:cs="Times New Roman"/>
                <w:kern w:val="2"/>
                <w:sz w:val="24"/>
                <w:szCs w:val="24"/>
                <w:lang w:val="en-US" w:eastAsia="zh-CN" w:bidi="ar"/>
              </w:rPr>
              <w:t>无</w:t>
            </w:r>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00205237"/>
    <w:rsid w:val="095B2AC1"/>
    <w:rsid w:val="0C515710"/>
    <w:rsid w:val="0DEB765D"/>
    <w:rsid w:val="192F4B4C"/>
    <w:rsid w:val="1CB2496B"/>
    <w:rsid w:val="1CDF6851"/>
    <w:rsid w:val="24051223"/>
    <w:rsid w:val="3A8C44C1"/>
    <w:rsid w:val="41902B08"/>
    <w:rsid w:val="45574A35"/>
    <w:rsid w:val="4B2434AE"/>
    <w:rsid w:val="4DF313AC"/>
    <w:rsid w:val="4E2A226A"/>
    <w:rsid w:val="52500997"/>
    <w:rsid w:val="5B21609D"/>
    <w:rsid w:val="5DC35AF6"/>
    <w:rsid w:val="5FB040D5"/>
    <w:rsid w:val="61B42C51"/>
    <w:rsid w:val="670E1BEF"/>
    <w:rsid w:val="70907CFD"/>
    <w:rsid w:val="79E4056F"/>
    <w:rsid w:val="7F192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7">
    <w:name w:val="Hyperlink"/>
    <w:basedOn w:val="6"/>
    <w:unhideWhenUsed/>
    <w:qFormat/>
    <w:uiPriority w:val="99"/>
    <w:rPr>
      <w:color w:val="0563C1"/>
      <w:u w:val="single"/>
    </w:rPr>
  </w:style>
  <w:style w:type="paragraph" w:customStyle="1" w:styleId="8">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248</Characters>
  <Lines>1</Lines>
  <Paragraphs>1</Paragraphs>
  <TotalTime>40</TotalTime>
  <ScaleCrop>false</ScaleCrop>
  <LinksUpToDate>false</LinksUpToDate>
  <CharactersWithSpaces>276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于淼</cp:lastModifiedBy>
  <cp:lastPrinted>2025-05-19T08:51:00Z</cp:lastPrinted>
  <dcterms:modified xsi:type="dcterms:W3CDTF">2025-09-17T09:02:11Z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209E8F5F19474D9B86DA58D8A53133EF</vt:lpwstr>
  </property>
</Properties>
</file>