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97" w:rsidRDefault="00143C23">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603196                </w:t>
      </w:r>
      <w:r w:rsidR="00751DE6">
        <w:rPr>
          <w:color w:val="000000"/>
          <w:sz w:val="24"/>
        </w:rPr>
        <w:t xml:space="preserve">    </w:t>
      </w:r>
      <w:r>
        <w:rPr>
          <w:color w:val="000000"/>
          <w:sz w:val="24"/>
        </w:rPr>
        <w:t xml:space="preserve">             </w:t>
      </w:r>
      <w:r>
        <w:rPr>
          <w:rFonts w:hAnsi="宋体"/>
          <w:bCs/>
          <w:iCs/>
          <w:color w:val="000000"/>
          <w:sz w:val="24"/>
        </w:rPr>
        <w:t>证券简称：</w:t>
      </w:r>
      <w:r>
        <w:rPr>
          <w:color w:val="000000"/>
          <w:sz w:val="24"/>
        </w:rPr>
        <w:t>日播时尚</w:t>
      </w:r>
    </w:p>
    <w:p w:rsidR="00751DE6" w:rsidRDefault="00143C23">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日播时尚集团股份有限公司</w:t>
      </w:r>
    </w:p>
    <w:p w:rsidR="008B2C97" w:rsidRDefault="00143C2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8B2C97" w:rsidRDefault="00143C23">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B2C97" w:rsidTr="00751DE6">
        <w:tc>
          <w:tcPr>
            <w:tcW w:w="1908" w:type="dxa"/>
            <w:tcBorders>
              <w:top w:val="single" w:sz="4" w:space="0" w:color="auto"/>
              <w:left w:val="single" w:sz="4" w:space="0" w:color="auto"/>
              <w:bottom w:val="single" w:sz="4" w:space="0" w:color="auto"/>
              <w:right w:val="single" w:sz="4" w:space="0" w:color="auto"/>
            </w:tcBorders>
            <w:vAlign w:val="center"/>
          </w:tcPr>
          <w:p w:rsidR="008B2C97" w:rsidRDefault="00143C23" w:rsidP="00751DE6">
            <w:pPr>
              <w:spacing w:line="420" w:lineRule="exact"/>
              <w:rPr>
                <w:bCs/>
                <w:iCs/>
                <w:color w:val="000000"/>
                <w:kern w:val="0"/>
                <w:sz w:val="24"/>
              </w:rPr>
            </w:pPr>
            <w:r>
              <w:rPr>
                <w:rFonts w:hAnsi="宋体"/>
                <w:bCs/>
                <w:iCs/>
                <w:color w:val="000000"/>
                <w:kern w:val="0"/>
                <w:sz w:val="24"/>
              </w:rPr>
              <w:t>投资者关系活动类别</w:t>
            </w:r>
          </w:p>
          <w:p w:rsidR="008B2C97" w:rsidRDefault="008B2C97" w:rsidP="00751DE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B2C97" w:rsidRDefault="00143C23">
            <w:pPr>
              <w:spacing w:line="420" w:lineRule="exact"/>
              <w:rPr>
                <w:bCs/>
                <w:iCs/>
                <w:color w:val="000000"/>
                <w:sz w:val="24"/>
              </w:rPr>
            </w:pPr>
            <w:r>
              <w:rPr>
                <w:bCs/>
                <w:iCs/>
                <w:color w:val="000000"/>
                <w:kern w:val="0"/>
                <w:sz w:val="24"/>
              </w:rPr>
              <w:t>□</w:t>
            </w:r>
            <w:r w:rsidR="001E4343">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8B2C97" w:rsidRDefault="00143C23">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8B2C97" w:rsidRDefault="00143C23">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8B2C97" w:rsidRDefault="00143C23" w:rsidP="001E4343">
            <w:pPr>
              <w:tabs>
                <w:tab w:val="left" w:pos="3045"/>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sidR="001E4343">
              <w:rPr>
                <w:bCs/>
                <w:iCs/>
                <w:color w:val="000000"/>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其他</w:t>
            </w:r>
          </w:p>
        </w:tc>
      </w:tr>
      <w:tr w:rsidR="008B2C97" w:rsidTr="00751DE6">
        <w:tc>
          <w:tcPr>
            <w:tcW w:w="1908" w:type="dxa"/>
            <w:tcBorders>
              <w:top w:val="single" w:sz="4" w:space="0" w:color="auto"/>
              <w:left w:val="single" w:sz="4" w:space="0" w:color="auto"/>
              <w:bottom w:val="single" w:sz="4" w:space="0" w:color="auto"/>
              <w:right w:val="single" w:sz="4" w:space="0" w:color="auto"/>
            </w:tcBorders>
            <w:vAlign w:val="center"/>
          </w:tcPr>
          <w:p w:rsidR="008B2C97" w:rsidRDefault="00143C23" w:rsidP="00751DE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B2C97" w:rsidRDefault="00143C23" w:rsidP="00751DE6">
            <w:pPr>
              <w:spacing w:line="420" w:lineRule="exact"/>
              <w:rPr>
                <w:bCs/>
                <w:iCs/>
                <w:color w:val="000000"/>
                <w:sz w:val="24"/>
                <w:lang w:val="en-GB"/>
              </w:rPr>
            </w:pPr>
            <w:r>
              <w:rPr>
                <w:rFonts w:hint="eastAsia"/>
                <w:bCs/>
                <w:iCs/>
                <w:color w:val="000000"/>
                <w:sz w:val="24"/>
                <w:lang w:val="en-GB"/>
              </w:rPr>
              <w:t>投资者网上提问</w:t>
            </w:r>
          </w:p>
        </w:tc>
      </w:tr>
      <w:tr w:rsidR="008B2C97" w:rsidTr="00751DE6">
        <w:tc>
          <w:tcPr>
            <w:tcW w:w="1908" w:type="dxa"/>
            <w:tcBorders>
              <w:top w:val="single" w:sz="4" w:space="0" w:color="auto"/>
              <w:left w:val="single" w:sz="4" w:space="0" w:color="auto"/>
              <w:bottom w:val="single" w:sz="4" w:space="0" w:color="auto"/>
              <w:right w:val="single" w:sz="4" w:space="0" w:color="auto"/>
            </w:tcBorders>
            <w:vAlign w:val="center"/>
          </w:tcPr>
          <w:p w:rsidR="008B2C97" w:rsidRDefault="00143C23" w:rsidP="00751DE6">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8B2C97" w:rsidRDefault="00143C23">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19</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15:00~17:00</w:t>
            </w:r>
          </w:p>
        </w:tc>
      </w:tr>
      <w:tr w:rsidR="008B2C97" w:rsidTr="00751DE6">
        <w:tc>
          <w:tcPr>
            <w:tcW w:w="1908" w:type="dxa"/>
            <w:tcBorders>
              <w:top w:val="single" w:sz="4" w:space="0" w:color="auto"/>
              <w:left w:val="single" w:sz="4" w:space="0" w:color="auto"/>
              <w:bottom w:val="single" w:sz="4" w:space="0" w:color="auto"/>
              <w:right w:val="single" w:sz="4" w:space="0" w:color="auto"/>
            </w:tcBorders>
            <w:vAlign w:val="center"/>
          </w:tcPr>
          <w:p w:rsidR="008B2C97" w:rsidRDefault="00143C23" w:rsidP="00751DE6">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B2C97" w:rsidRDefault="00143C23">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8B2C97" w:rsidTr="00751DE6">
        <w:tc>
          <w:tcPr>
            <w:tcW w:w="1908" w:type="dxa"/>
            <w:tcBorders>
              <w:top w:val="single" w:sz="4" w:space="0" w:color="auto"/>
              <w:left w:val="single" w:sz="4" w:space="0" w:color="auto"/>
              <w:bottom w:val="single" w:sz="4" w:space="0" w:color="auto"/>
              <w:right w:val="single" w:sz="4" w:space="0" w:color="auto"/>
            </w:tcBorders>
            <w:vAlign w:val="center"/>
          </w:tcPr>
          <w:p w:rsidR="008B2C97" w:rsidRDefault="00143C23" w:rsidP="00751DE6">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B2C97" w:rsidRDefault="00143C23">
            <w:pPr>
              <w:spacing w:line="420" w:lineRule="exact"/>
              <w:rPr>
                <w:rFonts w:ascii="宋体" w:hAnsi="宋体"/>
                <w:bCs/>
                <w:sz w:val="24"/>
              </w:rPr>
            </w:pPr>
            <w:r>
              <w:rPr>
                <w:rFonts w:ascii="宋体" w:hAnsi="宋体"/>
                <w:bCs/>
                <w:sz w:val="24"/>
              </w:rPr>
              <w:t>1、</w:t>
            </w:r>
            <w:r w:rsidR="00751DE6">
              <w:rPr>
                <w:rFonts w:ascii="宋体" w:hAnsi="宋体"/>
                <w:bCs/>
                <w:sz w:val="24"/>
              </w:rPr>
              <w:t>董事长梁丰</w:t>
            </w:r>
          </w:p>
          <w:p w:rsidR="008B2C97" w:rsidRDefault="00143C23">
            <w:pPr>
              <w:spacing w:line="420" w:lineRule="exact"/>
              <w:rPr>
                <w:rFonts w:ascii="宋体" w:hAnsi="宋体"/>
                <w:bCs/>
                <w:sz w:val="24"/>
              </w:rPr>
            </w:pPr>
            <w:r>
              <w:rPr>
                <w:rFonts w:ascii="宋体" w:hAnsi="宋体"/>
                <w:bCs/>
                <w:sz w:val="24"/>
              </w:rPr>
              <w:t>2、</w:t>
            </w:r>
            <w:r w:rsidR="00751DE6">
              <w:rPr>
                <w:rFonts w:ascii="宋体" w:hAnsi="宋体" w:hint="eastAsia"/>
                <w:bCs/>
                <w:sz w:val="24"/>
              </w:rPr>
              <w:t>独立</w:t>
            </w:r>
            <w:r w:rsidR="00751DE6">
              <w:rPr>
                <w:rFonts w:ascii="宋体" w:hAnsi="宋体"/>
                <w:bCs/>
                <w:sz w:val="24"/>
              </w:rPr>
              <w:t>董事张其秀</w:t>
            </w:r>
          </w:p>
          <w:p w:rsidR="008B2C97" w:rsidRDefault="00143C23">
            <w:pPr>
              <w:spacing w:line="420" w:lineRule="exact"/>
              <w:rPr>
                <w:rFonts w:ascii="宋体" w:hAnsi="宋体"/>
                <w:bCs/>
                <w:sz w:val="24"/>
              </w:rPr>
            </w:pPr>
            <w:r>
              <w:rPr>
                <w:rFonts w:ascii="宋体" w:hAnsi="宋体"/>
                <w:bCs/>
                <w:sz w:val="24"/>
              </w:rPr>
              <w:t>3、总经理王晟羽</w:t>
            </w:r>
          </w:p>
          <w:p w:rsidR="008B2C97" w:rsidRDefault="00143C23">
            <w:pPr>
              <w:spacing w:line="420" w:lineRule="exact"/>
              <w:rPr>
                <w:rFonts w:ascii="宋体" w:hAnsi="宋体"/>
                <w:bCs/>
                <w:sz w:val="24"/>
              </w:rPr>
            </w:pPr>
            <w:r>
              <w:rPr>
                <w:rFonts w:ascii="宋体" w:hAnsi="宋体"/>
                <w:bCs/>
                <w:sz w:val="24"/>
              </w:rPr>
              <w:t>4、</w:t>
            </w:r>
            <w:r w:rsidR="00751DE6">
              <w:rPr>
                <w:rFonts w:ascii="宋体" w:hAnsi="宋体"/>
                <w:bCs/>
                <w:sz w:val="24"/>
              </w:rPr>
              <w:t>财务总监张云菊</w:t>
            </w:r>
          </w:p>
          <w:p w:rsidR="008B2C97" w:rsidRDefault="00143C23">
            <w:pPr>
              <w:spacing w:line="420" w:lineRule="exact"/>
              <w:rPr>
                <w:rFonts w:ascii="宋体" w:hAnsi="宋体"/>
                <w:bCs/>
                <w:sz w:val="24"/>
              </w:rPr>
            </w:pPr>
            <w:r>
              <w:rPr>
                <w:rFonts w:ascii="宋体" w:hAnsi="宋体"/>
                <w:bCs/>
                <w:sz w:val="24"/>
              </w:rPr>
              <w:t>5、</w:t>
            </w:r>
            <w:r w:rsidR="00751DE6">
              <w:rPr>
                <w:rFonts w:ascii="宋体" w:hAnsi="宋体"/>
                <w:bCs/>
                <w:sz w:val="24"/>
              </w:rPr>
              <w:t>董事会秘书赵月波</w:t>
            </w:r>
          </w:p>
        </w:tc>
      </w:tr>
      <w:tr w:rsidR="001E4343" w:rsidTr="009D075E">
        <w:tc>
          <w:tcPr>
            <w:tcW w:w="8755" w:type="dxa"/>
            <w:gridSpan w:val="2"/>
            <w:tcBorders>
              <w:top w:val="single" w:sz="4" w:space="0" w:color="auto"/>
              <w:left w:val="single" w:sz="4" w:space="0" w:color="auto"/>
              <w:bottom w:val="single" w:sz="4" w:space="0" w:color="auto"/>
              <w:right w:val="single" w:sz="4" w:space="0" w:color="auto"/>
            </w:tcBorders>
            <w:vAlign w:val="center"/>
          </w:tcPr>
          <w:p w:rsidR="001E4343" w:rsidRDefault="001E4343" w:rsidP="001E4343">
            <w:pPr>
              <w:spacing w:line="420" w:lineRule="exact"/>
              <w:jc w:val="center"/>
              <w:rPr>
                <w:rFonts w:ascii="宋体" w:hAnsi="宋体"/>
                <w:bCs/>
                <w:sz w:val="24"/>
              </w:rPr>
            </w:pPr>
            <w:r>
              <w:rPr>
                <w:rFonts w:hAnsi="宋体"/>
                <w:bCs/>
                <w:iCs/>
                <w:color w:val="000000"/>
                <w:kern w:val="0"/>
                <w:sz w:val="24"/>
              </w:rPr>
              <w:t>投资者关系活动主要内容介绍</w:t>
            </w:r>
          </w:p>
        </w:tc>
      </w:tr>
      <w:tr w:rsidR="001E4343" w:rsidTr="00AD0402">
        <w:tc>
          <w:tcPr>
            <w:tcW w:w="8755" w:type="dxa"/>
            <w:gridSpan w:val="2"/>
            <w:tcBorders>
              <w:top w:val="single" w:sz="4" w:space="0" w:color="auto"/>
              <w:left w:val="single" w:sz="4" w:space="0" w:color="auto"/>
              <w:bottom w:val="single" w:sz="4" w:space="0" w:color="auto"/>
              <w:right w:val="single" w:sz="4" w:space="0" w:color="auto"/>
            </w:tcBorders>
            <w:vAlign w:val="center"/>
          </w:tcPr>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请问一下贵公司收购</w:t>
            </w:r>
            <w:proofErr w:type="gramStart"/>
            <w:r>
              <w:rPr>
                <w:rFonts w:ascii="宋体" w:hAnsi="宋体"/>
                <w:b/>
                <w:sz w:val="24"/>
                <w:szCs w:val="24"/>
              </w:rPr>
              <w:t>茵地乐进展</w:t>
            </w:r>
            <w:proofErr w:type="gramEnd"/>
            <w:r>
              <w:rPr>
                <w:rFonts w:ascii="宋体" w:hAnsi="宋体"/>
                <w:b/>
                <w:sz w:val="24"/>
                <w:szCs w:val="24"/>
              </w:rPr>
              <w:t>如何？</w:t>
            </w:r>
          </w:p>
          <w:p w:rsid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公司于2025年8月1日收到上海证券交易所下发的《审核问询函》，随后立即组织各方对《审核问询函》所列问题进行回复，各中介机构已经开展了必要的核查工作，公司将尽快提交《审核问询函》回复等文件并根据要求及时履行信息披露义务。本次交易尚需通过上交所审核并取得中国证券监督管理委员会同意注册的批复，最终能否通过审核、取得注册，以及最终通过审核、取得注册的时间仍存在不确定性。公司将根据该事项的进展情况，按照有关法律法规的规定和要求及时履行信息披露义务，敬请广大投资者注意投资风险。</w:t>
            </w:r>
          </w:p>
          <w:p w:rsidR="001E4343" w:rsidRPr="00B530BB" w:rsidRDefault="001E4343" w:rsidP="004F15E4">
            <w:pPr>
              <w:pStyle w:val="Style6"/>
              <w:numPr>
                <w:ilvl w:val="0"/>
                <w:numId w:val="1"/>
              </w:numPr>
              <w:spacing w:line="460" w:lineRule="exact"/>
              <w:ind w:left="0" w:firstLine="482"/>
              <w:rPr>
                <w:rFonts w:ascii="宋体" w:hAnsi="宋体"/>
                <w:b/>
                <w:sz w:val="24"/>
                <w:szCs w:val="24"/>
              </w:rPr>
            </w:pPr>
            <w:proofErr w:type="gramStart"/>
            <w:r w:rsidRPr="00B530BB">
              <w:rPr>
                <w:rFonts w:ascii="宋体" w:hAnsi="宋体"/>
                <w:b/>
                <w:sz w:val="24"/>
                <w:szCs w:val="24"/>
              </w:rPr>
              <w:t>请问茵地乐</w:t>
            </w:r>
            <w:proofErr w:type="gramEnd"/>
            <w:r w:rsidRPr="00B530BB">
              <w:rPr>
                <w:rFonts w:ascii="宋体" w:hAnsi="宋体"/>
                <w:b/>
                <w:sz w:val="24"/>
                <w:szCs w:val="24"/>
              </w:rPr>
              <w:t>的财务并表会对上市公司财务业绩产生怎样的影响？</w:t>
            </w:r>
          </w:p>
          <w:p w:rsidR="001E4343" w:rsidRDefault="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根据备考财务报表，如按照合并口径对报告期内</w:t>
            </w:r>
            <w:proofErr w:type="gramStart"/>
            <w:r>
              <w:rPr>
                <w:rFonts w:ascii="宋体" w:hAnsi="宋体"/>
                <w:sz w:val="24"/>
                <w:szCs w:val="24"/>
              </w:rPr>
              <w:t>公司财报进行</w:t>
            </w:r>
            <w:proofErr w:type="gramEnd"/>
            <w:r>
              <w:rPr>
                <w:rFonts w:ascii="宋体" w:hAnsi="宋体"/>
                <w:sz w:val="24"/>
                <w:szCs w:val="24"/>
              </w:rPr>
              <w:t>测算，2023年度上市公司业绩情况为营业收入从10.27亿元上升到15.30亿元，</w:t>
            </w:r>
            <w:proofErr w:type="gramStart"/>
            <w:r>
              <w:rPr>
                <w:rFonts w:ascii="宋体" w:hAnsi="宋体"/>
                <w:sz w:val="24"/>
                <w:szCs w:val="24"/>
              </w:rPr>
              <w:t>归母</w:t>
            </w:r>
            <w:bookmarkStart w:id="0" w:name="_GoBack"/>
            <w:bookmarkEnd w:id="0"/>
            <w:r>
              <w:rPr>
                <w:rFonts w:ascii="宋体" w:hAnsi="宋体"/>
                <w:sz w:val="24"/>
                <w:szCs w:val="24"/>
              </w:rPr>
              <w:t>净利润</w:t>
            </w:r>
            <w:proofErr w:type="gramEnd"/>
            <w:r>
              <w:rPr>
                <w:rFonts w:ascii="宋体" w:hAnsi="宋体"/>
                <w:sz w:val="24"/>
                <w:szCs w:val="24"/>
              </w:rPr>
              <w:t>从</w:t>
            </w:r>
            <w:r>
              <w:rPr>
                <w:rFonts w:ascii="宋体" w:hAnsi="宋体"/>
                <w:sz w:val="24"/>
                <w:szCs w:val="24"/>
              </w:rPr>
              <w:lastRenderedPageBreak/>
              <w:t>0.17亿元上升到1.38亿元；2024年度上市公司业绩情况为营业收入从8.66亿元上升到15.03亿元，</w:t>
            </w:r>
            <w:proofErr w:type="gramStart"/>
            <w:r>
              <w:rPr>
                <w:rFonts w:ascii="宋体" w:hAnsi="宋体"/>
                <w:sz w:val="24"/>
                <w:szCs w:val="24"/>
              </w:rPr>
              <w:t>归母净利润</w:t>
            </w:r>
            <w:proofErr w:type="gramEnd"/>
            <w:r>
              <w:rPr>
                <w:rFonts w:ascii="宋体" w:hAnsi="宋体"/>
                <w:sz w:val="24"/>
                <w:szCs w:val="24"/>
              </w:rPr>
              <w:t>从-1.59亿元上升到-0.21亿元；2025年1-5月上市公司业绩情况为营业收入从3.13亿元上升到6.30亿元，</w:t>
            </w:r>
            <w:proofErr w:type="gramStart"/>
            <w:r>
              <w:rPr>
                <w:rFonts w:ascii="宋体" w:hAnsi="宋体"/>
                <w:sz w:val="24"/>
                <w:szCs w:val="24"/>
              </w:rPr>
              <w:t>归母净利润</w:t>
            </w:r>
            <w:proofErr w:type="gramEnd"/>
            <w:r>
              <w:rPr>
                <w:rFonts w:ascii="宋体" w:hAnsi="宋体"/>
                <w:sz w:val="24"/>
                <w:szCs w:val="24"/>
              </w:rPr>
              <w:t>从0.23亿元上升到0.87亿元，上市公司盈利能力明显提升。</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本次交易需支付现金对价2.59亿元，而截至2025年6月末公司账上货币资金仅1.04亿元，公司支付本次现金对价是否会造成较大的经营压力？</w:t>
            </w:r>
          </w:p>
          <w:p w:rsid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并购资金的安排上，公司计划通过配套募集资金及使用自有资金共同支付，公司本次</w:t>
            </w:r>
            <w:proofErr w:type="gramStart"/>
            <w:r>
              <w:rPr>
                <w:rFonts w:ascii="宋体" w:hAnsi="宋体"/>
                <w:sz w:val="24"/>
                <w:szCs w:val="24"/>
              </w:rPr>
              <w:t>拟配套</w:t>
            </w:r>
            <w:proofErr w:type="gramEnd"/>
            <w:r>
              <w:rPr>
                <w:rFonts w:ascii="宋体" w:hAnsi="宋体"/>
                <w:sz w:val="24"/>
                <w:szCs w:val="24"/>
              </w:rPr>
              <w:t>募集资金1.558亿元，由实</w:t>
            </w:r>
            <w:proofErr w:type="gramStart"/>
            <w:r>
              <w:rPr>
                <w:rFonts w:ascii="宋体" w:hAnsi="宋体"/>
                <w:sz w:val="24"/>
                <w:szCs w:val="24"/>
              </w:rPr>
              <w:t>控人梁丰及其</w:t>
            </w:r>
            <w:proofErr w:type="gramEnd"/>
            <w:r>
              <w:rPr>
                <w:rFonts w:ascii="宋体" w:hAnsi="宋体"/>
                <w:sz w:val="24"/>
                <w:szCs w:val="24"/>
              </w:rPr>
              <w:t>一致行动人</w:t>
            </w:r>
            <w:proofErr w:type="gramStart"/>
            <w:r>
              <w:rPr>
                <w:rFonts w:ascii="宋体" w:hAnsi="宋体"/>
                <w:sz w:val="24"/>
                <w:szCs w:val="24"/>
              </w:rPr>
              <w:t>上海阔元认购</w:t>
            </w:r>
            <w:proofErr w:type="gramEnd"/>
            <w:r>
              <w:rPr>
                <w:rFonts w:ascii="宋体" w:hAnsi="宋体"/>
                <w:sz w:val="24"/>
                <w:szCs w:val="24"/>
              </w:rPr>
              <w:t>；其余部分约1亿元使用上市公司自有或自筹资金支付。公司出售</w:t>
            </w:r>
            <w:proofErr w:type="gramStart"/>
            <w:r>
              <w:rPr>
                <w:rFonts w:ascii="宋体" w:hAnsi="宋体"/>
                <w:sz w:val="24"/>
                <w:szCs w:val="24"/>
              </w:rPr>
              <w:t>日播至胜</w:t>
            </w:r>
            <w:proofErr w:type="gramEnd"/>
            <w:r>
              <w:rPr>
                <w:rFonts w:ascii="宋体" w:hAnsi="宋体"/>
                <w:sz w:val="24"/>
                <w:szCs w:val="24"/>
              </w:rPr>
              <w:t>已收到全部款项1.385亿元，已作为储备资金，不足部分可考虑使用其他自有资金，截至2025年8月31日公司可自由支配资金（含银行存款+委托理财）约2.39亿元，叠加配套募集资金后完全可覆盖付款需求，不会对运营资金造成压力。</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目前关于固态电池的应用前景，贵司是怎么理解的?</w:t>
            </w:r>
          </w:p>
          <w:p w:rsid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固态电池又分为半固态电池和全固态电池。半固态电池作为液态电池向全固态电池过渡的重要技术路线，近几年产业化进展显著，而被视为下一代电池技术的全固态电池，其大规模商业化进程仍面临材料、工艺和成本等多重挑战。据专家和业内权威人士预测，全固态电池在短期内难以完全取代传统液态/半固态锂电池。</w:t>
            </w:r>
          </w:p>
          <w:p w:rsidR="001E4343" w:rsidRDefault="001E4343" w:rsidP="001E4343">
            <w:pPr>
              <w:pStyle w:val="Style6"/>
              <w:spacing w:line="460" w:lineRule="exact"/>
              <w:ind w:leftChars="-1" w:left="-2" w:firstLine="480"/>
              <w:rPr>
                <w:rFonts w:ascii="宋体" w:hAnsi="宋体"/>
                <w:sz w:val="24"/>
                <w:szCs w:val="24"/>
              </w:rPr>
            </w:pPr>
            <w:r>
              <w:rPr>
                <w:rFonts w:ascii="宋体" w:hAnsi="宋体"/>
                <w:sz w:val="24"/>
                <w:szCs w:val="24"/>
              </w:rPr>
              <w:t>当前液态电池能量密度仍在持续提升，快</w:t>
            </w:r>
            <w:proofErr w:type="gramStart"/>
            <w:r>
              <w:rPr>
                <w:rFonts w:ascii="宋体" w:hAnsi="宋体"/>
                <w:sz w:val="24"/>
                <w:szCs w:val="24"/>
              </w:rPr>
              <w:t>充技术与换电</w:t>
            </w:r>
            <w:proofErr w:type="gramEnd"/>
            <w:r>
              <w:rPr>
                <w:rFonts w:ascii="宋体" w:hAnsi="宋体"/>
                <w:sz w:val="24"/>
                <w:szCs w:val="24"/>
              </w:rPr>
              <w:t>模式的逐渐成熟也缓解了续航焦虑，短期内固态电池可能先应用于航空航天、深海等对成本不敏感的高端领域，而液态电池仍主导消费电子、电动汽车及储能等主流市场。据SNE Research预测，到2030年，液态</w:t>
            </w:r>
            <w:proofErr w:type="gramStart"/>
            <w:r>
              <w:rPr>
                <w:rFonts w:ascii="宋体" w:hAnsi="宋体"/>
                <w:sz w:val="24"/>
                <w:szCs w:val="24"/>
              </w:rPr>
              <w:t>锂</w:t>
            </w:r>
            <w:proofErr w:type="gramEnd"/>
            <w:r>
              <w:rPr>
                <w:rFonts w:ascii="宋体" w:hAnsi="宋体"/>
                <w:sz w:val="24"/>
                <w:szCs w:val="24"/>
              </w:rPr>
              <w:t>离子电池将占据全球电池市场的95%以上，而全固态电池的市场渗透率则仅占4%左右。</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本次交易完成后，公司将转型为“服装锂电池粘结剂”的双主业经营风格，后续如何控制人员整合方面的风险？</w:t>
            </w:r>
          </w:p>
          <w:p w:rsid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公司实际控制人梁</w:t>
            </w:r>
            <w:proofErr w:type="gramStart"/>
            <w:r>
              <w:rPr>
                <w:rFonts w:ascii="宋体" w:hAnsi="宋体"/>
                <w:sz w:val="24"/>
                <w:szCs w:val="24"/>
              </w:rPr>
              <w:t>丰具备</w:t>
            </w:r>
            <w:proofErr w:type="gramEnd"/>
            <w:r>
              <w:rPr>
                <w:rFonts w:ascii="宋体" w:hAnsi="宋体"/>
                <w:sz w:val="24"/>
                <w:szCs w:val="24"/>
              </w:rPr>
              <w:t>丰富的管理经验，其创立和实际控制的上市公司</w:t>
            </w:r>
            <w:proofErr w:type="gramStart"/>
            <w:r>
              <w:rPr>
                <w:rFonts w:ascii="宋体" w:hAnsi="宋体"/>
                <w:sz w:val="24"/>
                <w:szCs w:val="24"/>
              </w:rPr>
              <w:t>璞</w:t>
            </w:r>
            <w:proofErr w:type="gramEnd"/>
            <w:r>
              <w:rPr>
                <w:rFonts w:ascii="宋体" w:hAnsi="宋体"/>
                <w:sz w:val="24"/>
                <w:szCs w:val="24"/>
              </w:rPr>
              <w:t>泰来（股票代码：603659）是国内新能源行业的优秀企业之一，致力于成为新能源电池关键材料及自动化装备的综合解决方案商，璞泰来下设负极材料、膜材料及涂覆、自动化装备等事业部，各经营板块分布于国内多个地区，具备多板块、多产品、多模式的经营特点。</w:t>
            </w:r>
          </w:p>
          <w:p w:rsidR="001E4343" w:rsidRDefault="001E4343" w:rsidP="001E4343">
            <w:pPr>
              <w:pStyle w:val="Style6"/>
              <w:spacing w:line="460" w:lineRule="exact"/>
              <w:ind w:leftChars="-1" w:left="-2" w:firstLine="480"/>
              <w:rPr>
                <w:rFonts w:ascii="宋体" w:hAnsi="宋体"/>
                <w:sz w:val="24"/>
                <w:szCs w:val="24"/>
              </w:rPr>
            </w:pPr>
            <w:r>
              <w:rPr>
                <w:rFonts w:ascii="宋体" w:hAnsi="宋体"/>
                <w:sz w:val="24"/>
                <w:szCs w:val="24"/>
              </w:rPr>
              <w:t>在借鉴</w:t>
            </w:r>
            <w:proofErr w:type="gramStart"/>
            <w:r>
              <w:rPr>
                <w:rFonts w:ascii="宋体" w:hAnsi="宋体"/>
                <w:sz w:val="24"/>
                <w:szCs w:val="24"/>
              </w:rPr>
              <w:t>璞</w:t>
            </w:r>
            <w:proofErr w:type="gramEnd"/>
            <w:r>
              <w:rPr>
                <w:rFonts w:ascii="宋体" w:hAnsi="宋体"/>
                <w:sz w:val="24"/>
                <w:szCs w:val="24"/>
              </w:rPr>
              <w:t>泰来成功的管理经验基础上，日播时尚有能力</w:t>
            </w:r>
            <w:proofErr w:type="gramStart"/>
            <w:r>
              <w:rPr>
                <w:rFonts w:ascii="宋体" w:hAnsi="宋体"/>
                <w:sz w:val="24"/>
                <w:szCs w:val="24"/>
              </w:rPr>
              <w:t>构建双</w:t>
            </w:r>
            <w:proofErr w:type="gramEnd"/>
            <w:r>
              <w:rPr>
                <w:rFonts w:ascii="宋体" w:hAnsi="宋体"/>
                <w:sz w:val="24"/>
                <w:szCs w:val="24"/>
              </w:rPr>
              <w:t>主业的管理模</w:t>
            </w:r>
            <w:r>
              <w:rPr>
                <w:rFonts w:ascii="宋体" w:hAnsi="宋体"/>
                <w:sz w:val="24"/>
                <w:szCs w:val="24"/>
              </w:rPr>
              <w:lastRenderedPageBreak/>
              <w:t>式。本次交易完成后，上市公司服装业务仍将由现有经营团队负责管理，并保持现有的组织架构；</w:t>
            </w:r>
            <w:proofErr w:type="gramStart"/>
            <w:r>
              <w:rPr>
                <w:rFonts w:ascii="宋体" w:hAnsi="宋体"/>
                <w:sz w:val="24"/>
                <w:szCs w:val="24"/>
              </w:rPr>
              <w:t>茵地乐</w:t>
            </w:r>
            <w:proofErr w:type="gramEnd"/>
            <w:r>
              <w:rPr>
                <w:rFonts w:ascii="宋体" w:hAnsi="宋体"/>
                <w:sz w:val="24"/>
                <w:szCs w:val="24"/>
              </w:rPr>
              <w:t>将作为上市公司的控股子公司，纳入上市公司管理体系，在上市公司整体战略框架内自主经营，继续由其核心管理团队经营管理。</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本次交易后上市公司的商誉将增加至约6.4亿元。请问公司未来如何防范商誉减值风险？</w:t>
            </w:r>
          </w:p>
          <w:p w:rsid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作为风险对冲机制，本次交易的10家交易对方均参与了业绩对赌，包含财务投资人，充分说明了对交易标的业绩的信心。交易完成后公司将进一步整合优质资源，充分发挥</w:t>
            </w:r>
            <w:proofErr w:type="gramStart"/>
            <w:r>
              <w:rPr>
                <w:rFonts w:ascii="宋体" w:hAnsi="宋体"/>
                <w:sz w:val="24"/>
                <w:szCs w:val="24"/>
              </w:rPr>
              <w:t>与茵地乐之间</w:t>
            </w:r>
            <w:proofErr w:type="gramEnd"/>
            <w:r>
              <w:rPr>
                <w:rFonts w:ascii="宋体" w:hAnsi="宋体"/>
                <w:sz w:val="24"/>
                <w:szCs w:val="24"/>
              </w:rPr>
              <w:t>管理协同效应，提高整体的持续经营能力、盈利能力和抗风险能力。同时，持续加强内控管理，</w:t>
            </w:r>
            <w:proofErr w:type="gramStart"/>
            <w:r>
              <w:rPr>
                <w:rFonts w:ascii="宋体" w:hAnsi="宋体"/>
                <w:sz w:val="24"/>
                <w:szCs w:val="24"/>
              </w:rPr>
              <w:t>对茵地</w:t>
            </w:r>
            <w:proofErr w:type="gramEnd"/>
            <w:r>
              <w:rPr>
                <w:rFonts w:ascii="宋体" w:hAnsi="宋体"/>
                <w:sz w:val="24"/>
                <w:szCs w:val="24"/>
              </w:rPr>
              <w:t>乐的日常运营进行有效监督，全面掌握</w:t>
            </w:r>
            <w:proofErr w:type="gramStart"/>
            <w:r>
              <w:rPr>
                <w:rFonts w:ascii="宋体" w:hAnsi="宋体"/>
                <w:sz w:val="24"/>
                <w:szCs w:val="24"/>
              </w:rPr>
              <w:t>茵地乐经营</w:t>
            </w:r>
            <w:proofErr w:type="gramEnd"/>
            <w:r>
              <w:rPr>
                <w:rFonts w:ascii="宋体" w:hAnsi="宋体"/>
                <w:sz w:val="24"/>
                <w:szCs w:val="24"/>
              </w:rPr>
              <w:t>业务情况，并</w:t>
            </w:r>
            <w:proofErr w:type="gramStart"/>
            <w:r>
              <w:rPr>
                <w:rFonts w:ascii="宋体" w:hAnsi="宋体"/>
                <w:sz w:val="24"/>
                <w:szCs w:val="24"/>
              </w:rPr>
              <w:t>按期进行商誉</w:t>
            </w:r>
            <w:proofErr w:type="gramEnd"/>
            <w:r>
              <w:rPr>
                <w:rFonts w:ascii="宋体" w:hAnsi="宋体"/>
                <w:sz w:val="24"/>
                <w:szCs w:val="24"/>
              </w:rPr>
              <w:t>减值测试，防范商誉减值风险带来的不利影响。</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如何</w:t>
            </w:r>
            <w:proofErr w:type="gramStart"/>
            <w:r>
              <w:rPr>
                <w:rFonts w:ascii="宋体" w:hAnsi="宋体"/>
                <w:b/>
                <w:sz w:val="24"/>
                <w:szCs w:val="24"/>
              </w:rPr>
              <w:t>看待茵地乐</w:t>
            </w:r>
            <w:proofErr w:type="gramEnd"/>
            <w:r>
              <w:rPr>
                <w:rFonts w:ascii="宋体" w:hAnsi="宋体"/>
                <w:b/>
                <w:sz w:val="24"/>
                <w:szCs w:val="24"/>
              </w:rPr>
              <w:t>的业务发展前景，是否会因市场竞争激烈导致未来经营不及预期的风险？</w:t>
            </w:r>
          </w:p>
          <w:p w:rsid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全球“双碳战略”之下主要国家向绿色低碳能源转型是大势所趋，长期来看新能源产业市场前景广阔这一形势不会改变，迎合全球经济发展趋势并拥有独特竞争力的科技企业终将占有一席之地。</w:t>
            </w:r>
            <w:proofErr w:type="gramStart"/>
            <w:r>
              <w:rPr>
                <w:rFonts w:ascii="宋体" w:hAnsi="宋体"/>
                <w:sz w:val="24"/>
                <w:szCs w:val="24"/>
              </w:rPr>
              <w:t>茵地乐在</w:t>
            </w:r>
            <w:proofErr w:type="gramEnd"/>
            <w:r>
              <w:rPr>
                <w:rFonts w:ascii="宋体" w:hAnsi="宋体"/>
                <w:sz w:val="24"/>
                <w:szCs w:val="24"/>
              </w:rPr>
              <w:t>PAA负极粘结</w:t>
            </w:r>
            <w:proofErr w:type="gramStart"/>
            <w:r>
              <w:rPr>
                <w:rFonts w:ascii="宋体" w:hAnsi="宋体"/>
                <w:sz w:val="24"/>
                <w:szCs w:val="24"/>
              </w:rPr>
              <w:t>剂领域</w:t>
            </w:r>
            <w:proofErr w:type="gramEnd"/>
            <w:r>
              <w:rPr>
                <w:rFonts w:ascii="宋体" w:hAnsi="宋体"/>
                <w:sz w:val="24"/>
                <w:szCs w:val="24"/>
              </w:rPr>
              <w:t>现有</w:t>
            </w:r>
            <w:proofErr w:type="gramStart"/>
            <w:r>
              <w:rPr>
                <w:rFonts w:ascii="宋体" w:hAnsi="宋体"/>
                <w:sz w:val="24"/>
                <w:szCs w:val="24"/>
              </w:rPr>
              <w:t>市占率占</w:t>
            </w:r>
            <w:proofErr w:type="gramEnd"/>
            <w:r>
              <w:rPr>
                <w:rFonts w:ascii="宋体" w:hAnsi="宋体"/>
                <w:sz w:val="24"/>
                <w:szCs w:val="24"/>
              </w:rPr>
              <w:t>比约50%，且已与行业内知名头部企业建立了稳定的业务合作关系，业务和技术优势极具竞争力，行业龙头地位稳固。</w:t>
            </w:r>
          </w:p>
          <w:p w:rsidR="001E4343" w:rsidRDefault="001E4343" w:rsidP="001E4343">
            <w:pPr>
              <w:pStyle w:val="Style6"/>
              <w:spacing w:line="460" w:lineRule="exact"/>
              <w:ind w:leftChars="-1" w:left="-2" w:firstLine="480"/>
              <w:rPr>
                <w:rFonts w:ascii="宋体" w:hAnsi="宋体"/>
                <w:sz w:val="24"/>
                <w:szCs w:val="24"/>
              </w:rPr>
            </w:pPr>
            <w:r>
              <w:rPr>
                <w:rFonts w:ascii="宋体" w:hAnsi="宋体"/>
                <w:sz w:val="24"/>
                <w:szCs w:val="24"/>
              </w:rPr>
              <w:t>锂电池上下游企业经历了2024年的行业深度调整后，整体扩产速度较为审慎，锂电池粘结剂主要公司规划产能基本按在手订单情况进行建造。GGII预计2024年-2030年PAA粘结剂复合增速为28.0%，高于SBR粘结剂复合增速13.4%。从市场需求增速和现有厂商的扩产进度来看，未来锂电池粘结</w:t>
            </w:r>
            <w:proofErr w:type="gramStart"/>
            <w:r>
              <w:rPr>
                <w:rFonts w:ascii="宋体" w:hAnsi="宋体"/>
                <w:sz w:val="24"/>
                <w:szCs w:val="24"/>
              </w:rPr>
              <w:t>剂市场</w:t>
            </w:r>
            <w:proofErr w:type="gramEnd"/>
            <w:r>
              <w:rPr>
                <w:rFonts w:ascii="宋体" w:hAnsi="宋体"/>
                <w:sz w:val="24"/>
                <w:szCs w:val="24"/>
              </w:rPr>
              <w:t>供需失衡的可能性较小，整个行业因市场竞争激烈导致</w:t>
            </w:r>
            <w:proofErr w:type="gramStart"/>
            <w:r>
              <w:rPr>
                <w:rFonts w:ascii="宋体" w:hAnsi="宋体"/>
                <w:sz w:val="24"/>
                <w:szCs w:val="24"/>
              </w:rPr>
              <w:t>茵地乐未来</w:t>
            </w:r>
            <w:proofErr w:type="gramEnd"/>
            <w:r>
              <w:rPr>
                <w:rFonts w:ascii="宋体" w:hAnsi="宋体"/>
                <w:sz w:val="24"/>
                <w:szCs w:val="24"/>
              </w:rPr>
              <w:t>经营不及预期的风险较小。</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新闻上看到公司在转型，不知道公司后续转型成资源开采型企业还是生产加工型企业？</w:t>
            </w:r>
          </w:p>
          <w:p w:rsidR="001E4343" w:rsidRPr="001E4343" w:rsidRDefault="001E4343" w:rsidP="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公司正在推动以发行股份及支付现金的方式购买四川</w:t>
            </w:r>
            <w:proofErr w:type="gramStart"/>
            <w:r>
              <w:rPr>
                <w:rFonts w:ascii="宋体" w:hAnsi="宋体"/>
                <w:sz w:val="24"/>
                <w:szCs w:val="24"/>
              </w:rPr>
              <w:t>茵地乐材料</w:t>
            </w:r>
            <w:proofErr w:type="gramEnd"/>
            <w:r>
              <w:rPr>
                <w:rFonts w:ascii="宋体" w:hAnsi="宋体"/>
                <w:sz w:val="24"/>
                <w:szCs w:val="24"/>
              </w:rPr>
              <w:t>科技集团有限公司71%股权，并募集配套资金，本次交易构成重大资产重组，</w:t>
            </w:r>
            <w:proofErr w:type="gramStart"/>
            <w:r>
              <w:rPr>
                <w:rFonts w:ascii="宋体" w:hAnsi="宋体"/>
                <w:sz w:val="24"/>
                <w:szCs w:val="24"/>
              </w:rPr>
              <w:t>茵地乐</w:t>
            </w:r>
            <w:proofErr w:type="gramEnd"/>
            <w:r>
              <w:rPr>
                <w:rFonts w:ascii="宋体" w:hAnsi="宋体"/>
                <w:sz w:val="24"/>
                <w:szCs w:val="24"/>
              </w:rPr>
              <w:t>自创立之初即深耕锂电池粘结剂领域，是行业首家主营PAA类锂电池水性粘结剂的企业；日播时尚</w:t>
            </w:r>
            <w:proofErr w:type="gramStart"/>
            <w:r>
              <w:rPr>
                <w:rFonts w:ascii="宋体" w:hAnsi="宋体"/>
                <w:sz w:val="24"/>
                <w:szCs w:val="24"/>
              </w:rPr>
              <w:t>并购茵地乐</w:t>
            </w:r>
            <w:proofErr w:type="gramEnd"/>
            <w:r>
              <w:rPr>
                <w:rFonts w:ascii="宋体" w:hAnsi="宋体"/>
                <w:sz w:val="24"/>
                <w:szCs w:val="24"/>
              </w:rPr>
              <w:t>后，将会形成“服装+锂电粘结剂”双主业发展的格局，公司暂不涉及资源开采业务。</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lastRenderedPageBreak/>
              <w:t>请问服装业务2025年上半年经营状况如何？如何实现扭亏？</w:t>
            </w:r>
          </w:p>
          <w:p w:rsidR="00BE3DFB" w:rsidRDefault="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公司2025半年度实现</w:t>
            </w:r>
            <w:proofErr w:type="gramStart"/>
            <w:r>
              <w:rPr>
                <w:rFonts w:ascii="宋体" w:hAnsi="宋体"/>
                <w:sz w:val="24"/>
                <w:szCs w:val="24"/>
              </w:rPr>
              <w:t>归母净利润</w:t>
            </w:r>
            <w:proofErr w:type="gramEnd"/>
            <w:r>
              <w:rPr>
                <w:rFonts w:ascii="宋体" w:hAnsi="宋体"/>
                <w:sz w:val="24"/>
                <w:szCs w:val="24"/>
              </w:rPr>
              <w:t>3,828.76万元，实现扭亏为盈，主要</w:t>
            </w:r>
            <w:proofErr w:type="gramStart"/>
            <w:r>
              <w:rPr>
                <w:rFonts w:ascii="宋体" w:hAnsi="宋体"/>
                <w:sz w:val="24"/>
                <w:szCs w:val="24"/>
              </w:rPr>
              <w:t>系报告</w:t>
            </w:r>
            <w:proofErr w:type="gramEnd"/>
            <w:r>
              <w:rPr>
                <w:rFonts w:ascii="宋体" w:hAnsi="宋体"/>
                <w:sz w:val="24"/>
                <w:szCs w:val="24"/>
              </w:rPr>
              <w:t>期内公司将全资子公司上海日播至胜实业有限公司100%股权转让给上海日</w:t>
            </w:r>
            <w:proofErr w:type="gramStart"/>
            <w:r>
              <w:rPr>
                <w:rFonts w:ascii="宋体" w:hAnsi="宋体"/>
                <w:sz w:val="24"/>
                <w:szCs w:val="24"/>
              </w:rPr>
              <w:t>播投资</w:t>
            </w:r>
            <w:proofErr w:type="gramEnd"/>
            <w:r>
              <w:rPr>
                <w:rFonts w:ascii="宋体" w:hAnsi="宋体"/>
                <w:sz w:val="24"/>
                <w:szCs w:val="24"/>
              </w:rPr>
              <w:t>控股有限公司，经初步核算上述股权转让产生转让收益3,503.95万元。该交易有利于公司进一步聚焦主营业务，减轻固定资产投资压力和负担。</w:t>
            </w:r>
          </w:p>
          <w:p w:rsidR="001E4343" w:rsidRDefault="001E4343">
            <w:pPr>
              <w:pStyle w:val="Style6"/>
              <w:spacing w:line="460" w:lineRule="exact"/>
              <w:ind w:leftChars="-1" w:left="-2" w:firstLine="480"/>
              <w:rPr>
                <w:rFonts w:ascii="宋体" w:hAnsi="宋体"/>
                <w:sz w:val="24"/>
                <w:szCs w:val="24"/>
              </w:rPr>
            </w:pPr>
            <w:r>
              <w:rPr>
                <w:rFonts w:ascii="宋体" w:hAnsi="宋体"/>
                <w:sz w:val="24"/>
                <w:szCs w:val="24"/>
              </w:rPr>
              <w:t>扣除非经常损益后公司实现归母净利润91.88万元，主营业务亦扭亏为盈，影响原因主要系公司通过优化产品结构促进产品升级；打磨品牌内核，传递品牌价值；整合全渠道营销，提升品牌声浪；完善会员服务，增加用户价值；拥抱</w:t>
            </w:r>
            <w:r w:rsidR="00BE3DFB">
              <w:rPr>
                <w:rFonts w:ascii="宋体" w:hAnsi="宋体"/>
                <w:sz w:val="24"/>
                <w:szCs w:val="24"/>
              </w:rPr>
              <w:t>AI</w:t>
            </w:r>
            <w:r>
              <w:rPr>
                <w:rFonts w:ascii="宋体" w:hAnsi="宋体"/>
                <w:sz w:val="24"/>
                <w:szCs w:val="24"/>
              </w:rPr>
              <w:t>变革，推动数字化升级；进行组织变革，激活生态化运营等战略举措，积极改善经营业绩。</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2025年上半年存货下降14.95</w:t>
            </w:r>
            <w:r w:rsidR="007C17B1">
              <w:rPr>
                <w:rFonts w:ascii="宋体" w:hAnsi="宋体"/>
                <w:b/>
                <w:sz w:val="24"/>
                <w:szCs w:val="24"/>
              </w:rPr>
              <w:t>%</w:t>
            </w:r>
            <w:r>
              <w:rPr>
                <w:rFonts w:ascii="宋体" w:hAnsi="宋体"/>
                <w:b/>
                <w:sz w:val="24"/>
                <w:szCs w:val="24"/>
              </w:rPr>
              <w:t>，主要去库存方式是什么？</w:t>
            </w:r>
          </w:p>
          <w:p w:rsidR="001E4343" w:rsidRDefault="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库存管理方面，公司主要采取了如下举措：一是拓展奥</w:t>
            </w:r>
            <w:proofErr w:type="gramStart"/>
            <w:r>
              <w:rPr>
                <w:rFonts w:ascii="宋体" w:hAnsi="宋体"/>
                <w:sz w:val="24"/>
                <w:szCs w:val="24"/>
              </w:rPr>
              <w:t>莱</w:t>
            </w:r>
            <w:proofErr w:type="gramEnd"/>
            <w:r>
              <w:rPr>
                <w:rFonts w:ascii="宋体" w:hAnsi="宋体"/>
                <w:sz w:val="24"/>
                <w:szCs w:val="24"/>
              </w:rPr>
              <w:t>店铺，借助专业定位的渠道消化库存；二是线上渠道（</w:t>
            </w:r>
            <w:proofErr w:type="gramStart"/>
            <w:r>
              <w:rPr>
                <w:rFonts w:ascii="宋体" w:hAnsi="宋体"/>
                <w:sz w:val="24"/>
                <w:szCs w:val="24"/>
              </w:rPr>
              <w:t>如抖音</w:t>
            </w:r>
            <w:proofErr w:type="gramEnd"/>
            <w:r>
              <w:rPr>
                <w:rFonts w:ascii="宋体" w:hAnsi="宋体"/>
                <w:sz w:val="24"/>
                <w:szCs w:val="24"/>
              </w:rPr>
              <w:t>直播间）推出折扣专场；三是优化采购计划，按销售数据精准下单，减少新增库存。</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2025年上半年经营活动现金流净额同比大增2137.67</w:t>
            </w:r>
            <w:r w:rsidR="007C17B1">
              <w:rPr>
                <w:rFonts w:ascii="宋体" w:hAnsi="宋体"/>
                <w:b/>
                <w:sz w:val="24"/>
                <w:szCs w:val="24"/>
              </w:rPr>
              <w:t>%</w:t>
            </w:r>
            <w:r>
              <w:rPr>
                <w:rFonts w:ascii="宋体" w:hAnsi="宋体"/>
                <w:b/>
                <w:sz w:val="24"/>
                <w:szCs w:val="24"/>
              </w:rPr>
              <w:t>，但期末货币资金下降26.43</w:t>
            </w:r>
            <w:r w:rsidR="007C17B1">
              <w:rPr>
                <w:rFonts w:ascii="宋体" w:hAnsi="宋体"/>
                <w:b/>
                <w:sz w:val="24"/>
                <w:szCs w:val="24"/>
              </w:rPr>
              <w:t>%</w:t>
            </w:r>
            <w:r>
              <w:rPr>
                <w:rFonts w:ascii="宋体" w:hAnsi="宋体"/>
                <w:b/>
                <w:sz w:val="24"/>
                <w:szCs w:val="24"/>
              </w:rPr>
              <w:t>，主要原因是什么？如何平衡并购付款与运营资金？</w:t>
            </w:r>
          </w:p>
          <w:p w:rsidR="001E4343" w:rsidRDefault="001E4343">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报告期内，公司实现经营活动净现金流1,706.50万元，相较去年同期的76.26万元同比增长2,137.67%，主要</w:t>
            </w:r>
            <w:proofErr w:type="gramStart"/>
            <w:r>
              <w:rPr>
                <w:rFonts w:ascii="宋体" w:hAnsi="宋体"/>
                <w:sz w:val="24"/>
                <w:szCs w:val="24"/>
              </w:rPr>
              <w:t>系加强</w:t>
            </w:r>
            <w:proofErr w:type="gramEnd"/>
            <w:r>
              <w:rPr>
                <w:rFonts w:ascii="宋体" w:hAnsi="宋体"/>
                <w:sz w:val="24"/>
                <w:szCs w:val="24"/>
              </w:rPr>
              <w:t>了对新</w:t>
            </w:r>
            <w:proofErr w:type="gramStart"/>
            <w:r>
              <w:rPr>
                <w:rFonts w:ascii="宋体" w:hAnsi="宋体"/>
                <w:sz w:val="24"/>
                <w:szCs w:val="24"/>
              </w:rPr>
              <w:t>季商品</w:t>
            </w:r>
            <w:proofErr w:type="gramEnd"/>
            <w:r>
              <w:rPr>
                <w:rFonts w:ascii="宋体" w:hAnsi="宋体"/>
                <w:sz w:val="24"/>
                <w:szCs w:val="24"/>
              </w:rPr>
              <w:t>的生产规划和库存货品的消化，使得存货规模得到较好的控制，并得益于关闭低效店铺、降低费用支出。</w:t>
            </w:r>
          </w:p>
          <w:p w:rsidR="001E4343" w:rsidRDefault="001E4343">
            <w:pPr>
              <w:pStyle w:val="Style6"/>
              <w:spacing w:line="460" w:lineRule="exact"/>
              <w:ind w:leftChars="-1" w:left="-2" w:firstLine="480"/>
              <w:rPr>
                <w:rFonts w:ascii="宋体" w:hAnsi="宋体"/>
                <w:sz w:val="24"/>
                <w:szCs w:val="24"/>
              </w:rPr>
            </w:pPr>
            <w:r>
              <w:rPr>
                <w:rFonts w:ascii="宋体" w:hAnsi="宋体"/>
                <w:sz w:val="24"/>
                <w:szCs w:val="24"/>
              </w:rPr>
              <w:t>期末货币资金下降26.43%，核心原因是投资活动现金流出增加，即公司增加委托理财规模，交易性金融资产期末余额达到8,327.27万元。</w:t>
            </w:r>
          </w:p>
          <w:p w:rsidR="001E4343" w:rsidRDefault="001E4343">
            <w:pPr>
              <w:pStyle w:val="Style6"/>
              <w:spacing w:line="460" w:lineRule="exact"/>
              <w:ind w:leftChars="-1" w:left="-2" w:firstLine="480"/>
              <w:rPr>
                <w:rFonts w:ascii="宋体" w:hAnsi="宋体"/>
                <w:sz w:val="24"/>
                <w:szCs w:val="24"/>
              </w:rPr>
            </w:pPr>
            <w:r>
              <w:rPr>
                <w:rFonts w:ascii="宋体" w:hAnsi="宋体"/>
                <w:sz w:val="24"/>
                <w:szCs w:val="24"/>
              </w:rPr>
              <w:t>并购资金的安排上，公司计划通过配套募集资金及使用自有资金共同支付。2025年8月14日，公司出售</w:t>
            </w:r>
            <w:proofErr w:type="gramStart"/>
            <w:r>
              <w:rPr>
                <w:rFonts w:ascii="宋体" w:hAnsi="宋体"/>
                <w:sz w:val="24"/>
                <w:szCs w:val="24"/>
              </w:rPr>
              <w:t>日播至胜</w:t>
            </w:r>
            <w:proofErr w:type="gramEnd"/>
            <w:r>
              <w:rPr>
                <w:rFonts w:ascii="宋体" w:hAnsi="宋体"/>
                <w:sz w:val="24"/>
                <w:szCs w:val="24"/>
              </w:rPr>
              <w:t>已收到全部款项1.385亿元，已作为储备资金，不足部分可考虑使用其他自有资金。截至2025年8月31日可自由支配资金（</w:t>
            </w:r>
            <w:r>
              <w:rPr>
                <w:rFonts w:ascii="宋体" w:hAnsi="宋体" w:hint="eastAsia"/>
                <w:sz w:val="24"/>
                <w:szCs w:val="24"/>
              </w:rPr>
              <w:t>含</w:t>
            </w:r>
            <w:r>
              <w:rPr>
                <w:rFonts w:ascii="宋体" w:hAnsi="宋体"/>
                <w:sz w:val="24"/>
                <w:szCs w:val="24"/>
              </w:rPr>
              <w:t>银行存款+委托理财）约2.39亿元，叠加配套募集资金后完全可覆盖付款需求，不会对运营资金造成压力。</w:t>
            </w:r>
          </w:p>
          <w:p w:rsidR="001E4343" w:rsidRDefault="001E4343" w:rsidP="004F15E4">
            <w:pPr>
              <w:pStyle w:val="Style6"/>
              <w:numPr>
                <w:ilvl w:val="0"/>
                <w:numId w:val="1"/>
              </w:numPr>
              <w:spacing w:line="460" w:lineRule="exact"/>
              <w:ind w:left="0" w:firstLine="482"/>
              <w:rPr>
                <w:rFonts w:ascii="宋体" w:hAnsi="宋体"/>
                <w:b/>
                <w:sz w:val="24"/>
                <w:szCs w:val="24"/>
              </w:rPr>
            </w:pPr>
            <w:r>
              <w:rPr>
                <w:rFonts w:ascii="宋体" w:hAnsi="宋体"/>
                <w:b/>
                <w:sz w:val="24"/>
                <w:szCs w:val="24"/>
              </w:rPr>
              <w:t>中报显示，公司线上业务收入占</w:t>
            </w:r>
            <w:proofErr w:type="gramStart"/>
            <w:r>
              <w:rPr>
                <w:rFonts w:ascii="宋体" w:hAnsi="宋体"/>
                <w:b/>
                <w:sz w:val="24"/>
                <w:szCs w:val="24"/>
              </w:rPr>
              <w:t>比持续</w:t>
            </w:r>
            <w:proofErr w:type="gramEnd"/>
            <w:r>
              <w:rPr>
                <w:rFonts w:ascii="宋体" w:hAnsi="宋体"/>
                <w:b/>
                <w:sz w:val="24"/>
                <w:szCs w:val="24"/>
              </w:rPr>
              <w:t>提升。请问线</w:t>
            </w:r>
            <w:proofErr w:type="gramStart"/>
            <w:r>
              <w:rPr>
                <w:rFonts w:ascii="宋体" w:hAnsi="宋体"/>
                <w:b/>
                <w:sz w:val="24"/>
                <w:szCs w:val="24"/>
              </w:rPr>
              <w:t>上渠道</w:t>
            </w:r>
            <w:proofErr w:type="gramEnd"/>
            <w:r>
              <w:rPr>
                <w:rFonts w:ascii="宋体" w:hAnsi="宋体"/>
                <w:b/>
                <w:sz w:val="24"/>
                <w:szCs w:val="24"/>
              </w:rPr>
              <w:t>的增速和盈利能力与线下直营、加盟渠道相比有何差异？公司在优化渠道结构、提升全域流量和客户</w:t>
            </w:r>
            <w:proofErr w:type="gramStart"/>
            <w:r>
              <w:rPr>
                <w:rFonts w:ascii="宋体" w:hAnsi="宋体"/>
                <w:b/>
                <w:sz w:val="24"/>
                <w:szCs w:val="24"/>
              </w:rPr>
              <w:t>复购率方面</w:t>
            </w:r>
            <w:proofErr w:type="gramEnd"/>
            <w:r>
              <w:rPr>
                <w:rFonts w:ascii="宋体" w:hAnsi="宋体"/>
                <w:b/>
                <w:sz w:val="24"/>
                <w:szCs w:val="24"/>
              </w:rPr>
              <w:t>有何具体规划？</w:t>
            </w:r>
          </w:p>
          <w:p w:rsidR="001E4343" w:rsidRPr="001E4343" w:rsidRDefault="001E4343" w:rsidP="004F15E4">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线上与线下融合的趋势已成为服装行业的一大发展机遇，结合了电子商务的便捷性和实体店的体验感，这种新零售模式正在成为推动服装消费的新动力，此</w:t>
            </w:r>
            <w:r>
              <w:rPr>
                <w:rFonts w:ascii="宋体" w:hAnsi="宋体"/>
                <w:sz w:val="24"/>
                <w:szCs w:val="24"/>
              </w:rPr>
              <w:lastRenderedPageBreak/>
              <w:t>模式通过</w:t>
            </w:r>
            <w:proofErr w:type="gramStart"/>
            <w:r>
              <w:rPr>
                <w:rFonts w:ascii="宋体" w:hAnsi="宋体"/>
                <w:sz w:val="24"/>
                <w:szCs w:val="24"/>
              </w:rPr>
              <w:t>整合线</w:t>
            </w:r>
            <w:proofErr w:type="gramEnd"/>
            <w:r>
              <w:rPr>
                <w:rFonts w:ascii="宋体" w:hAnsi="宋体"/>
                <w:sz w:val="24"/>
                <w:szCs w:val="24"/>
              </w:rPr>
              <w:t>上、线下资源，实现消费者体验的无缝对接，使购物更加便捷和愉悦。公司持续坚持“全渠道、轻资产、数智能、精运维”的运营管理模式，全力打造以“用户价值体验为核心”的营销链、商品链、服务链、社群链，为用户精准地提供高品质的商品、贴心服务和便捷的购物体验。</w:t>
            </w:r>
          </w:p>
        </w:tc>
      </w:tr>
    </w:tbl>
    <w:p w:rsidR="008B2C97" w:rsidRDefault="008B2C97"/>
    <w:sectPr w:rsidR="008B2C9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4F" w:rsidRDefault="00996E4F">
      <w:r>
        <w:separator/>
      </w:r>
    </w:p>
  </w:endnote>
  <w:endnote w:type="continuationSeparator" w:id="0">
    <w:p w:rsidR="00996E4F" w:rsidRDefault="0099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97" w:rsidRDefault="008B2C97">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4F" w:rsidRDefault="00996E4F">
      <w:r>
        <w:separator/>
      </w:r>
    </w:p>
  </w:footnote>
  <w:footnote w:type="continuationSeparator" w:id="0">
    <w:p w:rsidR="00996E4F" w:rsidRDefault="00996E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97" w:rsidRDefault="008B2C97">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E6E3A"/>
    <w:multiLevelType w:val="hybridMultilevel"/>
    <w:tmpl w:val="9B9E7D4C"/>
    <w:lvl w:ilvl="0" w:tplc="F0908840">
      <w:start w:val="1"/>
      <w:numFmt w:val="decimal"/>
      <w:lvlText w:val="%1、"/>
      <w:lvlJc w:val="left"/>
      <w:pPr>
        <w:ind w:left="833" w:hanging="420"/>
      </w:pPr>
      <w:rPr>
        <w:rFonts w:hint="eastAsia"/>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B5B51"/>
    <w:rsid w:val="000C26FD"/>
    <w:rsid w:val="000C2D85"/>
    <w:rsid w:val="000E5700"/>
    <w:rsid w:val="000F0C4B"/>
    <w:rsid w:val="000F0E22"/>
    <w:rsid w:val="00105A04"/>
    <w:rsid w:val="001169A9"/>
    <w:rsid w:val="00125EB2"/>
    <w:rsid w:val="00142A4C"/>
    <w:rsid w:val="00143C23"/>
    <w:rsid w:val="00144279"/>
    <w:rsid w:val="001452FF"/>
    <w:rsid w:val="0016617A"/>
    <w:rsid w:val="00167E99"/>
    <w:rsid w:val="001975AB"/>
    <w:rsid w:val="001A00F5"/>
    <w:rsid w:val="001A1F65"/>
    <w:rsid w:val="001A5CE9"/>
    <w:rsid w:val="001C50AD"/>
    <w:rsid w:val="001D22EE"/>
    <w:rsid w:val="001D4C89"/>
    <w:rsid w:val="001E1838"/>
    <w:rsid w:val="001E3145"/>
    <w:rsid w:val="001E4343"/>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4F15E4"/>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1DE6"/>
    <w:rsid w:val="00753DB6"/>
    <w:rsid w:val="00763847"/>
    <w:rsid w:val="00771FE3"/>
    <w:rsid w:val="00776BDE"/>
    <w:rsid w:val="00786870"/>
    <w:rsid w:val="00792237"/>
    <w:rsid w:val="0079272A"/>
    <w:rsid w:val="007A1DA9"/>
    <w:rsid w:val="007B2252"/>
    <w:rsid w:val="007B79D9"/>
    <w:rsid w:val="007C17B1"/>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2C97"/>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96E4F"/>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73D2"/>
    <w:rsid w:val="00AD1BA8"/>
    <w:rsid w:val="00B02A29"/>
    <w:rsid w:val="00B03522"/>
    <w:rsid w:val="00B04AD6"/>
    <w:rsid w:val="00B14CAA"/>
    <w:rsid w:val="00B257CE"/>
    <w:rsid w:val="00B4746C"/>
    <w:rsid w:val="00B530BB"/>
    <w:rsid w:val="00B65354"/>
    <w:rsid w:val="00B71A0E"/>
    <w:rsid w:val="00B81765"/>
    <w:rsid w:val="00B832F5"/>
    <w:rsid w:val="00BA2FAB"/>
    <w:rsid w:val="00BB5E28"/>
    <w:rsid w:val="00BD15F3"/>
    <w:rsid w:val="00BD7986"/>
    <w:rsid w:val="00BD79D3"/>
    <w:rsid w:val="00BE3DFB"/>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B33"/>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B9E75"/>
  <w15:docId w15:val="{1FAF9FA2-88FD-4F67-AB96-40A50D72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577</Words>
  <Characters>3290</Characters>
  <Application>Microsoft Office Word</Application>
  <DocSecurity>0</DocSecurity>
  <Lines>27</Lines>
  <Paragraphs>7</Paragraphs>
  <ScaleCrop>false</ScaleCrop>
  <Company>微软中国</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姜乃轩</cp:lastModifiedBy>
  <cp:revision>269</cp:revision>
  <cp:lastPrinted>2014-02-21T05:34:00Z</cp:lastPrinted>
  <dcterms:created xsi:type="dcterms:W3CDTF">2012-09-09T08:59:00Z</dcterms:created>
  <dcterms:modified xsi:type="dcterms:W3CDTF">2025-09-22T03:48:00Z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