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CD9AE">
      <w:pPr>
        <w:rPr>
          <w:rFonts w:asciiTheme="minorEastAsia" w:hAnsiTheme="minorEastAsia"/>
          <w:b/>
        </w:rPr>
      </w:pPr>
      <w:r>
        <w:rPr>
          <w:rFonts w:hint="eastAsia" w:asciiTheme="minorEastAsia" w:hAnsiTheme="minorEastAsia"/>
          <w:b/>
        </w:rPr>
        <w:t>证券代码：605580                                             证券简称：恒盛能源</w:t>
      </w:r>
    </w:p>
    <w:p w14:paraId="3D2C8A1E">
      <w:pPr>
        <w:jc w:val="center"/>
        <w:rPr>
          <w:rFonts w:asciiTheme="minorEastAsia" w:hAnsiTheme="minorEastAsia"/>
          <w:b/>
          <w:sz w:val="36"/>
          <w:szCs w:val="36"/>
        </w:rPr>
      </w:pPr>
    </w:p>
    <w:p w14:paraId="008F2B1C">
      <w:pPr>
        <w:jc w:val="center"/>
        <w:rPr>
          <w:rFonts w:asciiTheme="minorEastAsia" w:hAnsiTheme="minorEastAsia"/>
          <w:b/>
          <w:sz w:val="36"/>
          <w:szCs w:val="36"/>
        </w:rPr>
      </w:pPr>
      <w:r>
        <w:rPr>
          <w:rFonts w:hint="eastAsia" w:asciiTheme="minorEastAsia" w:hAnsiTheme="minorEastAsia"/>
          <w:b/>
          <w:sz w:val="36"/>
          <w:szCs w:val="36"/>
        </w:rPr>
        <w:t>恒盛能源股份有限公司投资者关系活动记录表</w:t>
      </w:r>
    </w:p>
    <w:p w14:paraId="3680B64C">
      <w:pPr>
        <w:jc w:val="center"/>
        <w:rPr>
          <w:rFonts w:asciiTheme="minorEastAsia" w:hAnsiTheme="minorEastAsia"/>
          <w:b/>
          <w:sz w:val="36"/>
          <w:szCs w:val="36"/>
        </w:rPr>
      </w:pPr>
    </w:p>
    <w:p w14:paraId="5E2B2711">
      <w:pPr>
        <w:spacing w:before="156" w:beforeLines="50" w:after="156" w:afterLines="50"/>
        <w:jc w:val="right"/>
        <w:rPr>
          <w:rFonts w:asciiTheme="minorEastAsia" w:hAnsiTheme="minorEastAsia"/>
          <w:sz w:val="24"/>
          <w:szCs w:val="24"/>
        </w:rPr>
      </w:pPr>
      <w:r>
        <w:rPr>
          <w:rFonts w:hint="eastAsia" w:asciiTheme="minorEastAsia" w:hAnsiTheme="minorEastAsia"/>
          <w:sz w:val="24"/>
          <w:szCs w:val="24"/>
        </w:rPr>
        <w:t>编号:202</w:t>
      </w:r>
      <w:r>
        <w:rPr>
          <w:rFonts w:hint="default" w:asciiTheme="minorEastAsia" w:hAnsiTheme="minorEastAsia"/>
          <w:sz w:val="24"/>
          <w:szCs w:val="24"/>
          <w:lang w:val="en-US"/>
        </w:rPr>
        <w:t>5</w:t>
      </w:r>
      <w:r>
        <w:rPr>
          <w:rFonts w:hint="eastAsia" w:asciiTheme="minorEastAsia" w:hAnsiTheme="minorEastAsia"/>
          <w:sz w:val="24"/>
          <w:szCs w:val="24"/>
        </w:rPr>
        <w:t>-00</w:t>
      </w:r>
      <w:r>
        <w:rPr>
          <w:rFonts w:hint="default" w:asciiTheme="minorEastAsia" w:hAnsiTheme="minorEastAsia"/>
          <w:sz w:val="24"/>
          <w:szCs w:val="24"/>
          <w:lang w:val="en-US"/>
        </w:rPr>
        <w:t>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5862"/>
      </w:tblGrid>
      <w:tr w14:paraId="6A82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6A36612">
            <w:pPr>
              <w:jc w:val="center"/>
              <w:rPr>
                <w:rFonts w:asciiTheme="minorEastAsia" w:hAnsiTheme="minorEastAsia"/>
                <w:b/>
                <w:sz w:val="24"/>
                <w:szCs w:val="24"/>
              </w:rPr>
            </w:pPr>
            <w:r>
              <w:rPr>
                <w:rFonts w:hint="eastAsia" w:asciiTheme="minorEastAsia" w:hAnsiTheme="minorEastAsia"/>
                <w:b/>
                <w:sz w:val="24"/>
                <w:szCs w:val="24"/>
              </w:rPr>
              <w:t>投资者关系活动类别</w:t>
            </w:r>
          </w:p>
        </w:tc>
        <w:tc>
          <w:tcPr>
            <w:tcW w:w="5862" w:type="dxa"/>
          </w:tcPr>
          <w:p w14:paraId="334C1941">
            <w:pPr>
              <w:spacing w:line="360" w:lineRule="auto"/>
              <w:jc w:val="left"/>
              <w:rPr>
                <w:rFonts w:asciiTheme="minorEastAsia" w:hAnsiTheme="minorEastAsia"/>
                <w:sz w:val="24"/>
                <w:szCs w:val="24"/>
              </w:rPr>
            </w:pPr>
            <w:r>
              <w:rPr>
                <w:rFonts w:hint="eastAsia" w:asciiTheme="minorEastAsia" w:hAnsiTheme="minorEastAsia"/>
                <w:sz w:val="24"/>
                <w:szCs w:val="24"/>
              </w:rPr>
              <w:sym w:font="Wingdings 2" w:char="0052"/>
            </w:r>
            <w:r>
              <w:rPr>
                <w:rFonts w:hint="eastAsia" w:asciiTheme="minorEastAsia" w:hAnsiTheme="minorEastAsia"/>
                <w:sz w:val="24"/>
                <w:szCs w:val="24"/>
              </w:rPr>
              <w:t>特定对象调研</w:t>
            </w:r>
            <w:r>
              <w:rPr>
                <w:rFonts w:asciiTheme="minorEastAsia" w:hAnsiTheme="minorEastAsia"/>
                <w:sz w:val="24"/>
                <w:szCs w:val="24"/>
              </w:rPr>
              <w:t xml:space="preserve">  </w:t>
            </w:r>
            <w:r>
              <w:rPr>
                <w:rFonts w:hint="eastAsia" w:asciiTheme="minorEastAsia" w:hAnsiTheme="minorEastAsia"/>
                <w:sz w:val="24"/>
                <w:szCs w:val="24"/>
              </w:rPr>
              <w:t>□分析师会议</w:t>
            </w:r>
          </w:p>
          <w:p w14:paraId="05337B3D">
            <w:pPr>
              <w:spacing w:line="360" w:lineRule="auto"/>
              <w:jc w:val="left"/>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rPr>
              <w:t>媒体采访        □业绩说明会</w:t>
            </w:r>
          </w:p>
          <w:p w14:paraId="13708B73">
            <w:pPr>
              <w:spacing w:line="360" w:lineRule="auto"/>
              <w:jc w:val="left"/>
              <w:rPr>
                <w:rFonts w:asciiTheme="minorEastAsia" w:hAnsiTheme="minorEastAsia"/>
                <w:sz w:val="24"/>
                <w:szCs w:val="24"/>
              </w:rPr>
            </w:pPr>
            <w:r>
              <w:rPr>
                <w:rFonts w:hint="eastAsia" w:asciiTheme="minorEastAsia" w:hAnsiTheme="minorEastAsia"/>
                <w:sz w:val="24"/>
                <w:szCs w:val="24"/>
              </w:rPr>
              <w:t>□新闻发布会      □路演活动</w:t>
            </w:r>
          </w:p>
          <w:p w14:paraId="2ECFCAA5">
            <w:pPr>
              <w:spacing w:line="360" w:lineRule="auto"/>
              <w:jc w:val="left"/>
              <w:rPr>
                <w:rFonts w:asciiTheme="minorEastAsia" w:hAnsiTheme="minorEastAsia"/>
                <w:sz w:val="24"/>
                <w:szCs w:val="24"/>
              </w:rPr>
            </w:pPr>
            <w:r>
              <w:rPr>
                <w:rFonts w:hint="eastAsia" w:asciiTheme="minorEastAsia" w:hAnsiTheme="minorEastAsia"/>
                <w:sz w:val="24"/>
                <w:szCs w:val="24"/>
              </w:rPr>
              <w:sym w:font="Wingdings 2" w:char="F052"/>
            </w:r>
            <w:r>
              <w:rPr>
                <w:rFonts w:hint="eastAsia" w:asciiTheme="minorEastAsia" w:hAnsiTheme="minorEastAsia"/>
                <w:sz w:val="24"/>
                <w:szCs w:val="24"/>
              </w:rPr>
              <w:t>现场参观</w:t>
            </w:r>
            <w:r>
              <w:rPr>
                <w:rFonts w:asciiTheme="minorEastAsia" w:hAnsiTheme="minorEastAsia"/>
                <w:sz w:val="24"/>
                <w:szCs w:val="24"/>
              </w:rPr>
              <w:t xml:space="preserve">  </w:t>
            </w:r>
            <w:r>
              <w:rPr>
                <w:rFonts w:hint="eastAsia" w:asciiTheme="minorEastAsia" w:hAnsiTheme="minorEastAsia"/>
                <w:sz w:val="24"/>
                <w:szCs w:val="24"/>
              </w:rPr>
              <w:t xml:space="preserve">    □电话会议</w:t>
            </w:r>
          </w:p>
          <w:p w14:paraId="57D664DC">
            <w:pPr>
              <w:spacing w:line="360" w:lineRule="auto"/>
              <w:jc w:val="left"/>
              <w:rPr>
                <w:rFonts w:asciiTheme="minorEastAsia" w:hAnsiTheme="minorEastAsia"/>
                <w:sz w:val="24"/>
                <w:szCs w:val="24"/>
              </w:rPr>
            </w:pPr>
            <w:r>
              <w:rPr>
                <w:rFonts w:hint="eastAsia" w:asciiTheme="minorEastAsia" w:hAnsiTheme="minorEastAsia"/>
                <w:sz w:val="24"/>
                <w:szCs w:val="24"/>
              </w:rPr>
              <w:t>□其他</w:t>
            </w:r>
          </w:p>
        </w:tc>
      </w:tr>
      <w:tr w14:paraId="2799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6BA1D9E">
            <w:pPr>
              <w:jc w:val="center"/>
              <w:rPr>
                <w:rFonts w:asciiTheme="minorEastAsia" w:hAnsiTheme="minorEastAsia"/>
                <w:b/>
                <w:sz w:val="24"/>
                <w:szCs w:val="24"/>
              </w:rPr>
            </w:pPr>
            <w:r>
              <w:rPr>
                <w:rFonts w:hint="eastAsia" w:asciiTheme="minorEastAsia" w:hAnsiTheme="minorEastAsia"/>
                <w:b/>
                <w:sz w:val="24"/>
                <w:szCs w:val="24"/>
              </w:rPr>
              <w:t>参与单位名称</w:t>
            </w:r>
          </w:p>
        </w:tc>
        <w:tc>
          <w:tcPr>
            <w:tcW w:w="5862" w:type="dxa"/>
          </w:tcPr>
          <w:p w14:paraId="79B3F047">
            <w:pPr>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（排名不分先后）</w:t>
            </w:r>
          </w:p>
          <w:p w14:paraId="00700EFF">
            <w:pPr>
              <w:spacing w:line="360" w:lineRule="auto"/>
              <w:jc w:val="left"/>
              <w:rPr>
                <w:rFonts w:asciiTheme="minorEastAsia" w:hAnsiTheme="minorEastAsia"/>
                <w:sz w:val="24"/>
                <w:szCs w:val="24"/>
              </w:rPr>
            </w:pPr>
            <w:r>
              <w:rPr>
                <w:rFonts w:hint="eastAsia" w:asciiTheme="minorEastAsia" w:hAnsiTheme="minorEastAsia"/>
                <w:sz w:val="24"/>
                <w:szCs w:val="24"/>
                <w:lang w:val="en-US" w:eastAsia="zh-CN"/>
              </w:rPr>
              <w:t>第一财经广播</w:t>
            </w:r>
            <w:r>
              <w:rPr>
                <w:rFonts w:hint="eastAsia" w:asciiTheme="minorEastAsia" w:hAnsiTheme="minorEastAsia"/>
                <w:sz w:val="24"/>
                <w:szCs w:val="24"/>
              </w:rPr>
              <w:t>、</w:t>
            </w:r>
            <w:r>
              <w:rPr>
                <w:rFonts w:hint="eastAsia" w:asciiTheme="minorEastAsia" w:hAnsiTheme="minorEastAsia"/>
                <w:sz w:val="24"/>
                <w:szCs w:val="24"/>
                <w:lang w:val="en-US" w:eastAsia="zh-CN"/>
              </w:rPr>
              <w:t>金融街证券股份有限公司</w:t>
            </w:r>
            <w:r>
              <w:rPr>
                <w:rFonts w:hint="eastAsia" w:asciiTheme="minorEastAsia" w:hAnsiTheme="minorEastAsia"/>
                <w:sz w:val="24"/>
                <w:szCs w:val="24"/>
              </w:rPr>
              <w:t>、</w:t>
            </w:r>
            <w:r>
              <w:rPr>
                <w:rFonts w:hint="eastAsia" w:asciiTheme="minorEastAsia" w:hAnsiTheme="minorEastAsia"/>
                <w:sz w:val="24"/>
                <w:szCs w:val="24"/>
                <w:lang w:val="en-US" w:eastAsia="zh-CN"/>
              </w:rPr>
              <w:t>浙江和熙资产管理有限公司、中晟睿智（北京）资产管理有限公司、个人投资者等</w:t>
            </w:r>
          </w:p>
        </w:tc>
      </w:tr>
      <w:tr w14:paraId="215F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0FE786E">
            <w:pPr>
              <w:jc w:val="center"/>
              <w:rPr>
                <w:rFonts w:asciiTheme="minorEastAsia" w:hAnsiTheme="minorEastAsia"/>
                <w:b/>
                <w:sz w:val="24"/>
                <w:szCs w:val="24"/>
              </w:rPr>
            </w:pPr>
            <w:r>
              <w:rPr>
                <w:rFonts w:hint="eastAsia" w:asciiTheme="minorEastAsia" w:hAnsiTheme="minorEastAsia"/>
                <w:b/>
                <w:sz w:val="24"/>
                <w:szCs w:val="24"/>
              </w:rPr>
              <w:t>会议时间</w:t>
            </w:r>
          </w:p>
        </w:tc>
        <w:tc>
          <w:tcPr>
            <w:tcW w:w="5862" w:type="dxa"/>
          </w:tcPr>
          <w:p w14:paraId="4CFA0CDA">
            <w:pPr>
              <w:spacing w:before="156" w:beforeLines="50" w:after="156" w:afterLines="50"/>
              <w:jc w:val="left"/>
              <w:rPr>
                <w:rFonts w:asciiTheme="minorEastAsia" w:hAnsiTheme="minorEastAsia"/>
                <w:sz w:val="24"/>
                <w:szCs w:val="24"/>
              </w:rPr>
            </w:pPr>
            <w:r>
              <w:rPr>
                <w:rFonts w:hint="eastAsia" w:asciiTheme="minorEastAsia" w:hAnsiTheme="minorEastAsia"/>
                <w:sz w:val="24"/>
                <w:szCs w:val="24"/>
                <w:lang w:val="en-US" w:eastAsia="zh-CN"/>
              </w:rPr>
              <w:t>2025年9月12日、</w:t>
            </w: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19</w:t>
            </w:r>
            <w:r>
              <w:rPr>
                <w:rFonts w:hint="eastAsia" w:asciiTheme="minorEastAsia" w:hAnsiTheme="minorEastAsia"/>
                <w:sz w:val="24"/>
                <w:szCs w:val="24"/>
              </w:rPr>
              <w:t>日</w:t>
            </w:r>
          </w:p>
        </w:tc>
      </w:tr>
      <w:tr w14:paraId="3245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623D834B">
            <w:pPr>
              <w:jc w:val="center"/>
              <w:rPr>
                <w:rFonts w:asciiTheme="minorEastAsia" w:hAnsiTheme="minorEastAsia"/>
                <w:b/>
                <w:sz w:val="24"/>
                <w:szCs w:val="24"/>
              </w:rPr>
            </w:pPr>
            <w:r>
              <w:rPr>
                <w:rFonts w:hint="eastAsia" w:asciiTheme="minorEastAsia" w:hAnsiTheme="minorEastAsia"/>
                <w:b/>
                <w:sz w:val="24"/>
                <w:szCs w:val="24"/>
              </w:rPr>
              <w:t>会议地点</w:t>
            </w:r>
          </w:p>
        </w:tc>
        <w:tc>
          <w:tcPr>
            <w:tcW w:w="5862" w:type="dxa"/>
          </w:tcPr>
          <w:p w14:paraId="6A797C04">
            <w:pPr>
              <w:spacing w:before="156" w:beforeLines="50" w:after="156" w:afterLines="5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龙游县永泰路6号浙江桦茂科技有限公司1楼会客厅、3楼会议室</w:t>
            </w:r>
          </w:p>
        </w:tc>
      </w:tr>
      <w:tr w14:paraId="0650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3402BDF2">
            <w:pPr>
              <w:jc w:val="center"/>
              <w:rPr>
                <w:rFonts w:asciiTheme="minorEastAsia" w:hAnsiTheme="minorEastAsia"/>
                <w:b/>
                <w:sz w:val="24"/>
                <w:szCs w:val="24"/>
              </w:rPr>
            </w:pPr>
            <w:r>
              <w:rPr>
                <w:rFonts w:hint="eastAsia" w:asciiTheme="minorEastAsia" w:hAnsiTheme="minorEastAsia"/>
                <w:b/>
                <w:sz w:val="24"/>
                <w:szCs w:val="24"/>
              </w:rPr>
              <w:t>上市公司接待人员姓名</w:t>
            </w:r>
          </w:p>
        </w:tc>
        <w:tc>
          <w:tcPr>
            <w:tcW w:w="5862" w:type="dxa"/>
          </w:tcPr>
          <w:p w14:paraId="7AB7DD04">
            <w:pPr>
              <w:spacing w:line="360" w:lineRule="auto"/>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证券事务代表程雅民</w:t>
            </w:r>
          </w:p>
        </w:tc>
      </w:tr>
      <w:tr w14:paraId="6BF9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9CEF949">
            <w:pPr>
              <w:jc w:val="center"/>
              <w:rPr>
                <w:rFonts w:asciiTheme="minorEastAsia" w:hAnsiTheme="minorEastAsia"/>
                <w:b/>
                <w:sz w:val="24"/>
                <w:szCs w:val="24"/>
              </w:rPr>
            </w:pPr>
            <w:r>
              <w:rPr>
                <w:rFonts w:hint="eastAsia" w:asciiTheme="minorEastAsia" w:hAnsiTheme="minorEastAsia"/>
                <w:b/>
                <w:sz w:val="24"/>
                <w:szCs w:val="24"/>
              </w:rPr>
              <w:t>投资者关系活动主要内容介绍</w:t>
            </w:r>
          </w:p>
        </w:tc>
        <w:tc>
          <w:tcPr>
            <w:tcW w:w="5862" w:type="dxa"/>
          </w:tcPr>
          <w:p w14:paraId="22F8B35D">
            <w:pPr>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公司就投资者在本次活动中提出的主要问题进行了回复：</w:t>
            </w:r>
          </w:p>
          <w:p w14:paraId="2C5F1DEE">
            <w:pPr>
              <w:spacing w:line="360"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1、公司</w:t>
            </w:r>
            <w:r>
              <w:rPr>
                <w:rFonts w:hint="eastAsia" w:asciiTheme="minorEastAsia" w:hAnsiTheme="minorEastAsia"/>
                <w:b/>
                <w:sz w:val="24"/>
                <w:szCs w:val="24"/>
                <w:lang w:val="en-US" w:eastAsia="zh-CN"/>
              </w:rPr>
              <w:t>目前</w:t>
            </w:r>
            <w:r>
              <w:rPr>
                <w:rFonts w:hint="eastAsia" w:asciiTheme="minorEastAsia" w:hAnsiTheme="minorEastAsia"/>
                <w:b/>
                <w:sz w:val="24"/>
                <w:szCs w:val="24"/>
              </w:rPr>
              <w:t>财务结构与现金流特征</w:t>
            </w:r>
            <w:r>
              <w:rPr>
                <w:rFonts w:hint="eastAsia" w:asciiTheme="minorEastAsia" w:hAnsiTheme="minorEastAsia"/>
                <w:b/>
                <w:sz w:val="24"/>
                <w:szCs w:val="24"/>
                <w:lang w:val="en-US" w:eastAsia="zh-CN"/>
              </w:rPr>
              <w:t>如何</w:t>
            </w:r>
            <w:r>
              <w:rPr>
                <w:rFonts w:hint="eastAsia" w:asciiTheme="minorEastAsia" w:hAnsiTheme="minorEastAsia"/>
                <w:b/>
                <w:sz w:val="24"/>
                <w:szCs w:val="24"/>
              </w:rPr>
              <w:t>？</w:t>
            </w:r>
          </w:p>
          <w:p w14:paraId="10C31C07">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t>公司2025年半年度</w:t>
            </w:r>
            <w:r>
              <w:rPr>
                <w:rFonts w:ascii="宋体" w:hAnsi="宋体" w:eastAsia="宋体" w:cs="宋体"/>
                <w:sz w:val="24"/>
                <w:szCs w:val="24"/>
              </w:rPr>
              <w:t>主要会计数据和财务指标变动较大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w:t>
            </w:r>
            <w:r>
              <w:rPr>
                <w:rFonts w:ascii="宋体" w:hAnsi="宋体" w:eastAsia="宋体" w:cs="宋体"/>
                <w:sz w:val="24"/>
                <w:szCs w:val="24"/>
              </w:rPr>
              <w:t>原因主要系报告期内公司非同一控制下合并</w:t>
            </w:r>
            <w:r>
              <w:rPr>
                <w:rFonts w:hint="eastAsia" w:ascii="宋体" w:hAnsi="宋体" w:eastAsia="宋体" w:cs="宋体"/>
                <w:sz w:val="24"/>
                <w:szCs w:val="24"/>
              </w:rPr>
              <w:t>伊通满族自治县华大生物质热电有限公司（以下简称“华大热电”）</w:t>
            </w:r>
            <w:r>
              <w:rPr>
                <w:rFonts w:ascii="宋体" w:hAnsi="宋体" w:eastAsia="宋体" w:cs="宋体"/>
                <w:sz w:val="24"/>
                <w:szCs w:val="24"/>
              </w:rPr>
              <w:t>、出售碳排放配额收入等的</w:t>
            </w:r>
            <w:r>
              <w:rPr>
                <w:rFonts w:hint="eastAsia" w:ascii="宋体" w:hAnsi="宋体" w:eastAsia="宋体" w:cs="宋体"/>
                <w:sz w:val="24"/>
                <w:szCs w:val="24"/>
                <w:lang w:eastAsia="zh-CN"/>
              </w:rPr>
              <w:t>影响</w:t>
            </w:r>
            <w:r>
              <w:rPr>
                <w:rFonts w:ascii="宋体" w:hAnsi="宋体" w:eastAsia="宋体" w:cs="宋体"/>
                <w:sz w:val="24"/>
                <w:szCs w:val="24"/>
              </w:rPr>
              <w:t>。</w:t>
            </w:r>
          </w:p>
          <w:p w14:paraId="7BA55597">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2025年1—6月</w:t>
            </w:r>
            <w:r>
              <w:rPr>
                <w:rFonts w:hint="eastAsia" w:ascii="宋体" w:hAnsi="宋体" w:eastAsia="宋体" w:cs="宋体"/>
                <w:sz w:val="24"/>
                <w:szCs w:val="24"/>
              </w:rPr>
              <w:t>，公司实现营业收入4</w:t>
            </w:r>
            <w:r>
              <w:rPr>
                <w:rFonts w:hint="eastAsia" w:ascii="宋体" w:hAnsi="宋体" w:eastAsia="宋体" w:cs="宋体"/>
                <w:sz w:val="24"/>
                <w:szCs w:val="24"/>
                <w:lang w:val="en-US" w:eastAsia="zh-CN"/>
              </w:rPr>
              <w:t>.63亿</w:t>
            </w:r>
            <w:r>
              <w:rPr>
                <w:rFonts w:hint="eastAsia" w:ascii="宋体" w:hAnsi="宋体" w:eastAsia="宋体" w:cs="宋体"/>
                <w:sz w:val="24"/>
                <w:szCs w:val="24"/>
              </w:rPr>
              <w:t>元，较上年同期增长17.22%</w:t>
            </w:r>
            <w:r>
              <w:rPr>
                <w:rFonts w:hint="eastAsia" w:ascii="宋体" w:hAnsi="宋体" w:eastAsia="宋体" w:cs="宋体"/>
                <w:sz w:val="24"/>
                <w:szCs w:val="24"/>
                <w:lang w:eastAsia="zh-CN"/>
              </w:rPr>
              <w:t>，</w:t>
            </w:r>
            <w:r>
              <w:rPr>
                <w:rFonts w:ascii="宋体" w:hAnsi="宋体" w:eastAsia="宋体" w:cs="宋体"/>
                <w:sz w:val="24"/>
                <w:szCs w:val="24"/>
              </w:rPr>
              <w:t>主要系报告期内公司非同一控制下合并华大热电的热水收入增加和公司销售固废资源综合利用产品收入增加所致</w:t>
            </w:r>
            <w:r>
              <w:rPr>
                <w:rFonts w:hint="eastAsia" w:ascii="宋体" w:hAnsi="宋体" w:eastAsia="宋体" w:cs="宋体"/>
                <w:sz w:val="24"/>
                <w:szCs w:val="24"/>
                <w:lang w:eastAsia="zh-CN"/>
              </w:rPr>
              <w:t>；</w:t>
            </w:r>
            <w:r>
              <w:rPr>
                <w:rFonts w:hint="eastAsia" w:ascii="宋体" w:hAnsi="宋体" w:eastAsia="宋体" w:cs="宋体"/>
                <w:sz w:val="24"/>
                <w:szCs w:val="24"/>
              </w:rPr>
              <w:t>归属于上市公司股东的净利润6,876.13万元，较上年同期增长32.72%</w:t>
            </w:r>
            <w:r>
              <w:rPr>
                <w:rFonts w:hint="eastAsia" w:ascii="宋体" w:hAnsi="宋体" w:eastAsia="宋体" w:cs="宋体"/>
                <w:sz w:val="24"/>
                <w:szCs w:val="24"/>
                <w:lang w:eastAsia="zh-CN"/>
              </w:rPr>
              <w:t>；</w:t>
            </w:r>
            <w:r>
              <w:rPr>
                <w:rFonts w:hint="eastAsia" w:ascii="宋体" w:hAnsi="宋体" w:eastAsia="宋体" w:cs="宋体"/>
                <w:sz w:val="24"/>
                <w:szCs w:val="24"/>
              </w:rPr>
              <w:t>扣除非经常性损益后归属于上市公司股东净利润5</w:t>
            </w:r>
            <w:r>
              <w:rPr>
                <w:rFonts w:hint="eastAsia" w:ascii="宋体" w:hAnsi="宋体" w:eastAsia="宋体" w:cs="宋体"/>
                <w:sz w:val="24"/>
                <w:szCs w:val="24"/>
                <w:lang w:val="en-US" w:eastAsia="zh-CN"/>
              </w:rPr>
              <w:t>,</w:t>
            </w:r>
            <w:r>
              <w:rPr>
                <w:rFonts w:hint="eastAsia" w:ascii="宋体" w:hAnsi="宋体" w:eastAsia="宋体" w:cs="宋体"/>
                <w:sz w:val="24"/>
                <w:szCs w:val="24"/>
              </w:rPr>
              <w:t>249.87万元，较上年同期增长8.27%</w:t>
            </w:r>
            <w:r>
              <w:rPr>
                <w:rFonts w:hint="eastAsia" w:ascii="宋体" w:hAnsi="宋体" w:eastAsia="宋体" w:cs="宋体"/>
                <w:sz w:val="24"/>
                <w:szCs w:val="24"/>
                <w:lang w:eastAsia="zh-CN"/>
              </w:rPr>
              <w:t>。</w:t>
            </w:r>
          </w:p>
          <w:p w14:paraId="72198467">
            <w:pPr>
              <w:spacing w:line="360" w:lineRule="auto"/>
              <w:ind w:firstLine="480" w:firstLineChars="200"/>
              <w:jc w:val="both"/>
              <w:rPr>
                <w:rFonts w:asciiTheme="minorEastAsia" w:hAnsiTheme="minorEastAsia"/>
                <w:sz w:val="24"/>
                <w:szCs w:val="24"/>
              </w:rPr>
            </w:pPr>
            <w:r>
              <w:rPr>
                <w:rFonts w:hint="eastAsia" w:ascii="宋体" w:hAnsi="宋体" w:eastAsia="宋体" w:cs="宋体"/>
                <w:sz w:val="24"/>
                <w:szCs w:val="24"/>
                <w:lang w:val="en-US" w:eastAsia="zh-CN"/>
              </w:rPr>
              <w:t>2025年1—6月</w:t>
            </w:r>
            <w:r>
              <w:rPr>
                <w:rFonts w:hint="eastAsia" w:ascii="宋体" w:hAnsi="宋体" w:eastAsia="宋体" w:cs="宋体"/>
                <w:sz w:val="24"/>
                <w:szCs w:val="24"/>
              </w:rPr>
              <w:t>，</w:t>
            </w:r>
            <w:r>
              <w:rPr>
                <w:rFonts w:hint="eastAsia" w:ascii="宋体" w:hAnsi="宋体" w:eastAsia="宋体" w:cs="宋体"/>
                <w:sz w:val="24"/>
                <w:szCs w:val="24"/>
                <w:lang w:val="en-US" w:eastAsia="zh-CN"/>
              </w:rPr>
              <w:t>公司</w:t>
            </w:r>
            <w:r>
              <w:rPr>
                <w:rFonts w:ascii="宋体" w:hAnsi="宋体" w:eastAsia="宋体" w:cs="宋体"/>
                <w:sz w:val="24"/>
                <w:szCs w:val="24"/>
              </w:rPr>
              <w:t>经营活动产生的现金流量净额</w:t>
            </w:r>
            <w:r>
              <w:rPr>
                <w:rFonts w:hint="eastAsia" w:ascii="宋体" w:hAnsi="宋体" w:eastAsia="宋体" w:cs="宋体"/>
                <w:sz w:val="24"/>
                <w:szCs w:val="24"/>
                <w:lang w:val="en-US" w:eastAsia="zh-CN"/>
              </w:rPr>
              <w:t>为1.29亿元，</w:t>
            </w:r>
            <w:r>
              <w:rPr>
                <w:rFonts w:hint="eastAsia" w:ascii="宋体" w:hAnsi="宋体" w:eastAsia="宋体" w:cs="宋体"/>
                <w:sz w:val="24"/>
                <w:szCs w:val="24"/>
              </w:rPr>
              <w:t>较上年同期增长</w:t>
            </w:r>
            <w:r>
              <w:rPr>
                <w:rFonts w:hint="eastAsia" w:ascii="宋体" w:hAnsi="宋体" w:eastAsia="宋体" w:cs="宋体"/>
                <w:sz w:val="24"/>
                <w:szCs w:val="24"/>
                <w:lang w:val="en-US" w:eastAsia="zh-CN"/>
              </w:rPr>
              <w:t>137.17</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主要系报告期内公司销售商品收到的金额增加、收到增值税留抵退税金额较大且收到出售碳排放配额等流入金额增加所致。</w:t>
            </w:r>
            <w:r>
              <w:rPr>
                <w:rFonts w:hint="eastAsia" w:asciiTheme="minorEastAsia" w:hAnsiTheme="minorEastAsia"/>
                <w:sz w:val="24"/>
                <w:szCs w:val="24"/>
                <w:lang w:val="en-US" w:eastAsia="zh-CN"/>
              </w:rPr>
              <w:t>公司</w:t>
            </w:r>
            <w:r>
              <w:rPr>
                <w:rFonts w:hint="eastAsia" w:asciiTheme="minorEastAsia" w:hAnsiTheme="minorEastAsia"/>
                <w:sz w:val="24"/>
                <w:szCs w:val="24"/>
              </w:rPr>
              <w:t>热电联产业务现金流稳定，</w:t>
            </w:r>
            <w:r>
              <w:rPr>
                <w:rFonts w:hint="eastAsia" w:asciiTheme="minorEastAsia" w:hAnsiTheme="minorEastAsia"/>
                <w:sz w:val="24"/>
                <w:szCs w:val="24"/>
                <w:lang w:val="en-US" w:eastAsia="zh-CN"/>
              </w:rPr>
              <w:t>东北华大热电公司居民供暖</w:t>
            </w:r>
            <w:r>
              <w:rPr>
                <w:rFonts w:hint="eastAsia" w:asciiTheme="minorEastAsia" w:hAnsiTheme="minorEastAsia"/>
                <w:sz w:val="24"/>
                <w:szCs w:val="24"/>
              </w:rPr>
              <w:t>业务</w:t>
            </w:r>
            <w:r>
              <w:rPr>
                <w:rFonts w:hint="eastAsia" w:asciiTheme="minorEastAsia" w:hAnsiTheme="minorEastAsia"/>
                <w:sz w:val="24"/>
                <w:szCs w:val="24"/>
                <w:lang w:val="en-US" w:eastAsia="zh-CN"/>
              </w:rPr>
              <w:t>采用预收款</w:t>
            </w:r>
            <w:r>
              <w:rPr>
                <w:rFonts w:hint="eastAsia" w:asciiTheme="minorEastAsia" w:hAnsiTheme="minorEastAsia"/>
                <w:sz w:val="24"/>
                <w:szCs w:val="24"/>
              </w:rPr>
              <w:t>模式，</w:t>
            </w:r>
            <w:r>
              <w:rPr>
                <w:rFonts w:hint="eastAsia" w:asciiTheme="minorEastAsia" w:hAnsiTheme="minorEastAsia"/>
                <w:sz w:val="24"/>
                <w:szCs w:val="24"/>
                <w:lang w:val="en-US" w:eastAsia="zh-CN"/>
              </w:rPr>
              <w:t>公司应收账款回款良好</w:t>
            </w:r>
            <w:r>
              <w:rPr>
                <w:rFonts w:hint="eastAsia" w:asciiTheme="minorEastAsia" w:hAnsiTheme="minorEastAsia"/>
                <w:sz w:val="24"/>
                <w:szCs w:val="24"/>
              </w:rPr>
              <w:t>。</w:t>
            </w:r>
          </w:p>
          <w:p w14:paraId="6B388F67">
            <w:pPr>
              <w:spacing w:line="360" w:lineRule="auto"/>
              <w:ind w:firstLine="482" w:firstLineChars="200"/>
              <w:jc w:val="left"/>
              <w:rPr>
                <w:rFonts w:hint="eastAsia" w:asciiTheme="minorEastAsia" w:hAnsiTheme="minorEastAsia"/>
                <w:b/>
                <w:sz w:val="24"/>
                <w:szCs w:val="24"/>
              </w:rPr>
            </w:pPr>
            <w:r>
              <w:rPr>
                <w:rFonts w:hint="eastAsia" w:asciiTheme="minorEastAsia" w:hAnsiTheme="minorEastAsia"/>
                <w:b/>
                <w:sz w:val="24"/>
                <w:szCs w:val="24"/>
              </w:rPr>
              <w:t>2、</w:t>
            </w:r>
            <w:r>
              <w:rPr>
                <w:rFonts w:hint="eastAsia" w:asciiTheme="minorEastAsia" w:hAnsiTheme="minorEastAsia"/>
                <w:b/>
                <w:sz w:val="24"/>
                <w:szCs w:val="24"/>
                <w:lang w:val="en-US" w:eastAsia="zh-CN"/>
              </w:rPr>
              <w:t>公司</w:t>
            </w:r>
            <w:r>
              <w:rPr>
                <w:rFonts w:hint="eastAsia" w:asciiTheme="minorEastAsia" w:hAnsiTheme="minorEastAsia"/>
                <w:b/>
                <w:sz w:val="24"/>
                <w:szCs w:val="24"/>
              </w:rPr>
              <w:t>金刚石业务进展与产能建设</w:t>
            </w:r>
            <w:r>
              <w:rPr>
                <w:rFonts w:hint="eastAsia" w:asciiTheme="minorEastAsia" w:hAnsiTheme="minorEastAsia"/>
                <w:b/>
                <w:sz w:val="24"/>
                <w:szCs w:val="24"/>
                <w:lang w:val="en-US" w:eastAsia="zh-CN"/>
              </w:rPr>
              <w:t>怎样</w:t>
            </w:r>
            <w:r>
              <w:rPr>
                <w:rFonts w:hint="eastAsia" w:asciiTheme="minorEastAsia" w:hAnsiTheme="minorEastAsia"/>
                <w:b/>
                <w:sz w:val="24"/>
                <w:szCs w:val="24"/>
              </w:rPr>
              <w:t>？</w:t>
            </w:r>
          </w:p>
          <w:p w14:paraId="1F5FC06B">
            <w:pPr>
              <w:spacing w:line="360" w:lineRule="auto"/>
              <w:ind w:firstLine="480" w:firstLineChars="200"/>
              <w:jc w:val="both"/>
              <w:rPr>
                <w:rFonts w:asciiTheme="minorEastAsia" w:hAnsiTheme="minorEastAsia"/>
                <w:sz w:val="24"/>
                <w:szCs w:val="24"/>
              </w:rPr>
            </w:pPr>
            <w:r>
              <w:rPr>
                <w:rFonts w:hint="eastAsia" w:ascii="宋体" w:hAnsi="宋体" w:eastAsia="宋体" w:cs="宋体"/>
                <w:sz w:val="24"/>
                <w:szCs w:val="24"/>
                <w:lang w:val="en-US" w:eastAsia="zh-CN"/>
              </w:rPr>
              <w:t>公司</w:t>
            </w:r>
            <w:r>
              <w:rPr>
                <w:rFonts w:hint="eastAsia" w:ascii="宋体" w:hAnsi="宋体" w:eastAsia="宋体" w:cs="宋体"/>
                <w:sz w:val="24"/>
                <w:szCs w:val="24"/>
              </w:rPr>
              <w:t>金刚石业务当前正处于从研发向产业化落地的关键阶段，大规模产能正在</w:t>
            </w:r>
            <w:r>
              <w:rPr>
                <w:rFonts w:hint="eastAsia" w:ascii="宋体" w:hAnsi="宋体" w:eastAsia="宋体" w:cs="宋体"/>
                <w:sz w:val="24"/>
                <w:szCs w:val="24"/>
                <w:lang w:val="en-US" w:eastAsia="zh-CN"/>
              </w:rPr>
              <w:t>分阶段</w:t>
            </w:r>
            <w:r>
              <w:rPr>
                <w:rFonts w:hint="eastAsia" w:ascii="宋体" w:hAnsi="宋体" w:eastAsia="宋体" w:cs="宋体"/>
                <w:sz w:val="24"/>
                <w:szCs w:val="24"/>
              </w:rPr>
              <w:t>建设中。现阶段尚未完全释放财务数据，但已进入“0到1”的冲刺期，未来，公司将根据市场需求及技术研发节奏，有序推进产能爬坡，逐步实现金刚石业务的产业化布局与规模效应释放。</w:t>
            </w:r>
          </w:p>
          <w:p w14:paraId="35AD8356">
            <w:pPr>
              <w:spacing w:line="360" w:lineRule="auto"/>
              <w:ind w:firstLine="482" w:firstLineChars="200"/>
              <w:jc w:val="left"/>
              <w:rPr>
                <w:rFonts w:hint="eastAsia" w:asciiTheme="minorEastAsia" w:hAnsiTheme="minorEastAsia"/>
                <w:b/>
                <w:sz w:val="24"/>
                <w:szCs w:val="24"/>
              </w:rPr>
            </w:pPr>
            <w:r>
              <w:rPr>
                <w:rFonts w:hint="eastAsia" w:asciiTheme="minorEastAsia" w:hAnsiTheme="minorEastAsia"/>
                <w:b/>
                <w:sz w:val="24"/>
                <w:szCs w:val="24"/>
                <w:lang w:val="en-US" w:eastAsia="zh-CN"/>
              </w:rPr>
              <w:t>3、公司金刚石业务的</w:t>
            </w:r>
            <w:r>
              <w:rPr>
                <w:rFonts w:hint="eastAsia" w:asciiTheme="minorEastAsia" w:hAnsiTheme="minorEastAsia"/>
                <w:b/>
                <w:sz w:val="24"/>
                <w:szCs w:val="24"/>
              </w:rPr>
              <w:t>技术路径</w:t>
            </w:r>
            <w:r>
              <w:rPr>
                <w:rFonts w:hint="eastAsia" w:asciiTheme="minorEastAsia" w:hAnsiTheme="minorEastAsia"/>
                <w:b/>
                <w:sz w:val="24"/>
                <w:szCs w:val="24"/>
                <w:lang w:val="en-US" w:eastAsia="zh-CN"/>
              </w:rPr>
              <w:t>如何</w:t>
            </w:r>
            <w:r>
              <w:rPr>
                <w:rFonts w:hint="eastAsia" w:asciiTheme="minorEastAsia" w:hAnsiTheme="minorEastAsia"/>
                <w:b/>
                <w:sz w:val="24"/>
                <w:szCs w:val="24"/>
                <w:lang w:eastAsia="zh-CN"/>
              </w:rPr>
              <w:t>？</w:t>
            </w:r>
            <w:r>
              <w:rPr>
                <w:rFonts w:hint="eastAsia" w:asciiTheme="minorEastAsia" w:hAnsiTheme="minorEastAsia"/>
                <w:b/>
                <w:sz w:val="24"/>
                <w:szCs w:val="24"/>
              </w:rPr>
              <w:t>较同行相比有什么优势</w:t>
            </w:r>
            <w:r>
              <w:rPr>
                <w:rFonts w:hint="eastAsia" w:asciiTheme="minorEastAsia" w:hAnsiTheme="minorEastAsia"/>
                <w:b/>
                <w:sz w:val="24"/>
                <w:szCs w:val="24"/>
                <w:lang w:eastAsia="zh-CN"/>
              </w:rPr>
              <w:t>？</w:t>
            </w:r>
          </w:p>
          <w:p w14:paraId="39E85735">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控股子公司浙江桦茂科技有限公司成立于2022年，专注于MPCVD（微波等离子体化学气相沉积）法生长金刚石的研发与产业化。</w:t>
            </w:r>
          </w:p>
          <w:p w14:paraId="5F7BA425">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CVD</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化学气相沉积）法生长金刚石具有以下技术特征：</w:t>
            </w:r>
            <w:r>
              <w:rPr>
                <w:rFonts w:hint="eastAsia" w:ascii="宋体" w:hAnsi="宋体" w:eastAsia="宋体" w:cs="宋体"/>
                <w:sz w:val="24"/>
                <w:szCs w:val="24"/>
              </w:rPr>
              <w:t>在微波能量的作用下将含碳气体中的碳沉积到衬底上形成金刚石；产出的晶体较大，1</w:t>
            </w:r>
            <w:r>
              <w:rPr>
                <w:rFonts w:hint="eastAsia" w:ascii="宋体" w:hAnsi="宋体" w:eastAsia="宋体" w:cs="宋体"/>
                <w:sz w:val="24"/>
                <w:szCs w:val="24"/>
                <w:lang w:val="en-US" w:eastAsia="zh-CN"/>
              </w:rPr>
              <w:t>至</w:t>
            </w:r>
            <w:r>
              <w:rPr>
                <w:rFonts w:hint="eastAsia" w:ascii="宋体" w:hAnsi="宋体" w:eastAsia="宋体" w:cs="宋体"/>
                <w:sz w:val="24"/>
                <w:szCs w:val="24"/>
              </w:rPr>
              <w:t>50Ct均可产出，且仍在不断发展中</w:t>
            </w:r>
            <w:r>
              <w:rPr>
                <w:rFonts w:hint="eastAsia" w:ascii="宋体" w:hAnsi="宋体" w:eastAsia="宋体" w:cs="宋体"/>
                <w:sz w:val="24"/>
                <w:szCs w:val="24"/>
                <w:lang w:eastAsia="zh-CN"/>
              </w:rPr>
              <w:t>；</w:t>
            </w:r>
            <w:r>
              <w:rPr>
                <w:rFonts w:hint="eastAsia" w:ascii="宋体" w:hAnsi="宋体" w:eastAsia="宋体" w:cs="宋体"/>
                <w:sz w:val="24"/>
                <w:szCs w:val="24"/>
              </w:rPr>
              <w:t>净度等级较高，多为VS1及以上</w:t>
            </w:r>
            <w:r>
              <w:rPr>
                <w:rFonts w:hint="eastAsia" w:ascii="宋体" w:hAnsi="宋体" w:eastAsia="宋体" w:cs="宋体"/>
                <w:sz w:val="24"/>
                <w:szCs w:val="24"/>
                <w:lang w:eastAsia="zh-CN"/>
              </w:rPr>
              <w:t>；</w:t>
            </w:r>
            <w:r>
              <w:rPr>
                <w:rFonts w:hint="eastAsia" w:ascii="宋体" w:hAnsi="宋体" w:eastAsia="宋体" w:cs="宋体"/>
                <w:sz w:val="24"/>
                <w:szCs w:val="24"/>
              </w:rPr>
              <w:t>产出的晶体为片状，适用于大规模金刚石功能性应用。</w:t>
            </w:r>
          </w:p>
          <w:p w14:paraId="1FAF6E48">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公司的优势主要有以下几点：1）全产业链与规模化量产的成本优势：公司已建成最大可容纳2500台MPCVD及其配套设备的厂房，为规模化量产打下了良好的基础。2）研发优势：在CVD装备上，公司最新一代MPCVD设备生产效率较行业主流生产设备效率大幅提升。在CVD金刚石生长上，公司在培育钻石产品端的良品率可达80%以上，金刚石功能性材料产品端的良品率可达90%以上，均位于行业领先水平。3）电力优势：公司已建成110KV变电站，稳定的电压可保障金刚石的生长质量。</w:t>
            </w:r>
          </w:p>
          <w:p w14:paraId="240DDB07">
            <w:pPr>
              <w:spacing w:line="360" w:lineRule="auto"/>
              <w:ind w:firstLine="482" w:firstLineChars="200"/>
              <w:jc w:val="left"/>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4、人造金刚石的行业壁垒与竞争格局目前如何？</w:t>
            </w:r>
          </w:p>
          <w:p w14:paraId="0BB6BA8D">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首先是技术壁垒，</w:t>
            </w:r>
            <w:r>
              <w:rPr>
                <w:rFonts w:hint="default" w:ascii="宋体" w:hAnsi="宋体" w:eastAsia="宋体" w:cs="宋体"/>
                <w:sz w:val="24"/>
                <w:szCs w:val="24"/>
                <w:highlight w:val="none"/>
                <w:lang w:val="en-US" w:eastAsia="zh-CN"/>
              </w:rPr>
              <w:t>人造金刚石的制备主要有高温高压法（HPHT）和化学气相沉积法（CVD）两种技术路径。尤其是CVD技术，用于生产高纯度、大尺寸的单晶金刚石，技术复杂度高。</w:t>
            </w:r>
            <w:r>
              <w:rPr>
                <w:rFonts w:hint="eastAsia" w:ascii="宋体" w:hAnsi="宋体" w:eastAsia="宋体" w:cs="宋体"/>
                <w:sz w:val="24"/>
                <w:szCs w:val="24"/>
                <w:highlight w:val="none"/>
                <w:lang w:val="en-US" w:eastAsia="zh-CN"/>
              </w:rPr>
              <w:t>其次是资金壁垒，</w:t>
            </w:r>
            <w:r>
              <w:rPr>
                <w:rFonts w:hint="default" w:ascii="宋体" w:hAnsi="宋体" w:eastAsia="宋体" w:cs="宋体"/>
                <w:sz w:val="24"/>
                <w:szCs w:val="24"/>
                <w:highlight w:val="none"/>
                <w:lang w:val="en-US" w:eastAsia="zh-CN"/>
              </w:rPr>
              <w:t>这是一个资本密集型行业</w:t>
            </w:r>
            <w:r>
              <w:rPr>
                <w:rFonts w:hint="eastAsia" w:ascii="宋体" w:hAnsi="宋体" w:eastAsia="宋体" w:cs="宋体"/>
                <w:sz w:val="24"/>
                <w:szCs w:val="24"/>
                <w:highlight w:val="none"/>
                <w:lang w:val="en-US" w:eastAsia="zh-CN"/>
              </w:rPr>
              <w:t>，企业产能扩张和技术研发</w:t>
            </w:r>
            <w:r>
              <w:rPr>
                <w:rFonts w:hint="default" w:ascii="宋体" w:hAnsi="宋体" w:eastAsia="宋体" w:cs="宋体"/>
                <w:sz w:val="24"/>
                <w:szCs w:val="24"/>
                <w:highlight w:val="none"/>
                <w:lang w:val="en-US" w:eastAsia="zh-CN"/>
              </w:rPr>
              <w:t>，都需要持续的资金支持。</w:t>
            </w:r>
            <w:r>
              <w:rPr>
                <w:rFonts w:hint="eastAsia" w:ascii="宋体" w:hAnsi="宋体" w:eastAsia="宋体" w:cs="宋体"/>
                <w:sz w:val="24"/>
                <w:szCs w:val="24"/>
                <w:highlight w:val="none"/>
                <w:lang w:val="en-US" w:eastAsia="zh-CN"/>
              </w:rPr>
              <w:t>还有人才壁垒，</w:t>
            </w:r>
            <w:r>
              <w:rPr>
                <w:rFonts w:hint="default" w:ascii="宋体" w:hAnsi="宋体" w:eastAsia="宋体" w:cs="宋体"/>
                <w:sz w:val="24"/>
                <w:szCs w:val="24"/>
                <w:highlight w:val="none"/>
                <w:lang w:val="en-US" w:eastAsia="zh-CN"/>
              </w:rPr>
              <w:t>需要跨学科的专业人才</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具备丰富经验的核心技术人员尤为稀缺。</w:t>
            </w:r>
          </w:p>
          <w:p w14:paraId="531D7F20">
            <w:pPr>
              <w:spacing w:line="360" w:lineRule="auto"/>
              <w:ind w:firstLine="480" w:firstLineChars="200"/>
              <w:jc w:val="both"/>
              <w:rPr>
                <w:rFonts w:hint="eastAsia" w:ascii="宋体" w:hAnsi="宋体" w:eastAsia="宋体" w:cs="宋体"/>
                <w:color w:val="0F1115"/>
                <w:sz w:val="24"/>
                <w:szCs w:val="24"/>
                <w:shd w:val="clear" w:color="auto" w:fill="FFFFFF"/>
              </w:rPr>
            </w:pPr>
            <w:r>
              <w:rPr>
                <w:rFonts w:hint="eastAsia" w:ascii="宋体" w:hAnsi="宋体" w:eastAsia="宋体" w:cs="宋体"/>
                <w:i w:val="0"/>
                <w:iCs w:val="0"/>
                <w:caps w:val="0"/>
                <w:color w:val="0F1115"/>
                <w:spacing w:val="0"/>
                <w:sz w:val="24"/>
                <w:szCs w:val="24"/>
                <w:highlight w:val="none"/>
                <w:shd w:val="clear" w:fill="FFFFFF"/>
              </w:rPr>
              <w:t>由于技术原理及产品质量形态的不同，MPCVD法与HPHT法产品端竞争重叠较少，国内MPCVD法制备金刚石行业处于初始阶段，尚未形成绝对领先的行业龙头。</w:t>
            </w:r>
          </w:p>
          <w:p w14:paraId="3ABD5071">
            <w:pPr>
              <w:numPr>
                <w:ilvl w:val="0"/>
                <w:numId w:val="0"/>
              </w:numPr>
              <w:spacing w:line="360" w:lineRule="auto"/>
              <w:ind w:firstLine="482" w:firstLineChars="200"/>
              <w:jc w:val="left"/>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5、金刚石在散热和深海领域有哪些应用场景？</w:t>
            </w:r>
          </w:p>
          <w:p w14:paraId="34029D2C">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散热和深海领域是金刚石材料的重要应用场景，我们公司将保持密切关注，后续如有相关进展，公司将严格按照监管要求履行信息披露义务。</w:t>
            </w:r>
          </w:p>
          <w:p w14:paraId="713D2150">
            <w:pPr>
              <w:spacing w:line="360" w:lineRule="auto"/>
              <w:ind w:firstLine="482" w:firstLineChars="200"/>
              <w:jc w:val="left"/>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6、公司培育钻石的市场定位怎样？销售策略和运营怎么样？当前的消费趋势如何？</w:t>
            </w:r>
          </w:p>
          <w:p w14:paraId="092E1824">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依托先进的生产设备及领先的生长工艺，专注生产高品质培育钻石及功能性金刚石产品，为市场提供7x7至20x20各尺寸钻石毛坯、多种形状的裸钻、珠宝首饰成品，可根据客户需求提供专属定制服务，生产的培育钻石颜色等级可达DEF、净度可达VVS，全过程良品率可达80%，均处于行业领先水平。</w:t>
            </w:r>
          </w:p>
          <w:p w14:paraId="2CA0EE16">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公司目前主要采用经销模式和零售直销模式销售产品，销售模式通常融合了多种渠道和策略，主要包括社交媒体营销、展会与博览会、工业化旅游路线、定制与个性化服务等。</w:t>
            </w:r>
          </w:p>
          <w:p w14:paraId="64B8AB68">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公司的</w:t>
            </w:r>
            <w:r>
              <w:rPr>
                <w:rFonts w:hint="eastAsia" w:ascii="宋体" w:hAnsi="宋体" w:eastAsia="宋体" w:cs="宋体"/>
                <w:sz w:val="24"/>
                <w:szCs w:val="24"/>
              </w:rPr>
              <w:t>培育钻石定位</w:t>
            </w:r>
            <w:r>
              <w:rPr>
                <w:rFonts w:hint="eastAsia" w:ascii="宋体" w:hAnsi="宋体" w:eastAsia="宋体" w:cs="宋体"/>
                <w:sz w:val="24"/>
                <w:szCs w:val="24"/>
                <w:lang w:val="en-US" w:eastAsia="zh-CN"/>
              </w:rPr>
              <w:t>为“大众喜欢且消费得起的钻石”</w:t>
            </w:r>
            <w:r>
              <w:rPr>
                <w:rFonts w:hint="eastAsia" w:ascii="宋体" w:hAnsi="宋体" w:eastAsia="宋体" w:cs="宋体"/>
                <w:sz w:val="24"/>
                <w:szCs w:val="24"/>
              </w:rPr>
              <w:t>，主打性价比，目标人群为年轻消费者及中高收入群体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当前培育钻石在</w:t>
            </w:r>
            <w:r>
              <w:rPr>
                <w:rFonts w:hint="eastAsia" w:ascii="宋体" w:hAnsi="宋体" w:eastAsia="宋体" w:cs="宋体"/>
                <w:sz w:val="24"/>
                <w:szCs w:val="24"/>
              </w:rPr>
              <w:t>欧美市场渗透率</w:t>
            </w:r>
            <w:r>
              <w:rPr>
                <w:rFonts w:hint="eastAsia" w:ascii="宋体" w:hAnsi="宋体" w:eastAsia="宋体" w:cs="宋体"/>
                <w:sz w:val="24"/>
                <w:szCs w:val="24"/>
                <w:lang w:val="en-US" w:eastAsia="zh-CN"/>
              </w:rPr>
              <w:t>较高</w:t>
            </w:r>
            <w:r>
              <w:rPr>
                <w:rFonts w:hint="eastAsia" w:ascii="宋体" w:hAnsi="宋体" w:eastAsia="宋体" w:cs="宋体"/>
                <w:sz w:val="24"/>
                <w:szCs w:val="24"/>
              </w:rPr>
              <w:t>，</w:t>
            </w:r>
            <w:r>
              <w:rPr>
                <w:rFonts w:hint="eastAsia" w:ascii="宋体" w:hAnsi="宋体" w:eastAsia="宋体" w:cs="宋体"/>
                <w:sz w:val="24"/>
                <w:szCs w:val="24"/>
                <w:lang w:val="en-US" w:eastAsia="zh-CN"/>
              </w:rPr>
              <w:t>国内</w:t>
            </w:r>
            <w:r>
              <w:rPr>
                <w:rFonts w:hint="eastAsia" w:ascii="宋体" w:hAnsi="宋体" w:eastAsia="宋体" w:cs="宋体"/>
                <w:sz w:val="24"/>
                <w:szCs w:val="24"/>
              </w:rPr>
              <w:t>市场潜力巨大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公司正在努力</w:t>
            </w:r>
            <w:r>
              <w:rPr>
                <w:rFonts w:hint="eastAsia" w:ascii="宋体" w:hAnsi="宋体" w:eastAsia="宋体" w:cs="宋体"/>
                <w:sz w:val="24"/>
                <w:szCs w:val="24"/>
                <w:lang w:eastAsia="zh-CN"/>
              </w:rPr>
              <w:t>实现“让普罗大众都消费得起钻石”和“让普罗大众都喜欢钻石”的愿景</w:t>
            </w:r>
            <w:r>
              <w:rPr>
                <w:rFonts w:hint="eastAsia" w:ascii="宋体" w:hAnsi="宋体" w:eastAsia="宋体" w:cs="宋体"/>
                <w:sz w:val="24"/>
                <w:szCs w:val="24"/>
              </w:rPr>
              <w:t>。</w:t>
            </w:r>
          </w:p>
          <w:p w14:paraId="230232AE">
            <w:pPr>
              <w:spacing w:line="360" w:lineRule="auto"/>
              <w:ind w:firstLine="482" w:firstLineChars="200"/>
              <w:jc w:val="left"/>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7、人造金刚石的主要原材料是什么？环保是否合规？</w:t>
            </w:r>
          </w:p>
          <w:p w14:paraId="4F4BCCD1">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公司CVD金刚石的主要材料为含碳气体（CH4）等，为确保原材料的稳定供应、质量和成本控制，公司会选择多个供应商，形成稳定的供应链体系。同时对潜在供应商进行严格的评估和审核，包括其生产能力、质量控制、交货期等方面的表现。</w:t>
            </w:r>
          </w:p>
          <w:p w14:paraId="4DA551C2">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公司有关环保方面情况，已在年报“第五节</w:t>
            </w:r>
            <w:r>
              <w:rPr>
                <w:rFonts w:hint="default" w:ascii="宋体" w:hAnsi="宋体" w:eastAsia="宋体" w:cs="宋体"/>
                <w:sz w:val="24"/>
                <w:szCs w:val="24"/>
                <w:lang w:val="en-US" w:eastAsia="zh-CN"/>
              </w:rPr>
              <w:t>环境与社会责任</w:t>
            </w:r>
            <w:r>
              <w:rPr>
                <w:rFonts w:hint="eastAsia" w:ascii="宋体" w:hAnsi="宋体" w:eastAsia="宋体" w:cs="宋体"/>
                <w:sz w:val="24"/>
                <w:szCs w:val="24"/>
                <w:lang w:val="en-US" w:eastAsia="zh-CN"/>
              </w:rPr>
              <w:t>”中披露，公司生产过程符合规范要求，无重大环保风险。</w:t>
            </w:r>
          </w:p>
          <w:p w14:paraId="394939AE">
            <w:pPr>
              <w:spacing w:line="360" w:lineRule="auto"/>
              <w:ind w:firstLine="482" w:firstLineChars="200"/>
              <w:jc w:val="left"/>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8、公司控股子公司</w:t>
            </w:r>
            <w:bookmarkStart w:id="0" w:name="OLE_LINK2"/>
            <w:r>
              <w:rPr>
                <w:rFonts w:hint="eastAsia" w:asciiTheme="minorEastAsia" w:hAnsiTheme="minorEastAsia"/>
                <w:b/>
                <w:sz w:val="24"/>
                <w:szCs w:val="24"/>
                <w:lang w:val="en-US" w:eastAsia="zh-CN"/>
              </w:rPr>
              <w:t>伊通满族自治县华大生物质热电有限公司</w:t>
            </w:r>
            <w:bookmarkEnd w:id="0"/>
            <w:r>
              <w:rPr>
                <w:rFonts w:hint="eastAsia" w:asciiTheme="minorEastAsia" w:hAnsiTheme="minorEastAsia"/>
                <w:b/>
                <w:sz w:val="24"/>
                <w:szCs w:val="24"/>
                <w:lang w:val="en-US" w:eastAsia="zh-CN"/>
              </w:rPr>
              <w:t>经营发展情况如何？</w:t>
            </w:r>
          </w:p>
          <w:p w14:paraId="2C2FCC99">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年初，公司通过增资方式完成对伊通满族自治县华大生物质热电有限公司70%股权收购。收购完成后，通过公司在管理、人才、资金等多维度的输出，华大热电生产经营呈现不断转好趋势，协同效应初步显现。华大热电生物质热电联产目前以热定产、采暖季运行，采用低真空运行、烟气热泵技术、循环水供热的方式，汽轮发电机组发电并输送至国家电网，生产的热水通过管网供采暖季居民使用。</w:t>
            </w:r>
          </w:p>
          <w:p w14:paraId="481CEA09">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未来，公司在保障居民供暖的同时，还会积极拓展工业供热业务和商业客户增量市场，为业务增长创造新的空间。此外，公司仍在积极储备优质热电联产标的项目。</w:t>
            </w:r>
          </w:p>
          <w:p w14:paraId="41BA6651">
            <w:pPr>
              <w:spacing w:line="360" w:lineRule="auto"/>
              <w:ind w:firstLine="482" w:firstLineChars="200"/>
              <w:jc w:val="both"/>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9、公司证券简称突出了“能源”，随着公司CVD金刚石业务持续拓展，未来公司是否有更名的可能性以及现有证券简称是否会妨碍投资者对公司CVD金刚石业务的认知？</w:t>
            </w:r>
          </w:p>
          <w:p w14:paraId="29623403">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近年来，</w:t>
            </w:r>
            <w:r>
              <w:rPr>
                <w:rFonts w:hint="eastAsia" w:ascii="宋体" w:hAnsi="宋体" w:eastAsia="宋体" w:cs="宋体"/>
                <w:sz w:val="24"/>
                <w:szCs w:val="24"/>
              </w:rPr>
              <w:t>公司坚持</w:t>
            </w:r>
            <w:r>
              <w:rPr>
                <w:rFonts w:hint="eastAsia" w:ascii="宋体" w:hAnsi="宋体" w:eastAsia="宋体" w:cs="宋体"/>
                <w:sz w:val="24"/>
                <w:szCs w:val="24"/>
                <w:lang w:val="en-US" w:eastAsia="zh-CN"/>
              </w:rPr>
              <w:t>秉承</w:t>
            </w:r>
            <w:r>
              <w:rPr>
                <w:rFonts w:hint="eastAsia" w:ascii="宋体" w:hAnsi="宋体" w:eastAsia="宋体" w:cs="宋体"/>
                <w:sz w:val="24"/>
                <w:szCs w:val="24"/>
              </w:rPr>
              <w:t>以“绿色能源供给”为基础、以“超硬材料尖端制造”为突破的企业发展战略</w:t>
            </w:r>
            <w:r>
              <w:rPr>
                <w:rFonts w:hint="eastAsia" w:ascii="宋体" w:hAnsi="宋体" w:eastAsia="宋体" w:cs="宋体"/>
                <w:sz w:val="24"/>
                <w:szCs w:val="24"/>
                <w:lang w:val="en-US" w:eastAsia="zh-CN"/>
              </w:rPr>
              <w:t>。</w:t>
            </w:r>
            <w:r>
              <w:rPr>
                <w:rFonts w:hint="eastAsia" w:ascii="宋体" w:hAnsi="宋体" w:eastAsia="宋体" w:cs="宋体"/>
                <w:sz w:val="24"/>
                <w:szCs w:val="24"/>
              </w:rPr>
              <w:t>在稳步发展热力生产与供应、发电等能源核心主业的同时，对CVD金刚石等业务领域进行了拓展</w:t>
            </w:r>
            <w:r>
              <w:rPr>
                <w:rFonts w:hint="eastAsia" w:ascii="宋体" w:hAnsi="宋体" w:eastAsia="宋体" w:cs="宋体"/>
                <w:sz w:val="24"/>
                <w:szCs w:val="24"/>
                <w:lang w:eastAsia="zh-CN"/>
              </w:rPr>
              <w:t>。</w:t>
            </w:r>
            <w:r>
              <w:rPr>
                <w:rFonts w:hint="default" w:ascii="宋体" w:hAnsi="宋体" w:eastAsia="宋体" w:cs="宋体"/>
                <w:sz w:val="24"/>
                <w:szCs w:val="24"/>
                <w:lang w:val="en-US" w:eastAsia="zh-CN"/>
              </w:rPr>
              <w:t>目前，“</w:t>
            </w:r>
            <w:r>
              <w:rPr>
                <w:rFonts w:hint="eastAsia" w:ascii="宋体" w:hAnsi="宋体" w:eastAsia="宋体" w:cs="宋体"/>
                <w:sz w:val="24"/>
                <w:szCs w:val="24"/>
                <w:lang w:val="en-US" w:eastAsia="zh-CN"/>
              </w:rPr>
              <w:t>恒盛能源</w:t>
            </w:r>
            <w:r>
              <w:rPr>
                <w:rFonts w:hint="default" w:ascii="宋体" w:hAnsi="宋体" w:eastAsia="宋体" w:cs="宋体"/>
                <w:sz w:val="24"/>
                <w:szCs w:val="24"/>
                <w:lang w:val="en-US" w:eastAsia="zh-CN"/>
              </w:rPr>
              <w:t>”这一简称能够较好地体现公司业务属性和战略方向，暂无变更公司证券简称的计划。</w:t>
            </w:r>
            <w:r>
              <w:rPr>
                <w:rFonts w:hint="eastAsia" w:ascii="宋体" w:hAnsi="宋体" w:eastAsia="宋体" w:cs="宋体"/>
                <w:sz w:val="24"/>
                <w:szCs w:val="24"/>
                <w:lang w:val="en-US" w:eastAsia="zh-CN"/>
              </w:rPr>
              <w:t>未来，如有任何可能引起公司证券简称变更的重大事项，公司将严格按照相关法律法规及监管要求，及</w:t>
            </w:r>
            <w:bookmarkStart w:id="1" w:name="_GoBack"/>
            <w:bookmarkEnd w:id="1"/>
            <w:r>
              <w:rPr>
                <w:rFonts w:hint="eastAsia" w:ascii="宋体" w:hAnsi="宋体" w:eastAsia="宋体" w:cs="宋体"/>
                <w:sz w:val="24"/>
                <w:szCs w:val="24"/>
                <w:lang w:val="en-US" w:eastAsia="zh-CN"/>
              </w:rPr>
              <w:t>时履行信息披露义务。</w:t>
            </w:r>
          </w:p>
          <w:p w14:paraId="76777EA0">
            <w:pPr>
              <w:spacing w:line="360" w:lineRule="auto"/>
              <w:ind w:firstLine="480" w:firstLineChars="200"/>
              <w:jc w:val="both"/>
              <w:rPr>
                <w:rFonts w:asciiTheme="minorEastAsia" w:hAnsiTheme="minorEastAsia"/>
                <w:sz w:val="24"/>
                <w:szCs w:val="24"/>
              </w:rPr>
            </w:pPr>
            <w:r>
              <w:rPr>
                <w:rFonts w:hint="eastAsia" w:ascii="宋体" w:hAnsi="宋体" w:eastAsia="宋体" w:cs="宋体"/>
                <w:sz w:val="24"/>
                <w:szCs w:val="24"/>
              </w:rPr>
              <w:t>针对部分投资者关注的 “</w:t>
            </w:r>
            <w:r>
              <w:rPr>
                <w:rFonts w:hint="eastAsia" w:ascii="宋体" w:hAnsi="宋体" w:eastAsia="宋体" w:cs="宋体"/>
                <w:sz w:val="24"/>
                <w:szCs w:val="24"/>
                <w:lang w:val="en-US" w:eastAsia="zh-CN"/>
              </w:rPr>
              <w:t>恒盛</w:t>
            </w:r>
            <w:r>
              <w:rPr>
                <w:rFonts w:hint="eastAsia" w:ascii="宋体" w:hAnsi="宋体" w:eastAsia="宋体" w:cs="宋体"/>
                <w:sz w:val="24"/>
                <w:szCs w:val="24"/>
              </w:rPr>
              <w:t xml:space="preserve">能源” </w:t>
            </w:r>
            <w:r>
              <w:rPr>
                <w:rFonts w:hint="eastAsia" w:ascii="宋体" w:hAnsi="宋体" w:eastAsia="宋体" w:cs="宋体"/>
                <w:sz w:val="24"/>
                <w:szCs w:val="24"/>
                <w:lang w:val="en-US" w:eastAsia="zh-CN"/>
              </w:rPr>
              <w:t>这一证券</w:t>
            </w:r>
            <w:r>
              <w:rPr>
                <w:rFonts w:hint="eastAsia" w:ascii="宋体" w:hAnsi="宋体" w:eastAsia="宋体" w:cs="宋体"/>
                <w:sz w:val="24"/>
                <w:szCs w:val="24"/>
              </w:rPr>
              <w:t>简称</w:t>
            </w:r>
            <w:r>
              <w:rPr>
                <w:rFonts w:hint="eastAsia" w:ascii="宋体" w:hAnsi="宋体" w:eastAsia="宋体" w:cs="宋体"/>
                <w:sz w:val="24"/>
                <w:szCs w:val="24"/>
                <w:lang w:val="en-US" w:eastAsia="zh-CN"/>
              </w:rPr>
              <w:t>可能妨碍投资者对公司CVD金刚石业务认知</w:t>
            </w:r>
            <w:r>
              <w:rPr>
                <w:rFonts w:hint="eastAsia" w:ascii="宋体" w:hAnsi="宋体" w:eastAsia="宋体" w:cs="宋体"/>
                <w:sz w:val="24"/>
                <w:szCs w:val="24"/>
              </w:rPr>
              <w:t>，公司</w:t>
            </w:r>
            <w:r>
              <w:rPr>
                <w:rFonts w:hint="eastAsia" w:ascii="宋体" w:hAnsi="宋体" w:eastAsia="宋体" w:cs="宋体"/>
                <w:sz w:val="24"/>
                <w:szCs w:val="24"/>
                <w:lang w:val="en-US" w:eastAsia="zh-CN"/>
              </w:rPr>
              <w:t>也</w:t>
            </w:r>
            <w:r>
              <w:rPr>
                <w:rFonts w:hint="eastAsia" w:ascii="宋体" w:hAnsi="宋体" w:eastAsia="宋体" w:cs="宋体"/>
                <w:sz w:val="24"/>
                <w:szCs w:val="24"/>
              </w:rPr>
              <w:t>高度重视</w:t>
            </w:r>
            <w:r>
              <w:rPr>
                <w:rFonts w:hint="eastAsia" w:ascii="宋体" w:hAnsi="宋体" w:eastAsia="宋体" w:cs="宋体"/>
                <w:sz w:val="24"/>
                <w:szCs w:val="24"/>
                <w:lang w:val="en-US" w:eastAsia="zh-CN"/>
              </w:rPr>
              <w:t>对此相关的</w:t>
            </w:r>
            <w:r>
              <w:rPr>
                <w:rFonts w:hint="eastAsia" w:ascii="宋体" w:hAnsi="宋体" w:eastAsia="宋体" w:cs="宋体"/>
                <w:sz w:val="24"/>
                <w:szCs w:val="24"/>
              </w:rPr>
              <w:t>投资者关系管理工作：一方面，</w:t>
            </w:r>
            <w:r>
              <w:rPr>
                <w:rFonts w:hint="eastAsia" w:ascii="宋体" w:hAnsi="宋体" w:eastAsia="宋体" w:cs="宋体"/>
                <w:sz w:val="24"/>
                <w:szCs w:val="24"/>
                <w:lang w:val="en-US" w:eastAsia="zh-CN"/>
              </w:rPr>
              <w:t>公司</w:t>
            </w:r>
            <w:r>
              <w:rPr>
                <w:rFonts w:hint="eastAsia" w:ascii="宋体" w:hAnsi="宋体" w:eastAsia="宋体" w:cs="宋体"/>
                <w:sz w:val="24"/>
                <w:szCs w:val="24"/>
              </w:rPr>
              <w:t>将通过定期报告、投资者调研等渠道持续披露CVD金刚石</w:t>
            </w:r>
            <w:r>
              <w:rPr>
                <w:rFonts w:hint="eastAsia" w:ascii="宋体" w:hAnsi="宋体" w:eastAsia="宋体" w:cs="宋体"/>
                <w:sz w:val="24"/>
                <w:szCs w:val="24"/>
                <w:lang w:val="en-US" w:eastAsia="zh-CN"/>
              </w:rPr>
              <w:t>业务</w:t>
            </w:r>
            <w:r>
              <w:rPr>
                <w:rFonts w:hint="eastAsia" w:ascii="宋体" w:hAnsi="宋体" w:eastAsia="宋体" w:cs="宋体"/>
                <w:sz w:val="24"/>
                <w:szCs w:val="24"/>
              </w:rPr>
              <w:t>进展</w:t>
            </w:r>
            <w:r>
              <w:rPr>
                <w:rFonts w:hint="eastAsia" w:ascii="宋体" w:hAnsi="宋体" w:eastAsia="宋体" w:cs="宋体"/>
                <w:sz w:val="24"/>
                <w:szCs w:val="24"/>
                <w:lang w:val="en-US" w:eastAsia="zh-CN"/>
              </w:rPr>
              <w:t>情况</w:t>
            </w:r>
            <w:r>
              <w:rPr>
                <w:rFonts w:hint="eastAsia" w:ascii="宋体" w:hAnsi="宋体" w:eastAsia="宋体" w:cs="宋体"/>
                <w:sz w:val="24"/>
                <w:szCs w:val="24"/>
              </w:rPr>
              <w:t>；另一方面，</w:t>
            </w:r>
            <w:r>
              <w:rPr>
                <w:rFonts w:hint="eastAsia" w:ascii="宋体" w:hAnsi="宋体" w:eastAsia="宋体" w:cs="宋体"/>
                <w:sz w:val="24"/>
                <w:szCs w:val="24"/>
                <w:lang w:val="en-US" w:eastAsia="zh-CN"/>
              </w:rPr>
              <w:t>公司也</w:t>
            </w:r>
            <w:r>
              <w:rPr>
                <w:rFonts w:hint="eastAsia" w:ascii="宋体" w:hAnsi="宋体" w:eastAsia="宋体" w:cs="宋体"/>
                <w:sz w:val="24"/>
                <w:szCs w:val="24"/>
              </w:rPr>
              <w:t>热忱欢迎</w:t>
            </w:r>
            <w:r>
              <w:rPr>
                <w:rFonts w:hint="eastAsia" w:ascii="宋体" w:hAnsi="宋体" w:eastAsia="宋体" w:cs="宋体"/>
                <w:sz w:val="24"/>
                <w:szCs w:val="24"/>
                <w:lang w:val="en-US" w:eastAsia="zh-CN"/>
              </w:rPr>
              <w:t>广大</w:t>
            </w:r>
            <w:r>
              <w:rPr>
                <w:rFonts w:hint="eastAsia" w:ascii="宋体" w:hAnsi="宋体" w:eastAsia="宋体" w:cs="宋体"/>
                <w:sz w:val="24"/>
                <w:szCs w:val="24"/>
              </w:rPr>
              <w:t>投资者通过实地走访、电话沟通等</w:t>
            </w:r>
            <w:r>
              <w:rPr>
                <w:rFonts w:hint="eastAsia" w:ascii="宋体" w:hAnsi="宋体" w:eastAsia="宋体" w:cs="宋体"/>
                <w:sz w:val="24"/>
                <w:szCs w:val="24"/>
                <w:lang w:val="en-US" w:eastAsia="zh-CN"/>
              </w:rPr>
              <w:t>多种</w:t>
            </w:r>
            <w:r>
              <w:rPr>
                <w:rFonts w:hint="eastAsia" w:ascii="宋体" w:hAnsi="宋体" w:eastAsia="宋体" w:cs="宋体"/>
                <w:sz w:val="24"/>
                <w:szCs w:val="24"/>
              </w:rPr>
              <w:t>方式深入了解公司全产业链布局。</w:t>
            </w:r>
          </w:p>
        </w:tc>
      </w:tr>
      <w:tr w14:paraId="2DAF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1D84889">
            <w:pPr>
              <w:jc w:val="center"/>
              <w:rPr>
                <w:rFonts w:asciiTheme="minorEastAsia" w:hAnsiTheme="minorEastAsia"/>
                <w:b/>
                <w:sz w:val="24"/>
                <w:szCs w:val="24"/>
              </w:rPr>
            </w:pPr>
            <w:r>
              <w:rPr>
                <w:rFonts w:hint="eastAsia" w:asciiTheme="minorEastAsia" w:hAnsiTheme="minorEastAsia"/>
                <w:b/>
                <w:sz w:val="24"/>
                <w:szCs w:val="24"/>
              </w:rPr>
              <w:t>是否涉及应当披露的重大信息</w:t>
            </w:r>
          </w:p>
        </w:tc>
        <w:tc>
          <w:tcPr>
            <w:tcW w:w="5862" w:type="dxa"/>
            <w:vAlign w:val="center"/>
          </w:tcPr>
          <w:p w14:paraId="2BD6BDCE">
            <w:pPr>
              <w:rPr>
                <w:rFonts w:asciiTheme="minorEastAsia" w:hAnsiTheme="minorEastAsia"/>
                <w:sz w:val="24"/>
                <w:szCs w:val="24"/>
              </w:rPr>
            </w:pPr>
            <w:r>
              <w:rPr>
                <w:rFonts w:hint="eastAsia" w:asciiTheme="minorEastAsia" w:hAnsiTheme="minorEastAsia"/>
                <w:sz w:val="24"/>
                <w:szCs w:val="24"/>
              </w:rPr>
              <w:t>无</w:t>
            </w:r>
          </w:p>
        </w:tc>
      </w:tr>
      <w:tr w14:paraId="5E1E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06532BC">
            <w:pPr>
              <w:jc w:val="center"/>
              <w:rPr>
                <w:rFonts w:asciiTheme="minorEastAsia" w:hAnsiTheme="minorEastAsia"/>
                <w:b/>
                <w:sz w:val="24"/>
                <w:szCs w:val="24"/>
              </w:rPr>
            </w:pPr>
            <w:r>
              <w:rPr>
                <w:rFonts w:hint="eastAsia" w:asciiTheme="minorEastAsia" w:hAnsiTheme="minorEastAsia"/>
                <w:b/>
                <w:sz w:val="24"/>
                <w:szCs w:val="24"/>
              </w:rPr>
              <w:t>附件清单（如有）</w:t>
            </w:r>
          </w:p>
        </w:tc>
        <w:tc>
          <w:tcPr>
            <w:tcW w:w="5862" w:type="dxa"/>
          </w:tcPr>
          <w:p w14:paraId="29FE9BAD">
            <w:pPr>
              <w:spacing w:before="156" w:beforeLines="50" w:after="156" w:afterLines="50"/>
              <w:jc w:val="left"/>
              <w:rPr>
                <w:rFonts w:asciiTheme="minorEastAsia" w:hAnsiTheme="minorEastAsia"/>
                <w:sz w:val="24"/>
                <w:szCs w:val="24"/>
              </w:rPr>
            </w:pPr>
            <w:r>
              <w:rPr>
                <w:rFonts w:hint="eastAsia" w:asciiTheme="minorEastAsia" w:hAnsiTheme="minorEastAsia"/>
                <w:sz w:val="24"/>
                <w:szCs w:val="24"/>
              </w:rPr>
              <w:t>无</w:t>
            </w:r>
          </w:p>
        </w:tc>
      </w:tr>
      <w:tr w14:paraId="29F7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3A0D12D6">
            <w:pPr>
              <w:jc w:val="center"/>
              <w:rPr>
                <w:rFonts w:asciiTheme="minorEastAsia" w:hAnsiTheme="minorEastAsia"/>
                <w:b/>
                <w:sz w:val="24"/>
                <w:szCs w:val="24"/>
              </w:rPr>
            </w:pPr>
            <w:r>
              <w:rPr>
                <w:rFonts w:hint="eastAsia" w:asciiTheme="minorEastAsia" w:hAnsiTheme="minorEastAsia"/>
                <w:b/>
                <w:sz w:val="24"/>
                <w:szCs w:val="24"/>
              </w:rPr>
              <w:t>日期</w:t>
            </w:r>
          </w:p>
        </w:tc>
        <w:tc>
          <w:tcPr>
            <w:tcW w:w="5862" w:type="dxa"/>
          </w:tcPr>
          <w:p w14:paraId="5F59E7A2">
            <w:pPr>
              <w:spacing w:before="156" w:beforeLines="50" w:after="156" w:afterLines="50"/>
              <w:jc w:val="left"/>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23</w:t>
            </w:r>
            <w:r>
              <w:rPr>
                <w:rFonts w:hint="eastAsia" w:asciiTheme="minorEastAsia" w:hAnsiTheme="minorEastAsia"/>
                <w:sz w:val="24"/>
                <w:szCs w:val="24"/>
              </w:rPr>
              <w:t>日</w:t>
            </w:r>
          </w:p>
        </w:tc>
      </w:tr>
    </w:tbl>
    <w:p w14:paraId="1E0BC3B3">
      <w:pPr>
        <w:jc w:val="cente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3F"/>
    <w:rsid w:val="00005702"/>
    <w:rsid w:val="00006482"/>
    <w:rsid w:val="00015BC7"/>
    <w:rsid w:val="000240B9"/>
    <w:rsid w:val="00026F9B"/>
    <w:rsid w:val="0004356C"/>
    <w:rsid w:val="00043683"/>
    <w:rsid w:val="00050EE7"/>
    <w:rsid w:val="000734CF"/>
    <w:rsid w:val="00073CF5"/>
    <w:rsid w:val="00074F9B"/>
    <w:rsid w:val="00076525"/>
    <w:rsid w:val="00076C3D"/>
    <w:rsid w:val="00077A55"/>
    <w:rsid w:val="00087CC1"/>
    <w:rsid w:val="000A5E8A"/>
    <w:rsid w:val="000B4414"/>
    <w:rsid w:val="000C2196"/>
    <w:rsid w:val="000C2299"/>
    <w:rsid w:val="000D7203"/>
    <w:rsid w:val="000F29DA"/>
    <w:rsid w:val="000F34CC"/>
    <w:rsid w:val="000F4DFE"/>
    <w:rsid w:val="000F75DE"/>
    <w:rsid w:val="001062DA"/>
    <w:rsid w:val="00111124"/>
    <w:rsid w:val="0011691A"/>
    <w:rsid w:val="0012457E"/>
    <w:rsid w:val="00136B6F"/>
    <w:rsid w:val="00150B0E"/>
    <w:rsid w:val="00151169"/>
    <w:rsid w:val="0015497A"/>
    <w:rsid w:val="00155A02"/>
    <w:rsid w:val="00156049"/>
    <w:rsid w:val="001631AB"/>
    <w:rsid w:val="00175949"/>
    <w:rsid w:val="00176DFC"/>
    <w:rsid w:val="001911F9"/>
    <w:rsid w:val="00197304"/>
    <w:rsid w:val="001A02D5"/>
    <w:rsid w:val="001A1CB0"/>
    <w:rsid w:val="001A2A5E"/>
    <w:rsid w:val="001A41B4"/>
    <w:rsid w:val="001B08EB"/>
    <w:rsid w:val="001B24CE"/>
    <w:rsid w:val="001B3DC1"/>
    <w:rsid w:val="001D6034"/>
    <w:rsid w:val="001E1E69"/>
    <w:rsid w:val="001E44EE"/>
    <w:rsid w:val="001E6709"/>
    <w:rsid w:val="001F1242"/>
    <w:rsid w:val="001F15ED"/>
    <w:rsid w:val="00207F85"/>
    <w:rsid w:val="002101B5"/>
    <w:rsid w:val="0021209C"/>
    <w:rsid w:val="00216661"/>
    <w:rsid w:val="002248A8"/>
    <w:rsid w:val="00231C58"/>
    <w:rsid w:val="002357EE"/>
    <w:rsid w:val="002445EE"/>
    <w:rsid w:val="00244AF3"/>
    <w:rsid w:val="0024743E"/>
    <w:rsid w:val="0027001C"/>
    <w:rsid w:val="00273FAB"/>
    <w:rsid w:val="002745A5"/>
    <w:rsid w:val="002906CA"/>
    <w:rsid w:val="002929EB"/>
    <w:rsid w:val="002B354C"/>
    <w:rsid w:val="002C12FF"/>
    <w:rsid w:val="002D08EF"/>
    <w:rsid w:val="002D6935"/>
    <w:rsid w:val="002E5A9D"/>
    <w:rsid w:val="002E67AA"/>
    <w:rsid w:val="002E6CEA"/>
    <w:rsid w:val="002F2E13"/>
    <w:rsid w:val="00303E1F"/>
    <w:rsid w:val="0030505D"/>
    <w:rsid w:val="00307DC0"/>
    <w:rsid w:val="00312F74"/>
    <w:rsid w:val="00315285"/>
    <w:rsid w:val="00316ABF"/>
    <w:rsid w:val="003247C3"/>
    <w:rsid w:val="0032738D"/>
    <w:rsid w:val="0032777E"/>
    <w:rsid w:val="0033203B"/>
    <w:rsid w:val="00333C1F"/>
    <w:rsid w:val="003406B0"/>
    <w:rsid w:val="00352F87"/>
    <w:rsid w:val="003546C5"/>
    <w:rsid w:val="00354856"/>
    <w:rsid w:val="00354F89"/>
    <w:rsid w:val="00356429"/>
    <w:rsid w:val="00357858"/>
    <w:rsid w:val="0035792C"/>
    <w:rsid w:val="00361050"/>
    <w:rsid w:val="00367425"/>
    <w:rsid w:val="0038534C"/>
    <w:rsid w:val="00385CAE"/>
    <w:rsid w:val="00397931"/>
    <w:rsid w:val="003A2B3F"/>
    <w:rsid w:val="003B125D"/>
    <w:rsid w:val="003B4B6A"/>
    <w:rsid w:val="003D49EB"/>
    <w:rsid w:val="003D74C9"/>
    <w:rsid w:val="003D7F9E"/>
    <w:rsid w:val="003E64F0"/>
    <w:rsid w:val="003F29B0"/>
    <w:rsid w:val="003F35D0"/>
    <w:rsid w:val="004230D5"/>
    <w:rsid w:val="00424479"/>
    <w:rsid w:val="00424848"/>
    <w:rsid w:val="00432EF8"/>
    <w:rsid w:val="004378B2"/>
    <w:rsid w:val="004557D1"/>
    <w:rsid w:val="00456562"/>
    <w:rsid w:val="00463B34"/>
    <w:rsid w:val="004679DB"/>
    <w:rsid w:val="00474592"/>
    <w:rsid w:val="00475140"/>
    <w:rsid w:val="004879FC"/>
    <w:rsid w:val="00490308"/>
    <w:rsid w:val="004A29EB"/>
    <w:rsid w:val="004A4A93"/>
    <w:rsid w:val="004A4E66"/>
    <w:rsid w:val="004B3CD5"/>
    <w:rsid w:val="004C0A77"/>
    <w:rsid w:val="004C5485"/>
    <w:rsid w:val="004D2853"/>
    <w:rsid w:val="004E092C"/>
    <w:rsid w:val="004E2C09"/>
    <w:rsid w:val="004E2C37"/>
    <w:rsid w:val="004E310B"/>
    <w:rsid w:val="004F5DA9"/>
    <w:rsid w:val="00512AC4"/>
    <w:rsid w:val="00516709"/>
    <w:rsid w:val="0052206F"/>
    <w:rsid w:val="0053202A"/>
    <w:rsid w:val="005329E3"/>
    <w:rsid w:val="00536767"/>
    <w:rsid w:val="00537CD4"/>
    <w:rsid w:val="00540CC1"/>
    <w:rsid w:val="005457CF"/>
    <w:rsid w:val="005613C6"/>
    <w:rsid w:val="005640A2"/>
    <w:rsid w:val="005644B3"/>
    <w:rsid w:val="00564770"/>
    <w:rsid w:val="00567DE7"/>
    <w:rsid w:val="00575719"/>
    <w:rsid w:val="0057764B"/>
    <w:rsid w:val="00580F55"/>
    <w:rsid w:val="00592047"/>
    <w:rsid w:val="0059270B"/>
    <w:rsid w:val="00594220"/>
    <w:rsid w:val="005A1D92"/>
    <w:rsid w:val="005B05F6"/>
    <w:rsid w:val="005B68F6"/>
    <w:rsid w:val="005C0171"/>
    <w:rsid w:val="005C349C"/>
    <w:rsid w:val="005D1A1C"/>
    <w:rsid w:val="005D2607"/>
    <w:rsid w:val="005E6A87"/>
    <w:rsid w:val="005E7796"/>
    <w:rsid w:val="005F07F7"/>
    <w:rsid w:val="005F0943"/>
    <w:rsid w:val="005F1525"/>
    <w:rsid w:val="005F558C"/>
    <w:rsid w:val="005F728A"/>
    <w:rsid w:val="00614736"/>
    <w:rsid w:val="0064034E"/>
    <w:rsid w:val="006465C8"/>
    <w:rsid w:val="00650636"/>
    <w:rsid w:val="0065528B"/>
    <w:rsid w:val="006568DA"/>
    <w:rsid w:val="00671986"/>
    <w:rsid w:val="0067562A"/>
    <w:rsid w:val="00684E84"/>
    <w:rsid w:val="006A3344"/>
    <w:rsid w:val="006A3751"/>
    <w:rsid w:val="006A5E55"/>
    <w:rsid w:val="006A7299"/>
    <w:rsid w:val="006C4A1E"/>
    <w:rsid w:val="006D2779"/>
    <w:rsid w:val="006D68F8"/>
    <w:rsid w:val="006E35EC"/>
    <w:rsid w:val="006E689A"/>
    <w:rsid w:val="006F5444"/>
    <w:rsid w:val="00705E69"/>
    <w:rsid w:val="00720254"/>
    <w:rsid w:val="0074412D"/>
    <w:rsid w:val="007462E9"/>
    <w:rsid w:val="00755928"/>
    <w:rsid w:val="007571D3"/>
    <w:rsid w:val="00757CD0"/>
    <w:rsid w:val="00773226"/>
    <w:rsid w:val="00775973"/>
    <w:rsid w:val="00790598"/>
    <w:rsid w:val="00794386"/>
    <w:rsid w:val="0079460A"/>
    <w:rsid w:val="007A4E5D"/>
    <w:rsid w:val="007B07B7"/>
    <w:rsid w:val="007C43C4"/>
    <w:rsid w:val="007C6DD7"/>
    <w:rsid w:val="007D1EAA"/>
    <w:rsid w:val="007D6813"/>
    <w:rsid w:val="007E4446"/>
    <w:rsid w:val="00804D24"/>
    <w:rsid w:val="008139F5"/>
    <w:rsid w:val="008169DE"/>
    <w:rsid w:val="0082163F"/>
    <w:rsid w:val="00825368"/>
    <w:rsid w:val="008424AB"/>
    <w:rsid w:val="0084643B"/>
    <w:rsid w:val="008535FF"/>
    <w:rsid w:val="00862A82"/>
    <w:rsid w:val="00864453"/>
    <w:rsid w:val="00870F0E"/>
    <w:rsid w:val="00876CBF"/>
    <w:rsid w:val="00876E40"/>
    <w:rsid w:val="00894A54"/>
    <w:rsid w:val="008A1DDF"/>
    <w:rsid w:val="008A7787"/>
    <w:rsid w:val="008B4B67"/>
    <w:rsid w:val="008B67A9"/>
    <w:rsid w:val="008C29C1"/>
    <w:rsid w:val="008C4206"/>
    <w:rsid w:val="008D2295"/>
    <w:rsid w:val="008D4588"/>
    <w:rsid w:val="008D49BA"/>
    <w:rsid w:val="008D531B"/>
    <w:rsid w:val="008E3D60"/>
    <w:rsid w:val="008E4C8A"/>
    <w:rsid w:val="008E6179"/>
    <w:rsid w:val="008F2B41"/>
    <w:rsid w:val="008F3499"/>
    <w:rsid w:val="00904862"/>
    <w:rsid w:val="0091181B"/>
    <w:rsid w:val="00922143"/>
    <w:rsid w:val="009235F4"/>
    <w:rsid w:val="0092688B"/>
    <w:rsid w:val="00927C7B"/>
    <w:rsid w:val="00937F72"/>
    <w:rsid w:val="00944881"/>
    <w:rsid w:val="00950F32"/>
    <w:rsid w:val="00966C7E"/>
    <w:rsid w:val="0097195A"/>
    <w:rsid w:val="0097356C"/>
    <w:rsid w:val="00992B47"/>
    <w:rsid w:val="009B2EEE"/>
    <w:rsid w:val="009B3103"/>
    <w:rsid w:val="009C236F"/>
    <w:rsid w:val="009C5344"/>
    <w:rsid w:val="009C6A20"/>
    <w:rsid w:val="009C7751"/>
    <w:rsid w:val="009D0B07"/>
    <w:rsid w:val="009D10E8"/>
    <w:rsid w:val="009E3F5A"/>
    <w:rsid w:val="009E647B"/>
    <w:rsid w:val="009F3455"/>
    <w:rsid w:val="009F5C63"/>
    <w:rsid w:val="009F7710"/>
    <w:rsid w:val="00A0255F"/>
    <w:rsid w:val="00A029FC"/>
    <w:rsid w:val="00A0582E"/>
    <w:rsid w:val="00A130DA"/>
    <w:rsid w:val="00A25421"/>
    <w:rsid w:val="00A2553A"/>
    <w:rsid w:val="00A2588E"/>
    <w:rsid w:val="00A26DD3"/>
    <w:rsid w:val="00A411F3"/>
    <w:rsid w:val="00A4544C"/>
    <w:rsid w:val="00A51ECF"/>
    <w:rsid w:val="00A74F4F"/>
    <w:rsid w:val="00A751CD"/>
    <w:rsid w:val="00A75CFE"/>
    <w:rsid w:val="00A80FE0"/>
    <w:rsid w:val="00A84399"/>
    <w:rsid w:val="00A95AF5"/>
    <w:rsid w:val="00AA45B0"/>
    <w:rsid w:val="00AB1E4A"/>
    <w:rsid w:val="00AB5364"/>
    <w:rsid w:val="00AB667C"/>
    <w:rsid w:val="00AC1D53"/>
    <w:rsid w:val="00AE1EFA"/>
    <w:rsid w:val="00AF2EAF"/>
    <w:rsid w:val="00AF4561"/>
    <w:rsid w:val="00AF459C"/>
    <w:rsid w:val="00B428EB"/>
    <w:rsid w:val="00B57D82"/>
    <w:rsid w:val="00B609C1"/>
    <w:rsid w:val="00B6160C"/>
    <w:rsid w:val="00B64B6C"/>
    <w:rsid w:val="00B74774"/>
    <w:rsid w:val="00B750CE"/>
    <w:rsid w:val="00B80A01"/>
    <w:rsid w:val="00B8306D"/>
    <w:rsid w:val="00B8534A"/>
    <w:rsid w:val="00B97D02"/>
    <w:rsid w:val="00B97DCE"/>
    <w:rsid w:val="00BB3ECA"/>
    <w:rsid w:val="00BC4668"/>
    <w:rsid w:val="00BC46B3"/>
    <w:rsid w:val="00BD0836"/>
    <w:rsid w:val="00BD43FD"/>
    <w:rsid w:val="00BD6693"/>
    <w:rsid w:val="00BD7C88"/>
    <w:rsid w:val="00BE201C"/>
    <w:rsid w:val="00BE42A5"/>
    <w:rsid w:val="00C061D7"/>
    <w:rsid w:val="00C12866"/>
    <w:rsid w:val="00C15100"/>
    <w:rsid w:val="00C20C3E"/>
    <w:rsid w:val="00C26B13"/>
    <w:rsid w:val="00C27D00"/>
    <w:rsid w:val="00C32A3E"/>
    <w:rsid w:val="00C32A6C"/>
    <w:rsid w:val="00C417A1"/>
    <w:rsid w:val="00C45A9E"/>
    <w:rsid w:val="00C465E6"/>
    <w:rsid w:val="00C50BF7"/>
    <w:rsid w:val="00C56F34"/>
    <w:rsid w:val="00C577FB"/>
    <w:rsid w:val="00C841D9"/>
    <w:rsid w:val="00C877BF"/>
    <w:rsid w:val="00C87C47"/>
    <w:rsid w:val="00C91406"/>
    <w:rsid w:val="00C93CC3"/>
    <w:rsid w:val="00C9421E"/>
    <w:rsid w:val="00C94636"/>
    <w:rsid w:val="00CB56AD"/>
    <w:rsid w:val="00CB56E4"/>
    <w:rsid w:val="00CC6034"/>
    <w:rsid w:val="00CD7CDA"/>
    <w:rsid w:val="00CE257C"/>
    <w:rsid w:val="00CE5600"/>
    <w:rsid w:val="00CF1135"/>
    <w:rsid w:val="00D0301B"/>
    <w:rsid w:val="00D036C4"/>
    <w:rsid w:val="00D05091"/>
    <w:rsid w:val="00D054AF"/>
    <w:rsid w:val="00D055C6"/>
    <w:rsid w:val="00D06015"/>
    <w:rsid w:val="00D335DF"/>
    <w:rsid w:val="00D35554"/>
    <w:rsid w:val="00D3610A"/>
    <w:rsid w:val="00D37398"/>
    <w:rsid w:val="00D5133D"/>
    <w:rsid w:val="00D541BA"/>
    <w:rsid w:val="00D606EF"/>
    <w:rsid w:val="00D66710"/>
    <w:rsid w:val="00D81CA8"/>
    <w:rsid w:val="00D85EE3"/>
    <w:rsid w:val="00D87D4E"/>
    <w:rsid w:val="00D962A7"/>
    <w:rsid w:val="00DA095A"/>
    <w:rsid w:val="00DA67B9"/>
    <w:rsid w:val="00DB1028"/>
    <w:rsid w:val="00DB27AE"/>
    <w:rsid w:val="00DB7B9C"/>
    <w:rsid w:val="00DC013D"/>
    <w:rsid w:val="00DD1878"/>
    <w:rsid w:val="00DD3B8A"/>
    <w:rsid w:val="00DE1448"/>
    <w:rsid w:val="00DE2459"/>
    <w:rsid w:val="00DE333A"/>
    <w:rsid w:val="00DF799A"/>
    <w:rsid w:val="00E12263"/>
    <w:rsid w:val="00E13E1E"/>
    <w:rsid w:val="00E14383"/>
    <w:rsid w:val="00E224E6"/>
    <w:rsid w:val="00E236B0"/>
    <w:rsid w:val="00E25711"/>
    <w:rsid w:val="00E53A67"/>
    <w:rsid w:val="00E619AC"/>
    <w:rsid w:val="00E62018"/>
    <w:rsid w:val="00E6586E"/>
    <w:rsid w:val="00E70DC1"/>
    <w:rsid w:val="00E74F3E"/>
    <w:rsid w:val="00E75923"/>
    <w:rsid w:val="00E77790"/>
    <w:rsid w:val="00E778FA"/>
    <w:rsid w:val="00E85A33"/>
    <w:rsid w:val="00E9133C"/>
    <w:rsid w:val="00EA1929"/>
    <w:rsid w:val="00EA1C28"/>
    <w:rsid w:val="00EA3F0F"/>
    <w:rsid w:val="00EB4CAE"/>
    <w:rsid w:val="00EB52FF"/>
    <w:rsid w:val="00EC42DC"/>
    <w:rsid w:val="00ED10C3"/>
    <w:rsid w:val="00EE7505"/>
    <w:rsid w:val="00EF0B4F"/>
    <w:rsid w:val="00EF4F8A"/>
    <w:rsid w:val="00F01805"/>
    <w:rsid w:val="00F23D34"/>
    <w:rsid w:val="00F3210E"/>
    <w:rsid w:val="00F455BA"/>
    <w:rsid w:val="00F46998"/>
    <w:rsid w:val="00F46ED7"/>
    <w:rsid w:val="00F55F17"/>
    <w:rsid w:val="00F61E4D"/>
    <w:rsid w:val="00F648B4"/>
    <w:rsid w:val="00F6656B"/>
    <w:rsid w:val="00F7285D"/>
    <w:rsid w:val="00F85441"/>
    <w:rsid w:val="00F952C7"/>
    <w:rsid w:val="00FC01E8"/>
    <w:rsid w:val="00FC072A"/>
    <w:rsid w:val="00FC6FE9"/>
    <w:rsid w:val="00FD3AED"/>
    <w:rsid w:val="00FE2847"/>
    <w:rsid w:val="00FF6664"/>
    <w:rsid w:val="04F217BD"/>
    <w:rsid w:val="10237A50"/>
    <w:rsid w:val="10945158"/>
    <w:rsid w:val="1C1B5646"/>
    <w:rsid w:val="1D19261E"/>
    <w:rsid w:val="23733E0A"/>
    <w:rsid w:val="28065483"/>
    <w:rsid w:val="32917FB8"/>
    <w:rsid w:val="335334BF"/>
    <w:rsid w:val="3AD60AE7"/>
    <w:rsid w:val="3F9966FE"/>
    <w:rsid w:val="4DC94652"/>
    <w:rsid w:val="4F934F18"/>
    <w:rsid w:val="55EA540F"/>
    <w:rsid w:val="59DB7355"/>
    <w:rsid w:val="6A9839C0"/>
    <w:rsid w:val="70C16E68"/>
    <w:rsid w:val="7A7E219D"/>
    <w:rsid w:val="7ABE6A3D"/>
    <w:rsid w:val="7C1C1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2796</Words>
  <Characters>2956</Characters>
  <Lines>17</Lines>
  <Paragraphs>4</Paragraphs>
  <TotalTime>10</TotalTime>
  <ScaleCrop>false</ScaleCrop>
  <LinksUpToDate>false</LinksUpToDate>
  <CharactersWithSpaces>3025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2024-09-13T04:47:00Z</dcterms:created>
  <dc:creator>Windows 用户</dc:creator>
  <cp:lastModifiedBy>JH</cp:lastModifiedBy>
  <dcterms:modified xsi:type="dcterms:W3CDTF">2025-09-23T03:52:11Z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eyJoZGlkIjoiMDViOTcyMmU5YmVkNjFhODM0YzYwZDE5OTMwMGZkZTYiLCJ1c2VySWQiOiI3OTY0OTc1MTEifQ==</vt:lpwstr>
  </property>
  <property fmtid="{D5CDD505-2E9C-101B-9397-08002B2CF9AE}" pid="3" name="KSOProductBuildVer">
    <vt:lpwstr>2052-12.1.0.22529</vt:lpwstr>
  </property>
  <property fmtid="{D5CDD505-2E9C-101B-9397-08002B2CF9AE}" pid="4" name="ICV">
    <vt:lpwstr>941FF025E9ED427FA4CD8BE65126C4CD_12</vt:lpwstr>
  </property>
</Properties>
</file>