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
    <w:p w:rsidR="0051181D" w:rsidRPr="007D3383" w:rsidRDefault="007D3383" w:rsidP="0051181D">
      <w:pPr>
        <w:rPr>
          <w:rFonts w:ascii="Times New Roman" w:eastAsia="宋体" w:hAnsi="Times New Roman" w:cs="Times New Roman"/>
          <w:sz w:val="24"/>
          <w:szCs w:val="24"/>
          <w:lang w:val="en-US"/>
        </w:rPr>
      </w:pPr>
      <w:r w:rsidRPr="007D3383">
        <w:rPr>
          <w:rFonts w:ascii="Times New Roman" w:eastAsia="宋体" w:hAnsi="Times New Roman" w:cs="Times New Roman"/>
          <w:sz w:val="24"/>
          <w:szCs w:val="24"/>
          <w:lang w:val="en-US"/>
        </w:rPr>
        <w:t>转债代码：</w:t>
      </w:r>
      <w:r w:rsidRPr="007D3383">
        <w:rPr>
          <w:rFonts w:ascii="Times New Roman" w:eastAsia="宋体" w:hAnsi="Times New Roman" w:cs="Times New Roman" w:hint="eastAsia"/>
          <w:sz w:val="24"/>
          <w:szCs w:val="24"/>
          <w:lang w:val="en-US"/>
        </w:rPr>
        <w:t>118055</w:t>
      </w:r>
      <w:r>
        <w:rPr>
          <w:rFonts w:ascii="Times New Roman" w:eastAsia="宋体" w:hAnsi="Times New Roman" w:cs="Times New Roman" w:hint="eastAsia"/>
          <w:sz w:val="24"/>
          <w:szCs w:val="24"/>
          <w:lang w:val="en-US"/>
        </w:rPr>
        <w:t xml:space="preserve">                               </w:t>
      </w:r>
      <w:r w:rsidRPr="007D3383">
        <w:rPr>
          <w:rFonts w:ascii="Times New Roman" w:eastAsia="宋体" w:hAnsi="Times New Roman" w:cs="Times New Roman" w:hint="eastAsia"/>
          <w:sz w:val="24"/>
          <w:szCs w:val="24"/>
          <w:lang w:val="en-US"/>
        </w:rPr>
        <w:t xml:space="preserve">     </w:t>
      </w:r>
      <w:r w:rsidRPr="007D3383">
        <w:rPr>
          <w:rFonts w:ascii="Times New Roman" w:eastAsia="宋体" w:hAnsi="Times New Roman" w:cs="Times New Roman" w:hint="eastAsia"/>
          <w:sz w:val="24"/>
          <w:szCs w:val="24"/>
          <w:lang w:val="en-US"/>
        </w:rPr>
        <w:t>转债简称：</w:t>
      </w:r>
      <w:proofErr w:type="gramStart"/>
      <w:r w:rsidRPr="007D3383">
        <w:rPr>
          <w:rFonts w:ascii="Times New Roman" w:eastAsia="宋体" w:hAnsi="Times New Roman" w:cs="Times New Roman" w:hint="eastAsia"/>
          <w:sz w:val="24"/>
          <w:szCs w:val="24"/>
          <w:lang w:val="en-US"/>
        </w:rPr>
        <w:t>伟测转</w:t>
      </w:r>
      <w:proofErr w:type="gramEnd"/>
      <w:r w:rsidRPr="007D3383">
        <w:rPr>
          <w:rFonts w:ascii="Times New Roman" w:eastAsia="宋体" w:hAnsi="Times New Roman" w:cs="Times New Roman" w:hint="eastAsia"/>
          <w:sz w:val="24"/>
          <w:szCs w:val="24"/>
          <w:lang w:val="en-US"/>
        </w:rPr>
        <w:t>债</w:t>
      </w:r>
    </w:p>
    <w:p w:rsidR="00D67CC9" w:rsidRPr="006F672A" w:rsidRDefault="00D67CC9" w:rsidP="0051181D">
      <w:pPr>
        <w:rPr>
          <w:rFonts w:ascii="Times New Roman" w:eastAsia="宋体" w:hAnsi="Times New Roman"/>
          <w:lang w:val="en-US"/>
        </w:rPr>
      </w:pPr>
    </w:p>
    <w:p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p>
    <w:p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rsidR="00611393" w:rsidRPr="00A955CE"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7D3383">
        <w:rPr>
          <w:rFonts w:ascii="Times New Roman" w:eastAsia="宋体" w:hAnsi="Times New Roman" w:cs="宋体" w:hint="eastAsia"/>
          <w:sz w:val="24"/>
          <w:szCs w:val="24"/>
          <w:lang w:val="en-US"/>
        </w:rPr>
        <w:t>5</w:t>
      </w:r>
      <w:r w:rsidRPr="00A955CE">
        <w:rPr>
          <w:rFonts w:ascii="Times New Roman" w:eastAsia="宋体" w:hAnsi="Times New Roman" w:cs="宋体" w:hint="eastAsia"/>
          <w:sz w:val="24"/>
          <w:szCs w:val="24"/>
        </w:rPr>
        <w:t>-</w:t>
      </w:r>
      <w:r w:rsidR="00675B49" w:rsidRPr="00A955CE">
        <w:rPr>
          <w:rFonts w:ascii="Times New Roman" w:eastAsia="宋体" w:hAnsi="Times New Roman" w:cs="宋体" w:hint="eastAsia"/>
          <w:sz w:val="24"/>
          <w:szCs w:val="24"/>
        </w:rPr>
        <w:t>00</w:t>
      </w:r>
      <w:r w:rsidR="001367CC">
        <w:rPr>
          <w:rFonts w:ascii="Times New Roman" w:eastAsia="宋体" w:hAnsi="Times New Roman" w:cs="宋体" w:hint="eastAsia"/>
          <w:sz w:val="24"/>
          <w:szCs w:val="24"/>
          <w:lang w:val="en-US"/>
        </w:rPr>
        <w:t>4</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rsidTr="0013206B">
        <w:trPr>
          <w:trHeight w:val="280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rsidR="00611393" w:rsidRPr="00E24110" w:rsidRDefault="00611393">
            <w:pPr>
              <w:pStyle w:val="TableParagraph"/>
              <w:spacing w:before="7"/>
              <w:rPr>
                <w:rFonts w:ascii="宋体" w:eastAsia="宋体" w:hAnsi="宋体" w:cs="宋体"/>
                <w:sz w:val="24"/>
                <w:szCs w:val="24"/>
              </w:rPr>
            </w:pPr>
          </w:p>
          <w:p w:rsidR="00611393" w:rsidRPr="00E24110" w:rsidRDefault="003C61EA">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rsidR="00611393" w:rsidRPr="00E24110" w:rsidRDefault="00611393">
            <w:pPr>
              <w:pStyle w:val="TableParagraph"/>
              <w:spacing w:before="11"/>
              <w:rPr>
                <w:rFonts w:ascii="宋体" w:eastAsia="宋体" w:hAnsi="宋体" w:cs="宋体"/>
                <w:sz w:val="24"/>
                <w:szCs w:val="24"/>
              </w:rPr>
            </w:pPr>
          </w:p>
          <w:p w:rsidR="00611393" w:rsidRPr="00E24110" w:rsidRDefault="003C61EA">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1"/>
                  <w14:checkedState w14:val="0052" w14:font="Wingdings 2"/>
                  <w14:uncheckedState w14:val="2610" w14:font="MS Gothic"/>
                </w14:checkbox>
              </w:sdtPr>
              <w:sdtEndPr/>
              <w:sdtContent>
                <w:r w:rsidR="007026D5">
                  <w:rPr>
                    <w:rFonts w:ascii="宋体" w:eastAsia="宋体" w:hAnsi="宋体" w:cs="宋体" w:hint="eastAsia"/>
                    <w:sz w:val="24"/>
                    <w:szCs w:val="24"/>
                  </w:rPr>
                  <w:sym w:font="Wingdings 2" w:char="F052"/>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rsidR="00611393" w:rsidRPr="00E24110" w:rsidRDefault="00611393">
            <w:pPr>
              <w:pStyle w:val="TableParagraph"/>
              <w:spacing w:before="8"/>
              <w:rPr>
                <w:rFonts w:ascii="宋体" w:eastAsia="宋体" w:hAnsi="宋体" w:cs="宋体"/>
                <w:sz w:val="24"/>
                <w:szCs w:val="24"/>
              </w:rPr>
            </w:pPr>
          </w:p>
          <w:p w:rsidR="00611393" w:rsidRPr="00E24110" w:rsidRDefault="003C61EA">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rsidR="00611393" w:rsidRPr="00E24110" w:rsidRDefault="00611393">
            <w:pPr>
              <w:pStyle w:val="TableParagraph"/>
              <w:spacing w:before="8"/>
              <w:rPr>
                <w:rFonts w:ascii="宋体" w:eastAsia="宋体" w:hAnsi="宋体" w:cs="宋体"/>
                <w:sz w:val="24"/>
                <w:szCs w:val="24"/>
              </w:rPr>
            </w:pPr>
          </w:p>
          <w:p w:rsidR="00611393" w:rsidRPr="00E24110" w:rsidRDefault="003C61EA">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EndPr/>
              <w:sdtContent>
                <w:r w:rsidR="002F63BE" w:rsidRPr="00E24110">
                  <w:rPr>
                    <w:rFonts w:ascii="MS Gothic" w:eastAsia="MS Gothic" w:hAnsi="MS Gothic" w:cs="MS Gothic" w:hint="eastAsia"/>
                    <w:sz w:val="24"/>
                    <w:szCs w:val="24"/>
                  </w:rPr>
                  <w:t>☐</w:t>
                </w:r>
              </w:sdtContent>
            </w:sdt>
            <w:r w:rsidR="00812425" w:rsidRPr="00E24110">
              <w:rPr>
                <w:rFonts w:ascii="宋体" w:eastAsia="宋体" w:hAnsi="宋体" w:cs="宋体" w:hint="eastAsia"/>
                <w:sz w:val="24"/>
                <w:szCs w:val="24"/>
              </w:rPr>
              <w:t>现场访谈</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7026D5">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rsidR="00611393" w:rsidRPr="00E24110" w:rsidRDefault="00611393">
            <w:pPr>
              <w:pStyle w:val="TableParagraph"/>
              <w:spacing w:before="11"/>
              <w:rPr>
                <w:rFonts w:ascii="宋体" w:eastAsia="宋体" w:hAnsi="宋体" w:cs="宋体"/>
                <w:sz w:val="24"/>
                <w:szCs w:val="24"/>
              </w:rPr>
            </w:pPr>
          </w:p>
          <w:p w:rsidR="00611393" w:rsidRPr="00A955CE" w:rsidRDefault="003C61EA"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rsidTr="0013206B">
        <w:trPr>
          <w:trHeight w:val="485"/>
          <w:jc w:val="center"/>
        </w:trPr>
        <w:tc>
          <w:tcPr>
            <w:tcW w:w="1603" w:type="dxa"/>
            <w:vAlign w:val="center"/>
          </w:tcPr>
          <w:p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rsidR="00611393" w:rsidRPr="00A955CE" w:rsidRDefault="003D434E" w:rsidP="001367CC">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线上</w:t>
            </w:r>
            <w:r w:rsidR="0060321B" w:rsidRPr="0060321B">
              <w:rPr>
                <w:rFonts w:ascii="Times New Roman" w:eastAsia="宋体" w:hAnsi="Times New Roman" w:cs="宋体" w:hint="eastAsia"/>
                <w:sz w:val="24"/>
                <w:szCs w:val="24"/>
              </w:rPr>
              <w:t>参与</w:t>
            </w:r>
            <w:r w:rsidR="009E06E2" w:rsidRPr="009E06E2">
              <w:rPr>
                <w:rFonts w:ascii="Times New Roman" w:eastAsia="宋体" w:hAnsi="Times New Roman" w:cs="宋体"/>
                <w:sz w:val="24"/>
                <w:szCs w:val="24"/>
              </w:rPr>
              <w:t>2025</w:t>
            </w:r>
            <w:r w:rsidR="009E06E2" w:rsidRPr="009E06E2">
              <w:rPr>
                <w:rFonts w:ascii="Times New Roman" w:eastAsia="宋体" w:hAnsi="Times New Roman" w:cs="宋体"/>
                <w:sz w:val="24"/>
                <w:szCs w:val="24"/>
              </w:rPr>
              <w:t>年</w:t>
            </w:r>
            <w:r w:rsidR="001367CC">
              <w:rPr>
                <w:rFonts w:ascii="Times New Roman" w:eastAsia="宋体" w:hAnsi="Times New Roman" w:cs="宋体"/>
                <w:sz w:val="24"/>
                <w:szCs w:val="24"/>
              </w:rPr>
              <w:t>半年</w:t>
            </w:r>
            <w:r w:rsidR="009E06E2" w:rsidRPr="009E06E2">
              <w:rPr>
                <w:rFonts w:ascii="Times New Roman" w:eastAsia="宋体" w:hAnsi="Times New Roman" w:cs="宋体"/>
                <w:sz w:val="24"/>
                <w:szCs w:val="24"/>
              </w:rPr>
              <w:t>度业绩说明会</w:t>
            </w:r>
            <w:r w:rsidR="0060321B" w:rsidRPr="0060321B">
              <w:rPr>
                <w:rFonts w:ascii="Times New Roman" w:eastAsia="宋体" w:hAnsi="Times New Roman" w:cs="宋体"/>
                <w:sz w:val="24"/>
                <w:szCs w:val="24"/>
              </w:rPr>
              <w:t>的投资者</w:t>
            </w:r>
          </w:p>
        </w:tc>
      </w:tr>
      <w:tr w:rsidR="00611393" w:rsidRPr="00A955CE" w:rsidTr="0013206B">
        <w:trPr>
          <w:trHeight w:val="558"/>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rsidR="00611393" w:rsidRPr="00A955CE" w:rsidRDefault="006159E3" w:rsidP="001367CC">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sidR="007D3383">
              <w:rPr>
                <w:rFonts w:ascii="Times New Roman" w:eastAsia="宋体" w:hAnsi="Times New Roman" w:cs="宋体" w:hint="eastAsia"/>
                <w:sz w:val="24"/>
                <w:szCs w:val="24"/>
              </w:rPr>
              <w:t>5</w:t>
            </w:r>
            <w:r w:rsidR="00CF18F2" w:rsidRPr="00A955CE">
              <w:rPr>
                <w:rFonts w:ascii="Times New Roman" w:eastAsia="宋体" w:hAnsi="Times New Roman" w:cs="宋体" w:hint="eastAsia"/>
                <w:sz w:val="24"/>
                <w:szCs w:val="24"/>
              </w:rPr>
              <w:t>年</w:t>
            </w:r>
            <w:r w:rsidR="001367CC">
              <w:rPr>
                <w:rFonts w:ascii="Times New Roman" w:eastAsia="宋体" w:hAnsi="Times New Roman" w:cs="宋体" w:hint="eastAsia"/>
                <w:sz w:val="24"/>
                <w:szCs w:val="24"/>
              </w:rPr>
              <w:t>9</w:t>
            </w:r>
            <w:r w:rsidR="00CF18F2" w:rsidRPr="00A955CE">
              <w:rPr>
                <w:rFonts w:ascii="Times New Roman" w:eastAsia="宋体" w:hAnsi="Times New Roman" w:cs="宋体" w:hint="eastAsia"/>
                <w:sz w:val="24"/>
                <w:szCs w:val="24"/>
              </w:rPr>
              <w:t>月</w:t>
            </w:r>
            <w:r w:rsidR="007026D5">
              <w:rPr>
                <w:rFonts w:ascii="Times New Roman" w:eastAsia="宋体" w:hAnsi="Times New Roman" w:cs="宋体" w:hint="eastAsia"/>
                <w:sz w:val="24"/>
                <w:szCs w:val="24"/>
              </w:rPr>
              <w:t>2</w:t>
            </w:r>
            <w:r w:rsidR="001367CC">
              <w:rPr>
                <w:rFonts w:ascii="Times New Roman" w:eastAsia="宋体" w:hAnsi="Times New Roman" w:cs="宋体" w:hint="eastAsia"/>
                <w:sz w:val="24"/>
                <w:szCs w:val="24"/>
              </w:rPr>
              <w:t>5</w:t>
            </w:r>
            <w:r w:rsidR="00CF18F2" w:rsidRPr="00A955CE">
              <w:rPr>
                <w:rFonts w:ascii="Times New Roman" w:eastAsia="宋体" w:hAnsi="Times New Roman" w:cs="宋体" w:hint="eastAsia"/>
                <w:sz w:val="24"/>
                <w:szCs w:val="24"/>
              </w:rPr>
              <w:t>日</w:t>
            </w:r>
            <w:r w:rsidR="00225C76">
              <w:rPr>
                <w:rFonts w:ascii="Times New Roman" w:eastAsia="宋体" w:hAnsi="Times New Roman" w:cs="宋体" w:hint="eastAsia"/>
                <w:sz w:val="24"/>
                <w:szCs w:val="24"/>
              </w:rPr>
              <w:t xml:space="preserve">  </w:t>
            </w:r>
            <w:r w:rsidR="00225C76">
              <w:rPr>
                <w:rFonts w:ascii="Times New Roman" w:eastAsia="宋体" w:hAnsi="Times New Roman" w:cs="宋体"/>
                <w:sz w:val="24"/>
                <w:szCs w:val="24"/>
              </w:rPr>
              <w:t>1</w:t>
            </w:r>
            <w:r w:rsidR="001367CC">
              <w:rPr>
                <w:rFonts w:ascii="Times New Roman" w:eastAsia="宋体" w:hAnsi="Times New Roman" w:cs="宋体" w:hint="eastAsia"/>
                <w:sz w:val="24"/>
                <w:szCs w:val="24"/>
              </w:rPr>
              <w:t>3</w:t>
            </w:r>
            <w:r w:rsidR="00225C76">
              <w:rPr>
                <w:rFonts w:ascii="Times New Roman" w:eastAsia="宋体" w:hAnsi="Times New Roman" w:cs="宋体"/>
                <w:sz w:val="24"/>
                <w:szCs w:val="24"/>
              </w:rPr>
              <w:t>:00-1</w:t>
            </w:r>
            <w:r w:rsidR="001367CC">
              <w:rPr>
                <w:rFonts w:ascii="Times New Roman" w:eastAsia="宋体" w:hAnsi="Times New Roman" w:cs="宋体" w:hint="eastAsia"/>
                <w:sz w:val="24"/>
                <w:szCs w:val="24"/>
              </w:rPr>
              <w:t>4</w:t>
            </w:r>
            <w:r w:rsidR="00225C76">
              <w:rPr>
                <w:rFonts w:ascii="Times New Roman" w:eastAsia="宋体" w:hAnsi="Times New Roman" w:cs="宋体"/>
                <w:sz w:val="24"/>
                <w:szCs w:val="24"/>
              </w:rPr>
              <w:t>:00</w:t>
            </w:r>
          </w:p>
        </w:tc>
      </w:tr>
      <w:tr w:rsidR="00611393" w:rsidRPr="00A955CE" w:rsidTr="0013206B">
        <w:trPr>
          <w:trHeight w:val="56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rsidR="00611393" w:rsidRPr="00A955CE" w:rsidRDefault="0060321B" w:rsidP="00A63B43">
            <w:pPr>
              <w:pStyle w:val="TableParagraph"/>
              <w:spacing w:line="360" w:lineRule="auto"/>
              <w:jc w:val="both"/>
              <w:rPr>
                <w:rFonts w:ascii="Times New Roman" w:eastAsia="宋体" w:hAnsi="Times New Roman" w:cs="宋体"/>
                <w:sz w:val="24"/>
                <w:szCs w:val="24"/>
              </w:rPr>
            </w:pPr>
            <w:r w:rsidRPr="0060321B">
              <w:rPr>
                <w:rFonts w:ascii="Times New Roman" w:eastAsia="宋体" w:hAnsi="Times New Roman" w:cs="宋体" w:hint="eastAsia"/>
                <w:sz w:val="24"/>
                <w:szCs w:val="24"/>
              </w:rPr>
              <w:t>上海证券交易所上证路演中心（</w:t>
            </w:r>
            <w:r w:rsidRPr="0060321B">
              <w:rPr>
                <w:rFonts w:ascii="Times New Roman" w:eastAsia="宋体" w:hAnsi="Times New Roman" w:cs="宋体"/>
                <w:sz w:val="24"/>
                <w:szCs w:val="24"/>
              </w:rPr>
              <w:t>https://roadshow.sseinfo.com/</w:t>
            </w:r>
            <w:r w:rsidRPr="0060321B">
              <w:rPr>
                <w:rFonts w:ascii="Times New Roman" w:eastAsia="宋体" w:hAnsi="Times New Roman" w:cs="宋体"/>
                <w:sz w:val="24"/>
                <w:szCs w:val="24"/>
              </w:rPr>
              <w:t>）</w:t>
            </w:r>
          </w:p>
        </w:tc>
      </w:tr>
      <w:tr w:rsidR="00611393" w:rsidRPr="00A955CE" w:rsidTr="001778F6">
        <w:trPr>
          <w:trHeight w:val="643"/>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rsidR="007026D5" w:rsidRDefault="007026D5"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w:t>
            </w:r>
            <w:r w:rsidR="00EC3478">
              <w:rPr>
                <w:rFonts w:ascii="Times New Roman" w:eastAsia="宋体" w:hAnsi="Times New Roman" w:cs="宋体" w:hint="eastAsia"/>
                <w:sz w:val="24"/>
                <w:szCs w:val="24"/>
              </w:rPr>
              <w:t>：</w:t>
            </w:r>
            <w:r>
              <w:rPr>
                <w:rFonts w:ascii="Times New Roman" w:eastAsia="宋体" w:hAnsi="Times New Roman" w:cs="宋体" w:hint="eastAsia"/>
                <w:sz w:val="24"/>
                <w:szCs w:val="24"/>
              </w:rPr>
              <w:t>骈文胜先生</w:t>
            </w:r>
          </w:p>
          <w:p w:rsidR="00611393" w:rsidRDefault="001778F6"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财务总监</w:t>
            </w:r>
            <w:r w:rsidR="00EC3478">
              <w:rPr>
                <w:rFonts w:ascii="Times New Roman" w:eastAsia="宋体" w:hAnsi="Times New Roman" w:cs="宋体"/>
                <w:sz w:val="24"/>
                <w:szCs w:val="24"/>
              </w:rPr>
              <w:t>：</w:t>
            </w:r>
            <w:r w:rsidR="004E286B" w:rsidRPr="00A955CE">
              <w:rPr>
                <w:rFonts w:ascii="Times New Roman" w:eastAsia="宋体" w:hAnsi="Times New Roman" w:cs="宋体"/>
                <w:sz w:val="24"/>
                <w:szCs w:val="24"/>
              </w:rPr>
              <w:t>王沛女士</w:t>
            </w:r>
          </w:p>
          <w:p w:rsidR="007026D5" w:rsidRPr="00A955CE" w:rsidRDefault="007026D5" w:rsidP="00A63B43">
            <w:pPr>
              <w:pStyle w:val="TableParagraph"/>
              <w:spacing w:line="360" w:lineRule="auto"/>
              <w:jc w:val="both"/>
              <w:rPr>
                <w:rFonts w:ascii="Times New Roman" w:eastAsia="宋体" w:hAnsi="Times New Roman" w:cs="宋体"/>
                <w:sz w:val="24"/>
                <w:szCs w:val="24"/>
              </w:rPr>
            </w:pPr>
            <w:r>
              <w:rPr>
                <w:rFonts w:ascii="Times New Roman" w:eastAsia="宋体" w:hAnsi="Times New Roman" w:cs="宋体" w:hint="eastAsia"/>
                <w:sz w:val="24"/>
                <w:szCs w:val="24"/>
              </w:rPr>
              <w:t>独立董事</w:t>
            </w:r>
            <w:r w:rsidR="00EC3478">
              <w:rPr>
                <w:rFonts w:ascii="Times New Roman" w:eastAsia="宋体" w:hAnsi="Times New Roman" w:cs="宋体" w:hint="eastAsia"/>
                <w:sz w:val="24"/>
                <w:szCs w:val="24"/>
              </w:rPr>
              <w:t>：</w:t>
            </w:r>
            <w:r w:rsidR="001367CC">
              <w:rPr>
                <w:rFonts w:ascii="Times New Roman" w:eastAsia="宋体" w:hAnsi="Times New Roman" w:cs="宋体" w:hint="eastAsia"/>
                <w:sz w:val="24"/>
                <w:szCs w:val="24"/>
              </w:rPr>
              <w:t>林秀强</w:t>
            </w:r>
            <w:r>
              <w:rPr>
                <w:rFonts w:ascii="Times New Roman" w:eastAsia="宋体" w:hAnsi="Times New Roman" w:cs="宋体" w:hint="eastAsia"/>
                <w:sz w:val="24"/>
                <w:szCs w:val="24"/>
              </w:rPr>
              <w:t>先生</w:t>
            </w:r>
          </w:p>
        </w:tc>
      </w:tr>
      <w:tr w:rsidR="00611393" w:rsidRPr="00A955CE" w:rsidTr="001406B7">
        <w:trPr>
          <w:trHeight w:val="1408"/>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投资者关系活动主要内容介绍</w:t>
            </w:r>
          </w:p>
        </w:tc>
        <w:tc>
          <w:tcPr>
            <w:tcW w:w="6999" w:type="dxa"/>
          </w:tcPr>
          <w:p w:rsidR="00BA0A2C" w:rsidRDefault="00BA0A2C" w:rsidP="00BA0A2C">
            <w:pPr>
              <w:pStyle w:val="TableParagraph"/>
              <w:spacing w:line="360" w:lineRule="auto"/>
              <w:ind w:firstLineChars="200" w:firstLine="480"/>
              <w:rPr>
                <w:rFonts w:ascii="Times New Roman" w:eastAsia="宋体" w:hAnsi="Times New Roman" w:cs="Times New Roman"/>
                <w:b/>
                <w:sz w:val="24"/>
                <w:szCs w:val="24"/>
              </w:rPr>
            </w:pPr>
            <w:r>
              <w:rPr>
                <w:rFonts w:ascii="Times New Roman" w:eastAsia="宋体" w:hAnsi="Times New Roman" w:cs="Times New Roman" w:hint="eastAsia"/>
                <w:sz w:val="24"/>
                <w:szCs w:val="24"/>
              </w:rPr>
              <w:t>为便于广大投资者更全面深入地了解公司</w:t>
            </w:r>
            <w:r>
              <w:rPr>
                <w:rFonts w:ascii="Times New Roman" w:eastAsia="宋体" w:hAnsi="Times New Roman" w:cs="Times New Roman" w:hint="eastAsia"/>
                <w:sz w:val="24"/>
                <w:szCs w:val="24"/>
              </w:rPr>
              <w:t>202</w:t>
            </w:r>
            <w:r w:rsidR="007D3383">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年</w:t>
            </w:r>
            <w:r w:rsidR="001C0D83">
              <w:rPr>
                <w:rFonts w:ascii="Times New Roman" w:eastAsia="宋体" w:hAnsi="Times New Roman" w:cs="Times New Roman" w:hint="eastAsia"/>
                <w:sz w:val="24"/>
                <w:szCs w:val="24"/>
              </w:rPr>
              <w:t>半年</w:t>
            </w:r>
            <w:r>
              <w:rPr>
                <w:rFonts w:ascii="Times New Roman" w:eastAsia="宋体" w:hAnsi="Times New Roman" w:cs="Times New Roman" w:hint="eastAsia"/>
                <w:sz w:val="24"/>
                <w:szCs w:val="24"/>
              </w:rPr>
              <w:t>度经营成果、财务状况，公司在</w:t>
            </w:r>
            <w:r>
              <w:rPr>
                <w:rFonts w:ascii="Times New Roman" w:eastAsia="宋体" w:hAnsi="Times New Roman" w:cs="宋体" w:hint="eastAsia"/>
                <w:sz w:val="24"/>
                <w:szCs w:val="24"/>
              </w:rPr>
              <w:t>上海证券交易所上</w:t>
            </w:r>
            <w:proofErr w:type="gramStart"/>
            <w:r>
              <w:rPr>
                <w:rFonts w:ascii="Times New Roman" w:eastAsia="宋体" w:hAnsi="Times New Roman" w:cs="宋体" w:hint="eastAsia"/>
                <w:sz w:val="24"/>
                <w:szCs w:val="24"/>
              </w:rPr>
              <w:t>证路演中心</w:t>
            </w:r>
            <w:proofErr w:type="gramEnd"/>
            <w:r>
              <w:rPr>
                <w:rFonts w:ascii="Times New Roman" w:eastAsia="宋体" w:hAnsi="Times New Roman" w:cs="Times New Roman" w:hint="eastAsia"/>
                <w:sz w:val="24"/>
                <w:szCs w:val="24"/>
              </w:rPr>
              <w:t>举行了</w:t>
            </w:r>
            <w:r w:rsidR="001C0D83">
              <w:rPr>
                <w:rFonts w:ascii="Times New Roman" w:eastAsia="宋体" w:hAnsi="Times New Roman" w:cs="Times New Roman" w:hint="eastAsia"/>
                <w:sz w:val="24"/>
                <w:szCs w:val="24"/>
              </w:rPr>
              <w:t>2025</w:t>
            </w:r>
            <w:r w:rsidR="001C0D83">
              <w:rPr>
                <w:rFonts w:ascii="Times New Roman" w:eastAsia="宋体" w:hAnsi="Times New Roman" w:cs="Times New Roman" w:hint="eastAsia"/>
                <w:sz w:val="24"/>
                <w:szCs w:val="24"/>
              </w:rPr>
              <w:t>年半年度</w:t>
            </w:r>
            <w:r>
              <w:rPr>
                <w:rFonts w:ascii="Times New Roman" w:eastAsia="宋体" w:hAnsi="Times New Roman" w:cs="Times New Roman" w:hint="eastAsia"/>
                <w:sz w:val="24"/>
                <w:szCs w:val="24"/>
              </w:rPr>
              <w:t>业绩说明会，现将互动交流内容汇总如下：</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t>1</w:t>
            </w:r>
            <w:r w:rsidRPr="00810505">
              <w:rPr>
                <w:rFonts w:ascii="Times New Roman" w:eastAsia="宋体" w:hAnsi="Times New Roman" w:cs="Times New Roman"/>
                <w:b/>
                <w:sz w:val="24"/>
                <w:szCs w:val="24"/>
              </w:rPr>
              <w:t>、</w:t>
            </w:r>
            <w:r w:rsidR="0094448B" w:rsidRPr="0094448B">
              <w:rPr>
                <w:rFonts w:ascii="Times New Roman" w:eastAsia="宋体" w:hAnsi="Times New Roman" w:cs="Times New Roman" w:hint="eastAsia"/>
                <w:b/>
                <w:sz w:val="24"/>
                <w:szCs w:val="24"/>
              </w:rPr>
              <w:t>报告显示研发投入增加，上半年研发投入</w:t>
            </w:r>
            <w:r w:rsidR="0094448B" w:rsidRPr="0094448B">
              <w:rPr>
                <w:rFonts w:ascii="Times New Roman" w:eastAsia="宋体" w:hAnsi="Times New Roman" w:cs="Times New Roman"/>
                <w:b/>
                <w:sz w:val="24"/>
                <w:szCs w:val="24"/>
              </w:rPr>
              <w:t>8213.37</w:t>
            </w:r>
            <w:r w:rsidR="0094448B" w:rsidRPr="0094448B">
              <w:rPr>
                <w:rFonts w:ascii="Times New Roman" w:eastAsia="宋体" w:hAnsi="Times New Roman" w:cs="Times New Roman"/>
                <w:b/>
                <w:sz w:val="24"/>
                <w:szCs w:val="24"/>
              </w:rPr>
              <w:t>万元且研发人员占比提升，这些投入预计在未来多久转化为新的业务增长点</w:t>
            </w:r>
            <w:r w:rsidR="001406B7" w:rsidRPr="001406B7">
              <w:rPr>
                <w:rFonts w:ascii="Times New Roman" w:eastAsia="宋体" w:hAnsi="Times New Roman" w:cs="Times New Roman"/>
                <w:b/>
                <w:sz w:val="24"/>
                <w:szCs w:val="24"/>
              </w:rPr>
              <w:t>？</w:t>
            </w:r>
          </w:p>
          <w:p w:rsidR="001778F6" w:rsidRPr="001778F6" w:rsidRDefault="001778F6" w:rsidP="001778F6">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您好，研发成果转化的时间并非固定的，需要结合研</w:t>
            </w:r>
            <w:r w:rsidR="0094448B">
              <w:rPr>
                <w:rFonts w:ascii="Times New Roman" w:eastAsia="宋体" w:hAnsi="Times New Roman" w:cs="Times New Roman" w:hint="eastAsia"/>
                <w:sz w:val="24"/>
                <w:szCs w:val="24"/>
              </w:rPr>
              <w:t>发的具体项目内容。有些影响可能是即时的，而有些则需要更长的周期</w:t>
            </w:r>
            <w:r w:rsidR="009E06E2" w:rsidRPr="009E06E2">
              <w:rPr>
                <w:rFonts w:ascii="Times New Roman" w:eastAsia="宋体" w:hAnsi="Times New Roman" w:cs="Times New Roman"/>
                <w:sz w:val="24"/>
                <w:szCs w:val="24"/>
              </w:rPr>
              <w:t>。</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t xml:space="preserve"> </w:t>
            </w:r>
          </w:p>
          <w:p w:rsidR="001778F6" w:rsidRPr="00810505" w:rsidRDefault="001778F6" w:rsidP="00810505">
            <w:pPr>
              <w:pStyle w:val="TableParagraph"/>
              <w:spacing w:line="360" w:lineRule="auto"/>
              <w:ind w:firstLineChars="200" w:firstLine="482"/>
              <w:rPr>
                <w:rFonts w:ascii="Times New Roman" w:eastAsia="宋体" w:hAnsi="Times New Roman" w:cs="Times New Roman"/>
                <w:b/>
                <w:sz w:val="24"/>
                <w:szCs w:val="24"/>
              </w:rPr>
            </w:pPr>
            <w:r w:rsidRPr="00810505">
              <w:rPr>
                <w:rFonts w:ascii="Times New Roman" w:eastAsia="宋体" w:hAnsi="Times New Roman" w:cs="Times New Roman"/>
                <w:b/>
                <w:sz w:val="24"/>
                <w:szCs w:val="24"/>
              </w:rPr>
              <w:t>2</w:t>
            </w:r>
            <w:r w:rsidRPr="00810505">
              <w:rPr>
                <w:rFonts w:ascii="Times New Roman" w:eastAsia="宋体" w:hAnsi="Times New Roman" w:cs="Times New Roman"/>
                <w:b/>
                <w:sz w:val="24"/>
                <w:szCs w:val="24"/>
              </w:rPr>
              <w:t>、</w:t>
            </w:r>
            <w:r w:rsidR="0094448B" w:rsidRPr="0094448B">
              <w:rPr>
                <w:rFonts w:ascii="Times New Roman" w:eastAsia="宋体" w:hAnsi="Times New Roman" w:cs="Times New Roman" w:hint="eastAsia"/>
                <w:b/>
                <w:sz w:val="24"/>
                <w:szCs w:val="24"/>
              </w:rPr>
              <w:t>上半年公司整体产能利用率达</w:t>
            </w:r>
            <w:r w:rsidR="0094448B" w:rsidRPr="0094448B">
              <w:rPr>
                <w:rFonts w:ascii="Times New Roman" w:eastAsia="宋体" w:hAnsi="Times New Roman" w:cs="Times New Roman"/>
                <w:b/>
                <w:sz w:val="24"/>
                <w:szCs w:val="24"/>
              </w:rPr>
              <w:t>90%</w:t>
            </w:r>
            <w:r w:rsidR="0094448B" w:rsidRPr="0094448B">
              <w:rPr>
                <w:rFonts w:ascii="Times New Roman" w:eastAsia="宋体" w:hAnsi="Times New Roman" w:cs="Times New Roman"/>
                <w:b/>
                <w:sz w:val="24"/>
                <w:szCs w:val="24"/>
              </w:rPr>
              <w:t>以上，后续</w:t>
            </w:r>
            <w:r w:rsidR="0094448B">
              <w:rPr>
                <w:rFonts w:ascii="Times New Roman" w:eastAsia="宋体" w:hAnsi="Times New Roman" w:cs="Times New Roman"/>
                <w:b/>
                <w:sz w:val="24"/>
                <w:szCs w:val="24"/>
              </w:rPr>
              <w:t>南京、无锡新厂处于爬坡期，为维持</w:t>
            </w:r>
            <w:proofErr w:type="gramStart"/>
            <w:r w:rsidR="0094448B">
              <w:rPr>
                <w:rFonts w:ascii="Times New Roman" w:eastAsia="宋体" w:hAnsi="Times New Roman" w:cs="Times New Roman"/>
                <w:b/>
                <w:sz w:val="24"/>
                <w:szCs w:val="24"/>
              </w:rPr>
              <w:t>高产能</w:t>
            </w:r>
            <w:proofErr w:type="gramEnd"/>
            <w:r w:rsidR="0094448B">
              <w:rPr>
                <w:rFonts w:ascii="Times New Roman" w:eastAsia="宋体" w:hAnsi="Times New Roman" w:cs="Times New Roman"/>
                <w:b/>
                <w:sz w:val="24"/>
                <w:szCs w:val="24"/>
              </w:rPr>
              <w:t>利用率，公司有何具体策略</w:t>
            </w:r>
            <w:r w:rsidR="009E06E2" w:rsidRPr="009E06E2">
              <w:rPr>
                <w:rFonts w:ascii="Times New Roman" w:eastAsia="宋体" w:hAnsi="Times New Roman" w:cs="Times New Roman" w:hint="eastAsia"/>
                <w:b/>
                <w:sz w:val="24"/>
                <w:szCs w:val="24"/>
              </w:rPr>
              <w:t>？</w:t>
            </w:r>
          </w:p>
          <w:p w:rsidR="00BC0C7F" w:rsidRDefault="001778F6" w:rsidP="001406B7">
            <w:pPr>
              <w:pStyle w:val="TableParagraph"/>
              <w:spacing w:line="360" w:lineRule="auto"/>
              <w:ind w:firstLineChars="200" w:firstLine="480"/>
              <w:rPr>
                <w:rFonts w:ascii="Times New Roman" w:eastAsia="宋体" w:hAnsi="Times New Roman" w:cs="Times New Roman"/>
                <w:sz w:val="24"/>
                <w:szCs w:val="24"/>
                <w:lang w:val="en-US"/>
              </w:rPr>
            </w:pPr>
            <w:r>
              <w:rPr>
                <w:rFonts w:ascii="Times New Roman" w:eastAsia="宋体" w:hAnsi="Times New Roman" w:cs="Times New Roman" w:hint="eastAsia"/>
                <w:sz w:val="24"/>
                <w:szCs w:val="24"/>
              </w:rPr>
              <w:lastRenderedPageBreak/>
              <w:t>答：</w:t>
            </w:r>
            <w:r w:rsidR="0094448B" w:rsidRPr="0094448B">
              <w:rPr>
                <w:rFonts w:ascii="Times New Roman" w:eastAsia="宋体" w:hAnsi="Times New Roman" w:cs="Times New Roman" w:hint="eastAsia"/>
                <w:sz w:val="24"/>
                <w:szCs w:val="24"/>
              </w:rPr>
              <w:t>您好，公司目前整体产能利用率达</w:t>
            </w:r>
            <w:r w:rsidR="0094448B" w:rsidRPr="0094448B">
              <w:rPr>
                <w:rFonts w:ascii="Times New Roman" w:eastAsia="宋体" w:hAnsi="Times New Roman" w:cs="Times New Roman"/>
                <w:sz w:val="24"/>
                <w:szCs w:val="24"/>
              </w:rPr>
              <w:t>95%</w:t>
            </w:r>
            <w:r w:rsidR="0094448B" w:rsidRPr="0094448B">
              <w:rPr>
                <w:rFonts w:ascii="Times New Roman" w:eastAsia="宋体" w:hAnsi="Times New Roman" w:cs="Times New Roman"/>
                <w:sz w:val="24"/>
                <w:szCs w:val="24"/>
              </w:rPr>
              <w:t>以上。公司一方面对内合理优化各地产能、消化新</w:t>
            </w:r>
            <w:r w:rsidR="0094448B">
              <w:rPr>
                <w:rFonts w:ascii="Times New Roman" w:eastAsia="宋体" w:hAnsi="Times New Roman" w:cs="Times New Roman"/>
                <w:sz w:val="24"/>
                <w:szCs w:val="24"/>
              </w:rPr>
              <w:t>增产能；另一方面在维护存量客户关系同时对外持续积极开拓市场力度。</w:t>
            </w:r>
          </w:p>
          <w:p w:rsidR="009E06E2" w:rsidRPr="009E06E2" w:rsidRDefault="009E06E2" w:rsidP="001406B7">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3</w:t>
            </w:r>
            <w:r w:rsidRPr="009E06E2">
              <w:rPr>
                <w:rFonts w:ascii="Times New Roman" w:eastAsia="宋体" w:hAnsi="Times New Roman" w:cs="Times New Roman"/>
                <w:b/>
                <w:sz w:val="24"/>
                <w:szCs w:val="24"/>
              </w:rPr>
              <w:t>、</w:t>
            </w:r>
            <w:r w:rsidR="0094448B">
              <w:rPr>
                <w:rFonts w:ascii="Times New Roman" w:eastAsia="宋体" w:hAnsi="Times New Roman" w:cs="Times New Roman"/>
                <w:b/>
                <w:sz w:val="24"/>
                <w:szCs w:val="24"/>
              </w:rPr>
              <w:sym w:font="Wingdings 2" w:char="F06A"/>
            </w:r>
            <w:r w:rsidR="0094448B" w:rsidRPr="0094448B">
              <w:rPr>
                <w:rFonts w:ascii="Times New Roman" w:eastAsia="宋体" w:hAnsi="Times New Roman" w:cs="Times New Roman"/>
                <w:b/>
                <w:sz w:val="24"/>
                <w:szCs w:val="24"/>
              </w:rPr>
              <w:t>公司设备目前按</w:t>
            </w:r>
            <w:r w:rsidR="0094448B" w:rsidRPr="0094448B">
              <w:rPr>
                <w:rFonts w:ascii="Times New Roman" w:eastAsia="宋体" w:hAnsi="Times New Roman" w:cs="Times New Roman"/>
                <w:b/>
                <w:sz w:val="24"/>
                <w:szCs w:val="24"/>
              </w:rPr>
              <w:t>10</w:t>
            </w:r>
            <w:r w:rsidR="0094448B" w:rsidRPr="0094448B">
              <w:rPr>
                <w:rFonts w:ascii="Times New Roman" w:eastAsia="宋体" w:hAnsi="Times New Roman" w:cs="Times New Roman"/>
                <w:b/>
                <w:sz w:val="24"/>
                <w:szCs w:val="24"/>
              </w:rPr>
              <w:t>年折旧，这些设备实际使用年限能有多久？一般使用多久就会更新换代被全行业淘汰掉？</w:t>
            </w:r>
            <w:r w:rsidR="0094448B">
              <w:rPr>
                <w:rFonts w:ascii="Times New Roman" w:eastAsia="宋体" w:hAnsi="Times New Roman" w:cs="Times New Roman"/>
                <w:b/>
                <w:sz w:val="24"/>
                <w:szCs w:val="24"/>
              </w:rPr>
              <w:sym w:font="Wingdings 2" w:char="F06B"/>
            </w:r>
            <w:r w:rsidR="0094448B" w:rsidRPr="0094448B">
              <w:rPr>
                <w:rFonts w:ascii="Times New Roman" w:eastAsia="宋体" w:hAnsi="Times New Roman" w:cs="Times New Roman"/>
                <w:b/>
                <w:sz w:val="24"/>
                <w:szCs w:val="24"/>
              </w:rPr>
              <w:t>公司在市值管理方面有什么计划？</w:t>
            </w:r>
            <w:r w:rsidR="0094448B">
              <w:rPr>
                <w:rFonts w:ascii="Times New Roman" w:eastAsia="宋体" w:hAnsi="Times New Roman" w:cs="Times New Roman"/>
                <w:b/>
                <w:sz w:val="24"/>
                <w:szCs w:val="24"/>
              </w:rPr>
              <w:sym w:font="Wingdings 2" w:char="F06C"/>
            </w:r>
            <w:r w:rsidR="0094448B">
              <w:rPr>
                <w:rFonts w:ascii="Times New Roman" w:eastAsia="宋体" w:hAnsi="Times New Roman" w:cs="Times New Roman"/>
                <w:b/>
                <w:sz w:val="24"/>
                <w:szCs w:val="24"/>
              </w:rPr>
              <w:t>检测业务是否有地域半径的问题，公司有无出海计划</w:t>
            </w:r>
            <w:r w:rsidRPr="009E06E2">
              <w:rPr>
                <w:rFonts w:ascii="Times New Roman" w:eastAsia="宋体" w:hAnsi="Times New Roman" w:cs="Times New Roman" w:hint="eastAsia"/>
                <w:b/>
                <w:sz w:val="24"/>
                <w:szCs w:val="24"/>
                <w:lang w:val="en-US"/>
              </w:rPr>
              <w:t>？</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您好，公司专用设备的折旧年限以</w:t>
            </w:r>
            <w:r w:rsidR="0094448B" w:rsidRPr="0094448B">
              <w:rPr>
                <w:rFonts w:ascii="Times New Roman" w:eastAsia="宋体" w:hAnsi="Times New Roman" w:cs="Times New Roman"/>
                <w:sz w:val="24"/>
                <w:szCs w:val="24"/>
              </w:rPr>
              <w:t>10</w:t>
            </w:r>
            <w:r w:rsidR="0094448B" w:rsidRPr="0094448B">
              <w:rPr>
                <w:rFonts w:ascii="Times New Roman" w:eastAsia="宋体" w:hAnsi="Times New Roman" w:cs="Times New Roman"/>
                <w:sz w:val="24"/>
                <w:szCs w:val="24"/>
              </w:rPr>
              <w:t>年为主，实际使用年限需要结合行业发展情况、技术迭代速度、公司发展战略等情况决定。半导体测试行业一般更倾向贴近产业集群，可以节约协调和物流成本且快速响应客户需求；公司拥有开拓海外市场的潜力和能力。</w:t>
            </w:r>
          </w:p>
          <w:p w:rsidR="009E06E2" w:rsidRP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4</w:t>
            </w:r>
            <w:r w:rsidRPr="009E06E2">
              <w:rPr>
                <w:rFonts w:ascii="Times New Roman" w:eastAsia="宋体" w:hAnsi="Times New Roman" w:cs="Times New Roman"/>
                <w:b/>
                <w:sz w:val="24"/>
                <w:szCs w:val="24"/>
              </w:rPr>
              <w:t>、</w:t>
            </w:r>
            <w:r w:rsidR="0094448B" w:rsidRPr="0094448B">
              <w:rPr>
                <w:rFonts w:ascii="Times New Roman" w:eastAsia="宋体" w:hAnsi="Times New Roman" w:cs="Times New Roman" w:hint="eastAsia"/>
                <w:b/>
                <w:sz w:val="24"/>
                <w:szCs w:val="24"/>
              </w:rPr>
              <w:t>请问目前三季度的测试价格</w:t>
            </w:r>
            <w:r w:rsidR="0094448B">
              <w:rPr>
                <w:rFonts w:ascii="Times New Roman" w:eastAsia="宋体" w:hAnsi="Times New Roman" w:cs="Times New Roman" w:hint="eastAsia"/>
                <w:b/>
                <w:sz w:val="24"/>
                <w:szCs w:val="24"/>
              </w:rPr>
              <w:t>相比于二季度是否有所提升？公司预测未来行业的价格趋势是什么样的</w:t>
            </w:r>
            <w:r w:rsidRPr="009E06E2">
              <w:rPr>
                <w:rFonts w:ascii="Times New Roman" w:eastAsia="宋体" w:hAnsi="Times New Roman" w:cs="Times New Roman" w:hint="eastAsia"/>
                <w:b/>
                <w:sz w:val="24"/>
                <w:szCs w:val="24"/>
                <w:lang w:val="en-US"/>
              </w:rPr>
              <w:t>？</w:t>
            </w:r>
          </w:p>
          <w:p w:rsidR="0094448B" w:rsidRPr="0094448B" w:rsidRDefault="009E06E2" w:rsidP="0094448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您好，公司测试价格目前较为稳定。</w:t>
            </w:r>
          </w:p>
          <w:p w:rsidR="009E06E2" w:rsidRPr="009E06E2" w:rsidRDefault="009E06E2" w:rsidP="009E06E2">
            <w:pPr>
              <w:pStyle w:val="TableParagraph"/>
              <w:spacing w:line="360" w:lineRule="auto"/>
              <w:ind w:firstLineChars="200" w:firstLine="480"/>
              <w:rPr>
                <w:rFonts w:ascii="Times New Roman" w:eastAsia="宋体" w:hAnsi="Times New Roman" w:cs="Times New Roman"/>
                <w:sz w:val="24"/>
                <w:szCs w:val="24"/>
                <w:lang w:val="en-US"/>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5</w:t>
            </w:r>
            <w:r w:rsidRPr="009E06E2">
              <w:rPr>
                <w:rFonts w:ascii="Times New Roman" w:eastAsia="宋体" w:hAnsi="Times New Roman" w:cs="Times New Roman"/>
                <w:b/>
                <w:sz w:val="24"/>
                <w:szCs w:val="24"/>
              </w:rPr>
              <w:t>、</w:t>
            </w:r>
            <w:r w:rsidR="0094448B" w:rsidRPr="0094448B">
              <w:rPr>
                <w:rFonts w:ascii="Times New Roman" w:eastAsia="宋体" w:hAnsi="Times New Roman" w:cs="Times New Roman" w:hint="eastAsia"/>
                <w:b/>
                <w:sz w:val="24"/>
                <w:szCs w:val="24"/>
                <w:lang w:val="en-US"/>
              </w:rPr>
              <w:t>美国要求中国使用台积</w:t>
            </w:r>
            <w:proofErr w:type="gramStart"/>
            <w:r w:rsidR="0094448B" w:rsidRPr="0094448B">
              <w:rPr>
                <w:rFonts w:ascii="Times New Roman" w:eastAsia="宋体" w:hAnsi="Times New Roman" w:cs="Times New Roman" w:hint="eastAsia"/>
                <w:b/>
                <w:sz w:val="24"/>
                <w:szCs w:val="24"/>
                <w:lang w:val="en-US"/>
              </w:rPr>
              <w:t>电先进</w:t>
            </w:r>
            <w:proofErr w:type="gramEnd"/>
            <w:r w:rsidR="0094448B" w:rsidRPr="0094448B">
              <w:rPr>
                <w:rFonts w:ascii="Times New Roman" w:eastAsia="宋体" w:hAnsi="Times New Roman" w:cs="Times New Roman" w:hint="eastAsia"/>
                <w:b/>
                <w:sz w:val="24"/>
                <w:szCs w:val="24"/>
                <w:lang w:val="en-US"/>
              </w:rPr>
              <w:t>工艺的芯片设计公司采用</w:t>
            </w:r>
            <w:proofErr w:type="gramStart"/>
            <w:r w:rsidR="0094448B" w:rsidRPr="0094448B">
              <w:rPr>
                <w:rFonts w:ascii="Times New Roman" w:eastAsia="宋体" w:hAnsi="Times New Roman" w:cs="Times New Roman" w:hint="eastAsia"/>
                <w:b/>
                <w:sz w:val="24"/>
                <w:szCs w:val="24"/>
                <w:lang w:val="en-US"/>
              </w:rPr>
              <w:t>海外封测产业链</w:t>
            </w:r>
            <w:proofErr w:type="gramEnd"/>
            <w:r w:rsidR="0094448B" w:rsidRPr="0094448B">
              <w:rPr>
                <w:rFonts w:ascii="Times New Roman" w:eastAsia="宋体" w:hAnsi="Times New Roman" w:cs="Times New Roman" w:hint="eastAsia"/>
                <w:b/>
                <w:sz w:val="24"/>
                <w:szCs w:val="24"/>
                <w:lang w:val="en-US"/>
              </w:rPr>
              <w:t>，这对贵公司拓展业务的影响有多大？类似寒武纪，摩尔线程，</w:t>
            </w:r>
            <w:proofErr w:type="gramStart"/>
            <w:r w:rsidR="0094448B" w:rsidRPr="0094448B">
              <w:rPr>
                <w:rFonts w:ascii="Times New Roman" w:eastAsia="宋体" w:hAnsi="Times New Roman" w:cs="Times New Roman" w:hint="eastAsia"/>
                <w:b/>
                <w:sz w:val="24"/>
                <w:szCs w:val="24"/>
                <w:lang w:val="en-US"/>
              </w:rPr>
              <w:t>瑞芯微</w:t>
            </w:r>
            <w:proofErr w:type="gramEnd"/>
            <w:r w:rsidR="0094448B" w:rsidRPr="0094448B">
              <w:rPr>
                <w:rFonts w:ascii="Times New Roman" w:eastAsia="宋体" w:hAnsi="Times New Roman" w:cs="Times New Roman" w:hint="eastAsia"/>
                <w:b/>
                <w:sz w:val="24"/>
                <w:szCs w:val="24"/>
                <w:lang w:val="en-US"/>
              </w:rPr>
              <w:t>等国内头部芯片公</w:t>
            </w:r>
            <w:r w:rsidR="0094448B">
              <w:rPr>
                <w:rFonts w:ascii="Times New Roman" w:eastAsia="宋体" w:hAnsi="Times New Roman" w:cs="Times New Roman" w:hint="eastAsia"/>
                <w:b/>
                <w:sz w:val="24"/>
                <w:szCs w:val="24"/>
                <w:lang w:val="en-US"/>
              </w:rPr>
              <w:t>司，是否无法再使用贵公司的服务。目前公司的产能利用率在什么水平</w:t>
            </w:r>
            <w:r w:rsidRPr="009E06E2">
              <w:rPr>
                <w:rFonts w:ascii="Times New Roman" w:eastAsia="宋体" w:hAnsi="Times New Roman" w:cs="Times New Roman"/>
                <w:b/>
                <w:sz w:val="24"/>
                <w:szCs w:val="24"/>
                <w:lang w:val="en-US"/>
              </w:rPr>
              <w:t>？</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您好，公司目前整体产能利用率达</w:t>
            </w:r>
            <w:r w:rsidR="0094448B" w:rsidRPr="0094448B">
              <w:rPr>
                <w:rFonts w:ascii="Times New Roman" w:eastAsia="宋体" w:hAnsi="Times New Roman" w:cs="Times New Roman"/>
                <w:sz w:val="24"/>
                <w:szCs w:val="24"/>
              </w:rPr>
              <w:t>95%</w:t>
            </w:r>
            <w:r w:rsidR="0094448B" w:rsidRPr="0094448B">
              <w:rPr>
                <w:rFonts w:ascii="Times New Roman" w:eastAsia="宋体" w:hAnsi="Times New Roman" w:cs="Times New Roman"/>
                <w:sz w:val="24"/>
                <w:szCs w:val="24"/>
              </w:rPr>
              <w:t>以上。</w:t>
            </w:r>
          </w:p>
          <w:p w:rsidR="009E06E2" w:rsidRDefault="009E06E2" w:rsidP="009E06E2">
            <w:pPr>
              <w:pStyle w:val="TableParagraph"/>
              <w:spacing w:line="360" w:lineRule="auto"/>
              <w:ind w:firstLineChars="200" w:firstLine="480"/>
              <w:rPr>
                <w:rFonts w:ascii="Times New Roman" w:eastAsia="宋体" w:hAnsi="Times New Roman" w:cs="Times New Roman"/>
                <w:sz w:val="24"/>
                <w:szCs w:val="24"/>
              </w:rPr>
            </w:pPr>
          </w:p>
          <w:p w:rsidR="009E06E2" w:rsidRPr="009E06E2" w:rsidRDefault="009E06E2" w:rsidP="009E06E2">
            <w:pPr>
              <w:pStyle w:val="TableParagraph"/>
              <w:spacing w:line="360" w:lineRule="auto"/>
              <w:ind w:firstLineChars="200" w:firstLine="482"/>
              <w:rPr>
                <w:rFonts w:ascii="Times New Roman" w:eastAsia="宋体" w:hAnsi="Times New Roman" w:cs="Times New Roman"/>
                <w:b/>
                <w:sz w:val="24"/>
                <w:szCs w:val="24"/>
                <w:lang w:val="en-US"/>
              </w:rPr>
            </w:pPr>
            <w:r w:rsidRPr="009E06E2">
              <w:rPr>
                <w:rFonts w:ascii="Times New Roman" w:eastAsia="宋体" w:hAnsi="Times New Roman" w:cs="Times New Roman"/>
                <w:b/>
                <w:sz w:val="24"/>
                <w:szCs w:val="24"/>
                <w:lang w:val="en-US"/>
              </w:rPr>
              <w:t>6</w:t>
            </w:r>
            <w:r w:rsidRPr="009E06E2">
              <w:rPr>
                <w:rFonts w:ascii="Times New Roman" w:eastAsia="宋体" w:hAnsi="Times New Roman" w:cs="Times New Roman"/>
                <w:b/>
                <w:sz w:val="24"/>
                <w:szCs w:val="24"/>
              </w:rPr>
              <w:t>、</w:t>
            </w:r>
            <w:r w:rsidR="0094448B">
              <w:rPr>
                <w:rFonts w:ascii="Times New Roman" w:eastAsia="宋体" w:hAnsi="Times New Roman" w:cs="Times New Roman"/>
                <w:b/>
                <w:sz w:val="24"/>
                <w:szCs w:val="24"/>
              </w:rPr>
              <w:sym w:font="Wingdings 2" w:char="F06A"/>
            </w:r>
            <w:r w:rsidR="0094448B" w:rsidRPr="0094448B">
              <w:rPr>
                <w:rFonts w:ascii="Times New Roman" w:eastAsia="宋体" w:hAnsi="Times New Roman" w:cs="Times New Roman"/>
                <w:b/>
                <w:sz w:val="24"/>
                <w:szCs w:val="24"/>
              </w:rPr>
              <w:t>公司目前</w:t>
            </w:r>
            <w:r w:rsidR="0094448B" w:rsidRPr="0094448B">
              <w:rPr>
                <w:rFonts w:ascii="Times New Roman" w:eastAsia="宋体" w:hAnsi="Times New Roman" w:cs="Times New Roman"/>
                <w:b/>
                <w:sz w:val="24"/>
                <w:szCs w:val="24"/>
              </w:rPr>
              <w:t>ROA</w:t>
            </w:r>
            <w:r w:rsidR="0094448B" w:rsidRPr="0094448B">
              <w:rPr>
                <w:rFonts w:ascii="Times New Roman" w:eastAsia="宋体" w:hAnsi="Times New Roman" w:cs="Times New Roman"/>
                <w:b/>
                <w:sz w:val="24"/>
                <w:szCs w:val="24"/>
              </w:rPr>
              <w:t>并不高，产品结构不断向高端化，公司议价能力如何，后续有无可能提价？</w:t>
            </w:r>
            <w:r w:rsidR="0094448B">
              <w:rPr>
                <w:rFonts w:ascii="Times New Roman" w:eastAsia="宋体" w:hAnsi="Times New Roman" w:cs="Times New Roman"/>
                <w:b/>
                <w:sz w:val="24"/>
                <w:szCs w:val="24"/>
              </w:rPr>
              <w:sym w:font="Wingdings 2" w:char="F06B"/>
            </w:r>
            <w:r w:rsidR="0094448B" w:rsidRPr="0094448B">
              <w:rPr>
                <w:rFonts w:ascii="Times New Roman" w:eastAsia="宋体" w:hAnsi="Times New Roman" w:cs="Times New Roman"/>
                <w:b/>
                <w:sz w:val="24"/>
                <w:szCs w:val="24"/>
              </w:rPr>
              <w:t>目前公司有息负债比例不高，考虑到可转债中大部分是控股股东持有，如果转股，公司将由更大的负债空间，是否考虑扩大财务杠杆来扩产能、或加大分红力度？</w:t>
            </w:r>
            <w:r w:rsidR="0094448B">
              <w:rPr>
                <w:rFonts w:ascii="Times New Roman" w:eastAsia="宋体" w:hAnsi="Times New Roman" w:cs="Times New Roman"/>
                <w:b/>
                <w:sz w:val="24"/>
                <w:szCs w:val="24"/>
              </w:rPr>
              <w:sym w:font="Wingdings 2" w:char="F06C"/>
            </w:r>
            <w:r w:rsidR="0094448B" w:rsidRPr="0094448B">
              <w:rPr>
                <w:rFonts w:ascii="Times New Roman" w:eastAsia="宋体" w:hAnsi="Times New Roman" w:cs="Times New Roman"/>
                <w:b/>
                <w:sz w:val="24"/>
                <w:szCs w:val="24"/>
              </w:rPr>
              <w:t>有无推进</w:t>
            </w:r>
            <w:r w:rsidR="0094448B">
              <w:rPr>
                <w:rFonts w:ascii="Times New Roman" w:eastAsia="宋体" w:hAnsi="Times New Roman" w:cs="Times New Roman"/>
                <w:b/>
                <w:sz w:val="24"/>
                <w:szCs w:val="24"/>
              </w:rPr>
              <w:t>引入产业系股东，目前公司股东结构里除了控股股东，都是财务投资者</w:t>
            </w:r>
            <w:r w:rsidRPr="009E06E2">
              <w:rPr>
                <w:rFonts w:ascii="Times New Roman" w:eastAsia="宋体" w:hAnsi="Times New Roman" w:cs="Times New Roman" w:hint="eastAsia"/>
                <w:b/>
                <w:sz w:val="24"/>
                <w:szCs w:val="24"/>
                <w:lang w:val="en-US"/>
              </w:rPr>
              <w:t>。</w:t>
            </w:r>
          </w:p>
          <w:p w:rsidR="009E06E2" w:rsidRDefault="009E06E2" w:rsidP="009E06E2">
            <w:pPr>
              <w:pStyle w:val="TableParagraph"/>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lastRenderedPageBreak/>
              <w:t>答：</w:t>
            </w:r>
            <w:r w:rsidR="0094448B" w:rsidRPr="0094448B">
              <w:rPr>
                <w:rFonts w:ascii="Times New Roman" w:eastAsia="宋体" w:hAnsi="Times New Roman" w:cs="Times New Roman" w:hint="eastAsia"/>
                <w:sz w:val="24"/>
                <w:szCs w:val="24"/>
              </w:rPr>
              <w:t>您好，测试价格目前较为稳定；后续如果转股，公司无论采用哪种方式都将确保公司拥有强劲的现金流和健康的资产负债表，感谢您的建议。</w:t>
            </w:r>
          </w:p>
          <w:p w:rsidR="0094448B" w:rsidRDefault="0094448B" w:rsidP="009E06E2">
            <w:pPr>
              <w:pStyle w:val="TableParagraph"/>
              <w:spacing w:line="360" w:lineRule="auto"/>
              <w:ind w:firstLineChars="200" w:firstLine="480"/>
              <w:rPr>
                <w:rFonts w:ascii="Times New Roman" w:eastAsia="宋体" w:hAnsi="Times New Roman" w:cs="Times New Roman" w:hint="eastAsia"/>
                <w:sz w:val="24"/>
                <w:szCs w:val="24"/>
              </w:rPr>
            </w:pPr>
          </w:p>
          <w:p w:rsidR="0094448B" w:rsidRPr="0094448B" w:rsidRDefault="0094448B" w:rsidP="0094448B">
            <w:pPr>
              <w:pStyle w:val="TableParagraph"/>
              <w:spacing w:line="360" w:lineRule="auto"/>
              <w:ind w:firstLineChars="200" w:firstLine="482"/>
              <w:rPr>
                <w:rFonts w:ascii="Times New Roman" w:eastAsia="宋体" w:hAnsi="Times New Roman" w:cs="Times New Roman" w:hint="eastAsia"/>
                <w:b/>
                <w:sz w:val="24"/>
                <w:szCs w:val="24"/>
              </w:rPr>
            </w:pPr>
            <w:r w:rsidRPr="0094448B">
              <w:rPr>
                <w:rFonts w:ascii="Times New Roman" w:eastAsia="宋体" w:hAnsi="Times New Roman" w:cs="Times New Roman" w:hint="eastAsia"/>
                <w:b/>
                <w:sz w:val="24"/>
                <w:szCs w:val="24"/>
              </w:rPr>
              <w:t>7</w:t>
            </w:r>
            <w:r w:rsidRPr="0094448B">
              <w:rPr>
                <w:rFonts w:ascii="Times New Roman" w:eastAsia="宋体" w:hAnsi="Times New Roman" w:cs="Times New Roman" w:hint="eastAsia"/>
                <w:b/>
                <w:sz w:val="24"/>
                <w:szCs w:val="24"/>
              </w:rPr>
              <w:t>、国内独立测试领域还没有出现一家绝对的头部厂商，您认为原因是什么？</w:t>
            </w:r>
            <w:proofErr w:type="gramStart"/>
            <w:r w:rsidRPr="0094448B">
              <w:rPr>
                <w:rFonts w:ascii="Times New Roman" w:eastAsia="宋体" w:hAnsi="Times New Roman" w:cs="Times New Roman" w:hint="eastAsia"/>
                <w:b/>
                <w:sz w:val="24"/>
                <w:szCs w:val="24"/>
              </w:rPr>
              <w:t>伟测如果</w:t>
            </w:r>
            <w:proofErr w:type="gramEnd"/>
            <w:r w:rsidRPr="0094448B">
              <w:rPr>
                <w:rFonts w:ascii="Times New Roman" w:eastAsia="宋体" w:hAnsi="Times New Roman" w:cs="Times New Roman" w:hint="eastAsia"/>
                <w:b/>
                <w:sz w:val="24"/>
                <w:szCs w:val="24"/>
              </w:rPr>
              <w:t>要成为这样的厂商，未来几年还有哪些重要的工作需要做？</w:t>
            </w:r>
          </w:p>
          <w:p w:rsidR="0094448B" w:rsidRDefault="007A5151" w:rsidP="0094448B">
            <w:pPr>
              <w:pStyle w:val="TableParagraph"/>
              <w:spacing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您好，截至目前，公司已经发展成为</w:t>
            </w:r>
            <w:proofErr w:type="gramStart"/>
            <w:r w:rsidR="0094448B" w:rsidRPr="0094448B">
              <w:rPr>
                <w:rFonts w:ascii="Times New Roman" w:eastAsia="宋体" w:hAnsi="Times New Roman" w:cs="Times New Roman" w:hint="eastAsia"/>
                <w:sz w:val="24"/>
                <w:szCs w:val="24"/>
              </w:rPr>
              <w:t>独立第三</w:t>
            </w:r>
            <w:proofErr w:type="gramEnd"/>
            <w:r w:rsidR="0094448B" w:rsidRPr="0094448B">
              <w:rPr>
                <w:rFonts w:ascii="Times New Roman" w:eastAsia="宋体" w:hAnsi="Times New Roman" w:cs="Times New Roman" w:hint="eastAsia"/>
                <w:sz w:val="24"/>
                <w:szCs w:val="24"/>
              </w:rPr>
              <w:t>方集成电路测试行业中规模位居前列的内资企业之一。公司将在技术先进性、成本控制力、服务质量、响应速度和综合解决方案能力等方面持续提升，从“测试服务提供商”升级为“高端芯片质量与可靠性解决方案伙伴”。</w:t>
            </w:r>
          </w:p>
          <w:p w:rsidR="0094448B" w:rsidRDefault="0094448B" w:rsidP="0094448B">
            <w:pPr>
              <w:pStyle w:val="TableParagraph"/>
              <w:spacing w:line="360" w:lineRule="auto"/>
              <w:ind w:firstLineChars="200" w:firstLine="480"/>
              <w:rPr>
                <w:rFonts w:ascii="Times New Roman" w:eastAsia="宋体" w:hAnsi="Times New Roman" w:cs="Times New Roman" w:hint="eastAsia"/>
                <w:sz w:val="24"/>
                <w:szCs w:val="24"/>
              </w:rPr>
            </w:pPr>
          </w:p>
          <w:p w:rsidR="0094448B" w:rsidRPr="0094448B" w:rsidRDefault="0094448B" w:rsidP="0094448B">
            <w:pPr>
              <w:pStyle w:val="TableParagraph"/>
              <w:spacing w:line="360" w:lineRule="auto"/>
              <w:ind w:firstLineChars="200" w:firstLine="482"/>
              <w:rPr>
                <w:rFonts w:ascii="Times New Roman" w:eastAsia="宋体" w:hAnsi="Times New Roman" w:cs="Times New Roman" w:hint="eastAsia"/>
                <w:b/>
                <w:sz w:val="24"/>
                <w:szCs w:val="24"/>
              </w:rPr>
            </w:pPr>
            <w:r w:rsidRPr="0094448B">
              <w:rPr>
                <w:rFonts w:ascii="Times New Roman" w:eastAsia="宋体" w:hAnsi="Times New Roman" w:cs="Times New Roman" w:hint="eastAsia"/>
                <w:b/>
                <w:sz w:val="24"/>
                <w:szCs w:val="24"/>
              </w:rPr>
              <w:t>8</w:t>
            </w:r>
            <w:r w:rsidRPr="0094448B">
              <w:rPr>
                <w:rFonts w:ascii="Times New Roman" w:eastAsia="宋体" w:hAnsi="Times New Roman" w:cs="Times New Roman" w:hint="eastAsia"/>
                <w:b/>
                <w:sz w:val="24"/>
                <w:szCs w:val="24"/>
              </w:rPr>
              <w:t>、董事长好！三季度即将结束，与二季度相比三季度产能增加了多少？请问四季度业务订单如何？产能能否继续扩大？</w:t>
            </w:r>
          </w:p>
          <w:p w:rsidR="0094448B" w:rsidRDefault="007A5151" w:rsidP="0094448B">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94448B" w:rsidRPr="0094448B">
              <w:rPr>
                <w:rFonts w:ascii="Times New Roman" w:eastAsia="宋体" w:hAnsi="Times New Roman" w:cs="Times New Roman" w:hint="eastAsia"/>
                <w:sz w:val="24"/>
                <w:szCs w:val="24"/>
              </w:rPr>
              <w:t>您好，请关注后续披露的定期报告。</w:t>
            </w:r>
          </w:p>
          <w:p w:rsidR="009E06E2" w:rsidRPr="009E06E2" w:rsidRDefault="009E06E2" w:rsidP="0094448B">
            <w:pPr>
              <w:pStyle w:val="TableParagraph"/>
              <w:spacing w:line="360" w:lineRule="auto"/>
              <w:ind w:firstLineChars="200" w:firstLine="480"/>
              <w:rPr>
                <w:rFonts w:ascii="Times New Roman" w:eastAsia="宋体" w:hAnsi="Times New Roman" w:cs="Times New Roman"/>
                <w:sz w:val="24"/>
                <w:szCs w:val="24"/>
                <w:lang w:val="en-US"/>
              </w:rPr>
            </w:pPr>
            <w:bookmarkStart w:id="0" w:name="_GoBack"/>
            <w:bookmarkEnd w:id="0"/>
          </w:p>
        </w:tc>
      </w:tr>
      <w:tr w:rsidR="00A3445D" w:rsidRPr="00A955CE" w:rsidTr="0013206B">
        <w:trPr>
          <w:trHeight w:val="1433"/>
          <w:jc w:val="center"/>
        </w:trPr>
        <w:tc>
          <w:tcPr>
            <w:tcW w:w="1603" w:type="dxa"/>
            <w:vAlign w:val="center"/>
          </w:tcPr>
          <w:p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rsidTr="0013206B">
        <w:trPr>
          <w:trHeight w:val="561"/>
          <w:jc w:val="center"/>
        </w:trPr>
        <w:tc>
          <w:tcPr>
            <w:tcW w:w="1603" w:type="dxa"/>
            <w:vAlign w:val="center"/>
          </w:tcPr>
          <w:p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1EA" w:rsidRDefault="003C61EA" w:rsidP="00675B49">
      <w:r>
        <w:separator/>
      </w:r>
    </w:p>
  </w:endnote>
  <w:endnote w:type="continuationSeparator" w:id="0">
    <w:p w:rsidR="003C61EA" w:rsidRDefault="003C61EA"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1EA" w:rsidRDefault="003C61EA" w:rsidP="00675B49">
      <w:r>
        <w:separator/>
      </w:r>
    </w:p>
  </w:footnote>
  <w:footnote w:type="continuationSeparator" w:id="0">
    <w:p w:rsidR="003C61EA" w:rsidRDefault="003C61EA" w:rsidP="00675B4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26CC3"/>
    <w:rsid w:val="00036089"/>
    <w:rsid w:val="00053CFA"/>
    <w:rsid w:val="000577F8"/>
    <w:rsid w:val="000633EC"/>
    <w:rsid w:val="00063804"/>
    <w:rsid w:val="000665A2"/>
    <w:rsid w:val="00070D81"/>
    <w:rsid w:val="000759D7"/>
    <w:rsid w:val="00082944"/>
    <w:rsid w:val="000877AB"/>
    <w:rsid w:val="0009126F"/>
    <w:rsid w:val="000A2828"/>
    <w:rsid w:val="000A44DE"/>
    <w:rsid w:val="000B75BA"/>
    <w:rsid w:val="000B7C08"/>
    <w:rsid w:val="000D12CF"/>
    <w:rsid w:val="000D2D88"/>
    <w:rsid w:val="000D658C"/>
    <w:rsid w:val="000E4B20"/>
    <w:rsid w:val="000E4FCF"/>
    <w:rsid w:val="000F7B52"/>
    <w:rsid w:val="0011418F"/>
    <w:rsid w:val="00117B1D"/>
    <w:rsid w:val="0012250D"/>
    <w:rsid w:val="0013206B"/>
    <w:rsid w:val="001367CC"/>
    <w:rsid w:val="001406B7"/>
    <w:rsid w:val="00150BC8"/>
    <w:rsid w:val="001639C4"/>
    <w:rsid w:val="00172C24"/>
    <w:rsid w:val="00173DE7"/>
    <w:rsid w:val="001778F6"/>
    <w:rsid w:val="001818AD"/>
    <w:rsid w:val="00190FE3"/>
    <w:rsid w:val="001918C4"/>
    <w:rsid w:val="001B4711"/>
    <w:rsid w:val="001B559B"/>
    <w:rsid w:val="001C0D83"/>
    <w:rsid w:val="001C1D90"/>
    <w:rsid w:val="001C7260"/>
    <w:rsid w:val="001D2D55"/>
    <w:rsid w:val="001E59D1"/>
    <w:rsid w:val="001E5EA4"/>
    <w:rsid w:val="002042A7"/>
    <w:rsid w:val="002051AE"/>
    <w:rsid w:val="00205911"/>
    <w:rsid w:val="002146AD"/>
    <w:rsid w:val="00225C76"/>
    <w:rsid w:val="002348D1"/>
    <w:rsid w:val="0024262E"/>
    <w:rsid w:val="002676DB"/>
    <w:rsid w:val="00275CB6"/>
    <w:rsid w:val="002800B5"/>
    <w:rsid w:val="00285CD0"/>
    <w:rsid w:val="00290116"/>
    <w:rsid w:val="00293238"/>
    <w:rsid w:val="00295331"/>
    <w:rsid w:val="00295B29"/>
    <w:rsid w:val="0029704C"/>
    <w:rsid w:val="00297501"/>
    <w:rsid w:val="002B45D2"/>
    <w:rsid w:val="002C549B"/>
    <w:rsid w:val="002C6F3D"/>
    <w:rsid w:val="002D1A46"/>
    <w:rsid w:val="002D2CE3"/>
    <w:rsid w:val="002D355E"/>
    <w:rsid w:val="002D4073"/>
    <w:rsid w:val="002E7098"/>
    <w:rsid w:val="002F5191"/>
    <w:rsid w:val="002F63BE"/>
    <w:rsid w:val="00301D32"/>
    <w:rsid w:val="00306A62"/>
    <w:rsid w:val="0031357A"/>
    <w:rsid w:val="00347CB6"/>
    <w:rsid w:val="0035561C"/>
    <w:rsid w:val="00366EB1"/>
    <w:rsid w:val="00366FAD"/>
    <w:rsid w:val="0036713B"/>
    <w:rsid w:val="0037105B"/>
    <w:rsid w:val="0039316F"/>
    <w:rsid w:val="003975BA"/>
    <w:rsid w:val="003A74E6"/>
    <w:rsid w:val="003B73DD"/>
    <w:rsid w:val="003C61EA"/>
    <w:rsid w:val="003D011C"/>
    <w:rsid w:val="003D434E"/>
    <w:rsid w:val="003F6D3C"/>
    <w:rsid w:val="00401496"/>
    <w:rsid w:val="00403B08"/>
    <w:rsid w:val="004108C7"/>
    <w:rsid w:val="00412DC2"/>
    <w:rsid w:val="004146AD"/>
    <w:rsid w:val="004350A0"/>
    <w:rsid w:val="004368FF"/>
    <w:rsid w:val="00440041"/>
    <w:rsid w:val="00443FE5"/>
    <w:rsid w:val="00451268"/>
    <w:rsid w:val="004515AD"/>
    <w:rsid w:val="00451857"/>
    <w:rsid w:val="00453516"/>
    <w:rsid w:val="0045629D"/>
    <w:rsid w:val="00457548"/>
    <w:rsid w:val="00461796"/>
    <w:rsid w:val="0046309A"/>
    <w:rsid w:val="00463650"/>
    <w:rsid w:val="00470DB2"/>
    <w:rsid w:val="00483B65"/>
    <w:rsid w:val="0048425F"/>
    <w:rsid w:val="00485A3F"/>
    <w:rsid w:val="004925E7"/>
    <w:rsid w:val="00495B11"/>
    <w:rsid w:val="004C4F91"/>
    <w:rsid w:val="004D414E"/>
    <w:rsid w:val="004E286B"/>
    <w:rsid w:val="004E3894"/>
    <w:rsid w:val="004E4304"/>
    <w:rsid w:val="004E43C1"/>
    <w:rsid w:val="004E4491"/>
    <w:rsid w:val="004F0F72"/>
    <w:rsid w:val="004F6FF3"/>
    <w:rsid w:val="00507A0D"/>
    <w:rsid w:val="0051181D"/>
    <w:rsid w:val="00522E31"/>
    <w:rsid w:val="00525CFE"/>
    <w:rsid w:val="00544AD9"/>
    <w:rsid w:val="005458CF"/>
    <w:rsid w:val="005540AA"/>
    <w:rsid w:val="00571B49"/>
    <w:rsid w:val="005743AE"/>
    <w:rsid w:val="005762CD"/>
    <w:rsid w:val="005972A6"/>
    <w:rsid w:val="005A3F66"/>
    <w:rsid w:val="005B482C"/>
    <w:rsid w:val="005D30A7"/>
    <w:rsid w:val="005D64CA"/>
    <w:rsid w:val="005E5717"/>
    <w:rsid w:val="005E6DB2"/>
    <w:rsid w:val="005F44BD"/>
    <w:rsid w:val="005F709A"/>
    <w:rsid w:val="0060321B"/>
    <w:rsid w:val="00611393"/>
    <w:rsid w:val="00611E0E"/>
    <w:rsid w:val="0061433E"/>
    <w:rsid w:val="006159E3"/>
    <w:rsid w:val="00616F76"/>
    <w:rsid w:val="00616FDF"/>
    <w:rsid w:val="0062246F"/>
    <w:rsid w:val="0062751D"/>
    <w:rsid w:val="00627BB3"/>
    <w:rsid w:val="006354AA"/>
    <w:rsid w:val="00642556"/>
    <w:rsid w:val="00661AFA"/>
    <w:rsid w:val="006726BF"/>
    <w:rsid w:val="00675B49"/>
    <w:rsid w:val="00677B77"/>
    <w:rsid w:val="0068718A"/>
    <w:rsid w:val="006960E7"/>
    <w:rsid w:val="00696FCC"/>
    <w:rsid w:val="006A2286"/>
    <w:rsid w:val="006A2739"/>
    <w:rsid w:val="006A57E2"/>
    <w:rsid w:val="006B5C95"/>
    <w:rsid w:val="006B7293"/>
    <w:rsid w:val="006D1AD0"/>
    <w:rsid w:val="006D737E"/>
    <w:rsid w:val="006E14B0"/>
    <w:rsid w:val="006E66E1"/>
    <w:rsid w:val="006F0108"/>
    <w:rsid w:val="006F4608"/>
    <w:rsid w:val="006F672A"/>
    <w:rsid w:val="007026D5"/>
    <w:rsid w:val="00704AE6"/>
    <w:rsid w:val="007153A2"/>
    <w:rsid w:val="007205DC"/>
    <w:rsid w:val="00724A68"/>
    <w:rsid w:val="007271BF"/>
    <w:rsid w:val="00727DDE"/>
    <w:rsid w:val="00730DD3"/>
    <w:rsid w:val="00733224"/>
    <w:rsid w:val="00733C9A"/>
    <w:rsid w:val="00741E7A"/>
    <w:rsid w:val="00744BA0"/>
    <w:rsid w:val="00755F0F"/>
    <w:rsid w:val="00763EA3"/>
    <w:rsid w:val="00764128"/>
    <w:rsid w:val="00776F0A"/>
    <w:rsid w:val="007817AF"/>
    <w:rsid w:val="007824B8"/>
    <w:rsid w:val="00785B39"/>
    <w:rsid w:val="007910DD"/>
    <w:rsid w:val="00795B68"/>
    <w:rsid w:val="007A3EC1"/>
    <w:rsid w:val="007A5151"/>
    <w:rsid w:val="007B3368"/>
    <w:rsid w:val="007C10BC"/>
    <w:rsid w:val="007C1D25"/>
    <w:rsid w:val="007C3CA9"/>
    <w:rsid w:val="007C68E1"/>
    <w:rsid w:val="007C7017"/>
    <w:rsid w:val="007D0A69"/>
    <w:rsid w:val="007D3383"/>
    <w:rsid w:val="007D64BB"/>
    <w:rsid w:val="007D6DC4"/>
    <w:rsid w:val="007F529A"/>
    <w:rsid w:val="00810505"/>
    <w:rsid w:val="00812425"/>
    <w:rsid w:val="00812598"/>
    <w:rsid w:val="008160A0"/>
    <w:rsid w:val="00832BF4"/>
    <w:rsid w:val="0083536E"/>
    <w:rsid w:val="00840FC0"/>
    <w:rsid w:val="0085308D"/>
    <w:rsid w:val="00853463"/>
    <w:rsid w:val="00856D25"/>
    <w:rsid w:val="00876634"/>
    <w:rsid w:val="00890268"/>
    <w:rsid w:val="00893F25"/>
    <w:rsid w:val="00895035"/>
    <w:rsid w:val="008A1E07"/>
    <w:rsid w:val="008B2B14"/>
    <w:rsid w:val="008B6464"/>
    <w:rsid w:val="008C1BE0"/>
    <w:rsid w:val="008C6AED"/>
    <w:rsid w:val="008C7604"/>
    <w:rsid w:val="008D2EAF"/>
    <w:rsid w:val="008E0A51"/>
    <w:rsid w:val="008E1B27"/>
    <w:rsid w:val="008F7496"/>
    <w:rsid w:val="00903379"/>
    <w:rsid w:val="00906975"/>
    <w:rsid w:val="00917F0B"/>
    <w:rsid w:val="00917F8B"/>
    <w:rsid w:val="00932338"/>
    <w:rsid w:val="0094448B"/>
    <w:rsid w:val="00954332"/>
    <w:rsid w:val="009605F6"/>
    <w:rsid w:val="00960698"/>
    <w:rsid w:val="00960964"/>
    <w:rsid w:val="00965E4D"/>
    <w:rsid w:val="00986110"/>
    <w:rsid w:val="009A20C4"/>
    <w:rsid w:val="009B1D5C"/>
    <w:rsid w:val="009B4901"/>
    <w:rsid w:val="009C2464"/>
    <w:rsid w:val="009C2E31"/>
    <w:rsid w:val="009D4301"/>
    <w:rsid w:val="009E06E2"/>
    <w:rsid w:val="009E0D5D"/>
    <w:rsid w:val="009E1955"/>
    <w:rsid w:val="009E7ED5"/>
    <w:rsid w:val="00A061BF"/>
    <w:rsid w:val="00A10245"/>
    <w:rsid w:val="00A26325"/>
    <w:rsid w:val="00A330C0"/>
    <w:rsid w:val="00A33784"/>
    <w:rsid w:val="00A3445D"/>
    <w:rsid w:val="00A416C4"/>
    <w:rsid w:val="00A43140"/>
    <w:rsid w:val="00A52607"/>
    <w:rsid w:val="00A527AA"/>
    <w:rsid w:val="00A5684D"/>
    <w:rsid w:val="00A63B43"/>
    <w:rsid w:val="00A75C61"/>
    <w:rsid w:val="00A955CE"/>
    <w:rsid w:val="00A9601B"/>
    <w:rsid w:val="00A9642C"/>
    <w:rsid w:val="00AA02FC"/>
    <w:rsid w:val="00AA0910"/>
    <w:rsid w:val="00AA4348"/>
    <w:rsid w:val="00AB2DDC"/>
    <w:rsid w:val="00AD100E"/>
    <w:rsid w:val="00AD3FFF"/>
    <w:rsid w:val="00AE1E36"/>
    <w:rsid w:val="00AF74AA"/>
    <w:rsid w:val="00B03C2F"/>
    <w:rsid w:val="00B05CAA"/>
    <w:rsid w:val="00B07DE9"/>
    <w:rsid w:val="00B15064"/>
    <w:rsid w:val="00B27754"/>
    <w:rsid w:val="00B3167B"/>
    <w:rsid w:val="00B340A3"/>
    <w:rsid w:val="00B36D66"/>
    <w:rsid w:val="00B375AD"/>
    <w:rsid w:val="00B410F5"/>
    <w:rsid w:val="00B44242"/>
    <w:rsid w:val="00B546CF"/>
    <w:rsid w:val="00B6280C"/>
    <w:rsid w:val="00B6415C"/>
    <w:rsid w:val="00B671A4"/>
    <w:rsid w:val="00B72CD4"/>
    <w:rsid w:val="00B83832"/>
    <w:rsid w:val="00B85B00"/>
    <w:rsid w:val="00BA0A2C"/>
    <w:rsid w:val="00BA4159"/>
    <w:rsid w:val="00BA5BB7"/>
    <w:rsid w:val="00BB56F7"/>
    <w:rsid w:val="00BC0C7F"/>
    <w:rsid w:val="00BD7E77"/>
    <w:rsid w:val="00BE0A7D"/>
    <w:rsid w:val="00BE74F3"/>
    <w:rsid w:val="00BF132F"/>
    <w:rsid w:val="00BF3270"/>
    <w:rsid w:val="00BF392F"/>
    <w:rsid w:val="00C06081"/>
    <w:rsid w:val="00C13878"/>
    <w:rsid w:val="00C15DBD"/>
    <w:rsid w:val="00C31284"/>
    <w:rsid w:val="00C40110"/>
    <w:rsid w:val="00C40873"/>
    <w:rsid w:val="00C634E9"/>
    <w:rsid w:val="00C9551B"/>
    <w:rsid w:val="00CA1705"/>
    <w:rsid w:val="00CB787F"/>
    <w:rsid w:val="00CC2F08"/>
    <w:rsid w:val="00CC322F"/>
    <w:rsid w:val="00CE1A54"/>
    <w:rsid w:val="00CE3B27"/>
    <w:rsid w:val="00CF1332"/>
    <w:rsid w:val="00CF18F2"/>
    <w:rsid w:val="00CF4A48"/>
    <w:rsid w:val="00CF5FB6"/>
    <w:rsid w:val="00CF629B"/>
    <w:rsid w:val="00D02518"/>
    <w:rsid w:val="00D02BF7"/>
    <w:rsid w:val="00D05354"/>
    <w:rsid w:val="00D17454"/>
    <w:rsid w:val="00D242D6"/>
    <w:rsid w:val="00D33FBC"/>
    <w:rsid w:val="00D4153D"/>
    <w:rsid w:val="00D67CC9"/>
    <w:rsid w:val="00D7535C"/>
    <w:rsid w:val="00D76302"/>
    <w:rsid w:val="00D84A20"/>
    <w:rsid w:val="00D86F8C"/>
    <w:rsid w:val="00DA5CE2"/>
    <w:rsid w:val="00DC5238"/>
    <w:rsid w:val="00DD4AAF"/>
    <w:rsid w:val="00DD77DA"/>
    <w:rsid w:val="00DE10E8"/>
    <w:rsid w:val="00DE4A17"/>
    <w:rsid w:val="00DF432F"/>
    <w:rsid w:val="00DF5B93"/>
    <w:rsid w:val="00E12C2C"/>
    <w:rsid w:val="00E16FDA"/>
    <w:rsid w:val="00E22383"/>
    <w:rsid w:val="00E24110"/>
    <w:rsid w:val="00E32F5A"/>
    <w:rsid w:val="00E3505B"/>
    <w:rsid w:val="00E35F58"/>
    <w:rsid w:val="00E36B27"/>
    <w:rsid w:val="00E40CAC"/>
    <w:rsid w:val="00E41F88"/>
    <w:rsid w:val="00E45BD9"/>
    <w:rsid w:val="00E46A6A"/>
    <w:rsid w:val="00E66FFC"/>
    <w:rsid w:val="00E7556B"/>
    <w:rsid w:val="00E759D6"/>
    <w:rsid w:val="00E75D35"/>
    <w:rsid w:val="00E82523"/>
    <w:rsid w:val="00E84A8C"/>
    <w:rsid w:val="00E91D05"/>
    <w:rsid w:val="00E97626"/>
    <w:rsid w:val="00E976DE"/>
    <w:rsid w:val="00EA06FF"/>
    <w:rsid w:val="00EA3568"/>
    <w:rsid w:val="00EC0A5A"/>
    <w:rsid w:val="00EC0F83"/>
    <w:rsid w:val="00EC3478"/>
    <w:rsid w:val="00EE3187"/>
    <w:rsid w:val="00EE617E"/>
    <w:rsid w:val="00EE759B"/>
    <w:rsid w:val="00EF4407"/>
    <w:rsid w:val="00EF499B"/>
    <w:rsid w:val="00F13757"/>
    <w:rsid w:val="00F14977"/>
    <w:rsid w:val="00F252DF"/>
    <w:rsid w:val="00F4504F"/>
    <w:rsid w:val="00F52668"/>
    <w:rsid w:val="00F772C5"/>
    <w:rsid w:val="00F77F5C"/>
    <w:rsid w:val="00FA7F70"/>
    <w:rsid w:val="00FB4A08"/>
    <w:rsid w:val="00FB597F"/>
    <w:rsid w:val="00FC0C2A"/>
    <w:rsid w:val="00FC3C57"/>
    <w:rsid w:val="00FC6286"/>
    <w:rsid w:val="00FD7F8E"/>
    <w:rsid w:val="00FE13FC"/>
    <w:rsid w:val="00FE2093"/>
    <w:rsid w:val="00FF11E4"/>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264</Words>
  <Characters>1506</Characters>
  <Application>Microsoft Office Word</Application>
  <DocSecurity>0</DocSecurity>
  <Lines>12</Lines>
  <Paragraphs>3</Paragraphs>
  <ScaleCrop>false</ScaleCrop>
  <Company>P R C</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Dan Liu</cp:lastModifiedBy>
  <cp:revision>21</cp:revision>
  <dcterms:created xsi:type="dcterms:W3CDTF">2024-05-22T06:57:00Z</dcterms:created>
  <dcterms:modified xsi:type="dcterms:W3CDTF">2025-09-25T06:16:00Z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