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562F4" w14:textId="77777777" w:rsidR="007775D8" w:rsidRDefault="00F469EB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>证券代码：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600284</w:t>
      </w: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浦东建设</w:t>
      </w:r>
    </w:p>
    <w:p w14:paraId="2842A291" w14:textId="77777777" w:rsidR="007775D8" w:rsidRDefault="007775D8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20A013B" w14:textId="77777777" w:rsidR="007775D8" w:rsidRDefault="00F469EB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上海浦东建设股份有限公司</w:t>
      </w:r>
    </w:p>
    <w:p w14:paraId="74F35DC3" w14:textId="77777777" w:rsidR="007775D8" w:rsidRDefault="00F469EB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00288F0F" w14:textId="68C4D692" w:rsidR="007775D8" w:rsidRDefault="00F469EB">
      <w:pPr>
        <w:wordWrap w:val="0"/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2025</w:t>
      </w:r>
      <w:r>
        <w:rPr>
          <w:rFonts w:ascii="宋体" w:eastAsia="宋体" w:hAnsi="宋体" w:cs="宋体" w:hint="eastAsia"/>
          <w:sz w:val="20"/>
          <w:szCs w:val="20"/>
        </w:rPr>
        <w:t>-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002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7775D8" w14:paraId="53A11DFE" w14:textId="77777777">
        <w:trPr>
          <w:trHeight w:val="2801"/>
          <w:jc w:val="center"/>
        </w:trPr>
        <w:tc>
          <w:tcPr>
            <w:tcW w:w="2580" w:type="dxa"/>
            <w:vAlign w:val="center"/>
          </w:tcPr>
          <w:p w14:paraId="55610C4B" w14:textId="77777777" w:rsidR="007775D8" w:rsidRDefault="00F469EB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  <w:vAlign w:val="center"/>
          </w:tcPr>
          <w:p w14:paraId="35963EF4" w14:textId="77777777" w:rsidR="007775D8" w:rsidRDefault="007775D8">
            <w:pPr>
              <w:pStyle w:val="TableParagraph"/>
              <w:spacing w:before="7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3B3AB7DD" w14:textId="77777777" w:rsidR="007775D8" w:rsidRDefault="00F469EB">
            <w:pPr>
              <w:pStyle w:val="TableParagraph"/>
              <w:tabs>
                <w:tab w:val="left" w:pos="2418"/>
              </w:tabs>
              <w:spacing w:before="1"/>
              <w:ind w:left="107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056B05FA" w14:textId="77777777" w:rsidR="007775D8" w:rsidRDefault="007775D8">
            <w:pPr>
              <w:pStyle w:val="TableParagraph"/>
              <w:spacing w:before="1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</w:p>
          <w:p w14:paraId="068065D7" w14:textId="77777777" w:rsidR="007775D8" w:rsidRDefault="00F469EB">
            <w:pPr>
              <w:pStyle w:val="TableParagraph"/>
              <w:tabs>
                <w:tab w:val="left" w:pos="2418"/>
              </w:tabs>
              <w:ind w:left="107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Wingdings 2" w:eastAsia="MS Gothic" w:hAnsi="Wingdings 2" w:cs="宋体"/>
                    <w:sz w:val="20"/>
                    <w:szCs w:val="20"/>
                  </w:rPr>
                  <w:t>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097D8EEF" w14:textId="77777777" w:rsidR="007775D8" w:rsidRDefault="007775D8">
            <w:pPr>
              <w:pStyle w:val="TableParagraph"/>
              <w:spacing w:before="8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43029671" w14:textId="77777777" w:rsidR="007775D8" w:rsidRDefault="00F469EB">
            <w:pPr>
              <w:pStyle w:val="TableParagraph"/>
              <w:tabs>
                <w:tab w:val="left" w:pos="2418"/>
              </w:tabs>
              <w:ind w:left="107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2EAEEEA2" w14:textId="77777777" w:rsidR="007775D8" w:rsidRDefault="007775D8">
            <w:pPr>
              <w:pStyle w:val="TableParagraph"/>
              <w:spacing w:before="8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38D9A630" w14:textId="77777777" w:rsidR="007775D8" w:rsidRDefault="00F469EB">
            <w:pPr>
              <w:pStyle w:val="TableParagraph"/>
              <w:ind w:left="107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371E2392" w14:textId="77777777" w:rsidR="007775D8" w:rsidRDefault="007775D8">
            <w:pPr>
              <w:pStyle w:val="TableParagraph"/>
              <w:spacing w:before="1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413531E5" w14:textId="77777777" w:rsidR="007775D8" w:rsidRDefault="00F469EB">
            <w:pPr>
              <w:pStyle w:val="TableParagraph"/>
              <w:ind w:left="107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说明其他活动内容）</w:t>
            </w:r>
          </w:p>
        </w:tc>
      </w:tr>
      <w:tr w:rsidR="007775D8" w14:paraId="094DA7CF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7F0F973B" w14:textId="77777777" w:rsidR="007775D8" w:rsidRDefault="00F469EB">
            <w:pPr>
              <w:pStyle w:val="TableParagraph"/>
              <w:spacing w:line="560" w:lineRule="exact"/>
              <w:ind w:left="107" w:right="96"/>
              <w:jc w:val="both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47D72C5A" w14:textId="77777777" w:rsidR="007775D8" w:rsidRPr="00F469EB" w:rsidRDefault="00F469EB" w:rsidP="00F469EB">
            <w:pPr>
              <w:pStyle w:val="TableParagraph"/>
              <w:spacing w:line="560" w:lineRule="exact"/>
              <w:ind w:right="96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线上参加浦东建设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2025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年半年度业绩说明会的投资者</w:t>
            </w:r>
          </w:p>
        </w:tc>
      </w:tr>
      <w:tr w:rsidR="007775D8" w14:paraId="4F3D51FE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129442E6" w14:textId="77777777" w:rsidR="007775D8" w:rsidRDefault="00F469EB">
            <w:pPr>
              <w:pStyle w:val="TableParagraph"/>
              <w:ind w:left="107"/>
              <w:jc w:val="both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3FB2C304" w14:textId="77777777" w:rsidR="007775D8" w:rsidRPr="00F469EB" w:rsidRDefault="00F469EB" w:rsidP="00F469EB">
            <w:pPr>
              <w:pStyle w:val="TableParagraph"/>
              <w:jc w:val="both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2025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年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9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月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24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日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 xml:space="preserve"> 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15:00-16:30</w:t>
            </w:r>
          </w:p>
        </w:tc>
      </w:tr>
      <w:tr w:rsidR="007775D8" w14:paraId="7191C6B3" w14:textId="77777777" w:rsidTr="00F469EB">
        <w:trPr>
          <w:trHeight w:val="525"/>
          <w:jc w:val="center"/>
        </w:trPr>
        <w:tc>
          <w:tcPr>
            <w:tcW w:w="2580" w:type="dxa"/>
            <w:vAlign w:val="center"/>
          </w:tcPr>
          <w:p w14:paraId="5613D8F8" w14:textId="77777777" w:rsidR="007775D8" w:rsidRDefault="00F469EB">
            <w:pPr>
              <w:pStyle w:val="TableParagraph"/>
              <w:ind w:left="107"/>
              <w:jc w:val="both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029069CC" w14:textId="77777777" w:rsidR="007775D8" w:rsidRPr="00F469EB" w:rsidRDefault="00F469EB" w:rsidP="00F469EB">
            <w:pPr>
              <w:pStyle w:val="TableParagraph"/>
              <w:jc w:val="both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价值在线（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www.ir-online.cn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）网络互动</w:t>
            </w:r>
          </w:p>
        </w:tc>
      </w:tr>
      <w:tr w:rsidR="007775D8" w14:paraId="683907EF" w14:textId="77777777">
        <w:trPr>
          <w:trHeight w:val="2071"/>
          <w:jc w:val="center"/>
        </w:trPr>
        <w:tc>
          <w:tcPr>
            <w:tcW w:w="2580" w:type="dxa"/>
            <w:vAlign w:val="center"/>
          </w:tcPr>
          <w:p w14:paraId="0C9F015F" w14:textId="77777777" w:rsidR="007775D8" w:rsidRDefault="00F469EB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2FBA9661" w14:textId="77777777" w:rsidR="00F469EB" w:rsidRDefault="00F469EB" w:rsidP="00F469EB">
            <w:pPr>
              <w:pStyle w:val="TableParagraph"/>
              <w:spacing w:line="560" w:lineRule="exact"/>
              <w:ind w:right="96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董事长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 xml:space="preserve"> 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杨明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先生</w:t>
            </w:r>
          </w:p>
          <w:p w14:paraId="13C968FD" w14:textId="77777777" w:rsidR="00F469EB" w:rsidRDefault="00F469EB" w:rsidP="00F469EB">
            <w:pPr>
              <w:pStyle w:val="TableParagraph"/>
              <w:spacing w:line="560" w:lineRule="exact"/>
              <w:ind w:right="96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董事、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总经理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 xml:space="preserve"> 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赵炜诚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先生</w:t>
            </w:r>
          </w:p>
          <w:p w14:paraId="0FF0FE98" w14:textId="77777777" w:rsidR="00F469EB" w:rsidRDefault="00F469EB" w:rsidP="00F469EB">
            <w:pPr>
              <w:pStyle w:val="TableParagraph"/>
              <w:spacing w:line="560" w:lineRule="exact"/>
              <w:ind w:right="96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独立董事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 xml:space="preserve"> 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李秀清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女士</w:t>
            </w:r>
          </w:p>
          <w:p w14:paraId="7C39E582" w14:textId="77777777" w:rsidR="00F469EB" w:rsidRDefault="00F469EB" w:rsidP="00F469EB">
            <w:pPr>
              <w:pStyle w:val="TableParagraph"/>
              <w:spacing w:line="560" w:lineRule="exact"/>
              <w:ind w:right="96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财务负责人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 xml:space="preserve"> 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李蕾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女士</w:t>
            </w:r>
          </w:p>
          <w:p w14:paraId="29409F68" w14:textId="1B558C2A" w:rsidR="00F469EB" w:rsidRPr="00F469EB" w:rsidRDefault="00F469EB" w:rsidP="00F469EB">
            <w:pPr>
              <w:pStyle w:val="TableParagraph"/>
              <w:spacing w:line="560" w:lineRule="exact"/>
              <w:ind w:right="96"/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</w:pP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董事会秘书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 xml:space="preserve"> </w:t>
            </w:r>
            <w:r w:rsidRPr="00F469EB"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  <w:t>陈栋</w:t>
            </w:r>
            <w:r w:rsidRPr="00F469EB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先生</w:t>
            </w:r>
          </w:p>
        </w:tc>
      </w:tr>
      <w:tr w:rsidR="007775D8" w14:paraId="2DA9D60F" w14:textId="77777777">
        <w:trPr>
          <w:trHeight w:val="2800"/>
          <w:jc w:val="center"/>
        </w:trPr>
        <w:tc>
          <w:tcPr>
            <w:tcW w:w="2580" w:type="dxa"/>
            <w:vAlign w:val="center"/>
          </w:tcPr>
          <w:p w14:paraId="6F87E170" w14:textId="77777777" w:rsidR="007775D8" w:rsidRDefault="007775D8">
            <w:pPr>
              <w:pStyle w:val="TableParagraph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56F14B17" w14:textId="77777777" w:rsidR="007775D8" w:rsidRDefault="007775D8">
            <w:pPr>
              <w:pStyle w:val="TableParagraph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751F595F" w14:textId="77777777" w:rsidR="007775D8" w:rsidRDefault="007775D8">
            <w:pPr>
              <w:pStyle w:val="TableParagraph"/>
              <w:spacing w:before="5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F97C2C5" w14:textId="77777777" w:rsidR="007775D8" w:rsidRDefault="00F469EB">
            <w:pPr>
              <w:pStyle w:val="TableParagraph"/>
              <w:spacing w:before="1" w:line="499" w:lineRule="auto"/>
              <w:ind w:left="107" w:right="96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  <w:vAlign w:val="center"/>
          </w:tcPr>
          <w:p w14:paraId="4E812561" w14:textId="77777777" w:rsidR="00F469EB" w:rsidRDefault="00F469EB" w:rsidP="00F469EB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>1.</w:t>
            </w:r>
            <w:r>
              <w:rPr>
                <w:rFonts w:ascii="宋体" w:eastAsia="宋体" w:hAnsi="宋体" w:cs="宋体"/>
                <w:b/>
                <w:sz w:val="20"/>
              </w:rPr>
              <w:t>《上海浦东建设股份有限公司关于举办</w:t>
            </w:r>
            <w:r>
              <w:rPr>
                <w:rFonts w:ascii="宋体" w:eastAsia="宋体" w:hAnsi="宋体" w:cs="宋体"/>
                <w:b/>
                <w:sz w:val="20"/>
              </w:rPr>
              <w:t>2025</w:t>
            </w:r>
            <w:r>
              <w:rPr>
                <w:rFonts w:ascii="宋体" w:eastAsia="宋体" w:hAnsi="宋体" w:cs="宋体"/>
                <w:b/>
                <w:sz w:val="20"/>
              </w:rPr>
              <w:t>年半年度业绩说明会的公告》发布及时，举办这样一个业绩说明会非常有必要。我衷心希望贵公司在新形势下踏上新征程取得新成就，始终坚持高质量发展理念，通过创新驱动和精细</w:t>
            </w:r>
            <w:proofErr w:type="gramStart"/>
            <w:r>
              <w:rPr>
                <w:rFonts w:ascii="宋体" w:eastAsia="宋体" w:hAnsi="宋体" w:cs="宋体"/>
                <w:b/>
                <w:sz w:val="20"/>
              </w:rPr>
              <w:t>化治理实现</w:t>
            </w:r>
            <w:proofErr w:type="gramEnd"/>
            <w:r>
              <w:rPr>
                <w:rFonts w:ascii="宋体" w:eastAsia="宋体" w:hAnsi="宋体" w:cs="宋体"/>
                <w:b/>
                <w:sz w:val="20"/>
              </w:rPr>
              <w:t>领跑！</w:t>
            </w:r>
          </w:p>
          <w:p w14:paraId="75548EC3" w14:textId="47F5BBEF" w:rsidR="00F469EB" w:rsidRDefault="00F469EB" w:rsidP="00F469EB">
            <w:pPr>
              <w:pStyle w:val="TableParagraph"/>
              <w:spacing w:line="360" w:lineRule="auto"/>
              <w:ind w:firstLine="405"/>
              <w:jc w:val="both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尊敬的投资者，您好！感谢您对公司的支持！</w:t>
            </w:r>
          </w:p>
          <w:p w14:paraId="1AF93C96" w14:textId="77777777" w:rsidR="00F469EB" w:rsidRDefault="00F469EB" w:rsidP="00F469EB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>2.</w:t>
            </w:r>
            <w:r>
              <w:rPr>
                <w:rFonts w:ascii="宋体" w:eastAsia="宋体" w:hAnsi="宋体" w:cs="宋体"/>
                <w:b/>
                <w:sz w:val="20"/>
              </w:rPr>
              <w:t>后续会进一步扩大智慧工地系统在</w:t>
            </w:r>
            <w:r>
              <w:rPr>
                <w:rFonts w:ascii="宋体" w:eastAsia="宋体" w:hAnsi="宋体" w:cs="宋体"/>
                <w:b/>
                <w:sz w:val="20"/>
              </w:rPr>
              <w:t>更多在建项目的应用范围吗？</w:t>
            </w:r>
          </w:p>
          <w:p w14:paraId="1FE14EEB" w14:textId="219D5BE6" w:rsidR="00F469EB" w:rsidRDefault="00F469EB" w:rsidP="00F469EB">
            <w:pPr>
              <w:pStyle w:val="TableParagraph"/>
              <w:spacing w:line="360" w:lineRule="auto"/>
              <w:ind w:firstLine="405"/>
              <w:jc w:val="both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尊敬的投资者，您好！公司智慧工地系统主要聚焦于安全生产领</w:t>
            </w:r>
            <w:r>
              <w:rPr>
                <w:rFonts w:ascii="宋体" w:eastAsia="宋体" w:hAnsi="宋体" w:cs="宋体"/>
                <w:sz w:val="20"/>
              </w:rPr>
              <w:lastRenderedPageBreak/>
              <w:t>域，通过对隐患风险的识别与上报，强化工地现场的安全管控措施。今年开始，公司在智慧工地系统中开发劳务管理模块应用，通过身份、技能、健康等多重信息的交互，降低用工风险；同时加快集成驾驶舱、无人机与</w:t>
            </w:r>
            <w:r>
              <w:rPr>
                <w:rFonts w:ascii="宋体" w:eastAsia="宋体" w:hAnsi="宋体" w:cs="宋体"/>
                <w:sz w:val="20"/>
              </w:rPr>
              <w:t>CAD</w:t>
            </w:r>
            <w:r>
              <w:rPr>
                <w:rFonts w:ascii="宋体" w:eastAsia="宋体" w:hAnsi="宋体" w:cs="宋体"/>
                <w:sz w:val="20"/>
              </w:rPr>
              <w:t>结合等功能建设，在图像识别辅助安全管理模块中引入算法，进一步提升智慧工地系统的综合服务能级。目前前述部分功能已在多个项目中开展试运行，公司将在总结经验的基础上进一步推广。感谢您对公司的关注！</w:t>
            </w:r>
          </w:p>
          <w:p w14:paraId="1E61210A" w14:textId="77777777" w:rsidR="00F469EB" w:rsidRDefault="00F469EB" w:rsidP="00F469EB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>3.</w:t>
            </w:r>
            <w:r>
              <w:rPr>
                <w:rFonts w:ascii="宋体" w:eastAsia="宋体" w:hAnsi="宋体" w:cs="宋体"/>
                <w:b/>
                <w:sz w:val="20"/>
              </w:rPr>
              <w:t>近年来商办、工业地产市场压</w:t>
            </w:r>
            <w:r>
              <w:rPr>
                <w:rFonts w:ascii="宋体" w:eastAsia="宋体" w:hAnsi="宋体" w:cs="宋体"/>
                <w:b/>
                <w:sz w:val="20"/>
              </w:rPr>
              <w:t>力逐步加大，请问公司园区开发业务上半年情况如何？</w:t>
            </w:r>
          </w:p>
          <w:p w14:paraId="5649E168" w14:textId="7F5B562B" w:rsidR="00F469EB" w:rsidRDefault="00F469EB" w:rsidP="00F469EB">
            <w:pPr>
              <w:pStyle w:val="TableParagraph"/>
              <w:spacing w:line="360" w:lineRule="auto"/>
              <w:ind w:firstLine="405"/>
              <w:jc w:val="both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尊敬的投资者，您好！</w:t>
            </w:r>
            <w:r>
              <w:rPr>
                <w:rFonts w:ascii="宋体" w:eastAsia="宋体" w:hAnsi="宋体" w:cs="宋体"/>
                <w:sz w:val="20"/>
              </w:rPr>
              <w:t xml:space="preserve">2025 </w:t>
            </w:r>
            <w:r>
              <w:rPr>
                <w:rFonts w:ascii="宋体" w:eastAsia="宋体" w:hAnsi="宋体" w:cs="宋体"/>
                <w:sz w:val="20"/>
              </w:rPr>
              <w:t>年上半年公司园区开发业务通过聚焦核心产业、强化运营能力、深化投招联动，实现了稳健增长与质量提升。截至</w:t>
            </w:r>
            <w:r>
              <w:rPr>
                <w:rFonts w:ascii="宋体" w:eastAsia="宋体" w:hAnsi="宋体" w:cs="宋体"/>
                <w:sz w:val="20"/>
              </w:rPr>
              <w:t>2025</w:t>
            </w:r>
            <w:r>
              <w:rPr>
                <w:rFonts w:ascii="宋体" w:eastAsia="宋体" w:hAnsi="宋体" w:cs="宋体"/>
                <w:sz w:val="20"/>
              </w:rPr>
              <w:t>年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月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日，园区租赁业务实现营业收入近</w:t>
            </w:r>
            <w:r>
              <w:rPr>
                <w:rFonts w:ascii="宋体" w:eastAsia="宋体" w:hAnsi="宋体" w:cs="宋体"/>
                <w:sz w:val="20"/>
              </w:rPr>
              <w:t>3,500</w:t>
            </w:r>
            <w:r>
              <w:rPr>
                <w:rFonts w:ascii="宋体" w:eastAsia="宋体" w:hAnsi="宋体" w:cs="宋体"/>
                <w:sz w:val="20"/>
              </w:rPr>
              <w:t>万元，较上年同期增长</w:t>
            </w:r>
            <w:r>
              <w:rPr>
                <w:rFonts w:ascii="宋体" w:eastAsia="宋体" w:hAnsi="宋体" w:cs="宋体"/>
                <w:sz w:val="20"/>
              </w:rPr>
              <w:t>1,900</w:t>
            </w:r>
            <w:r>
              <w:rPr>
                <w:rFonts w:ascii="宋体" w:eastAsia="宋体" w:hAnsi="宋体" w:cs="宋体"/>
                <w:sz w:val="20"/>
              </w:rPr>
              <w:t>余万元。结合上半年业务表现、当前运营基础及后续规划，公司力争在市场压力下进一步聚焦项目定位，加强客户开发，提升项目出租率，尽可能缩短项目爬坡周期。感谢您对公司的关注！</w:t>
            </w:r>
          </w:p>
          <w:p w14:paraId="2AFBC9D4" w14:textId="77777777" w:rsidR="00F469EB" w:rsidRDefault="00F469EB" w:rsidP="00F469EB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>4.</w:t>
            </w:r>
            <w:r>
              <w:rPr>
                <w:rFonts w:ascii="宋体" w:eastAsia="宋体" w:hAnsi="宋体" w:cs="宋体"/>
                <w:b/>
                <w:sz w:val="20"/>
              </w:rPr>
              <w:t>公司今年利润分配有什么打算？</w:t>
            </w:r>
          </w:p>
          <w:p w14:paraId="465D13A3" w14:textId="69D8532D" w:rsidR="007775D8" w:rsidRPr="00F469EB" w:rsidRDefault="00F469EB" w:rsidP="00F469EB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</w:rPr>
              <w:t>尊敬的投资者，您好！公司将</w:t>
            </w:r>
            <w:r>
              <w:rPr>
                <w:rFonts w:ascii="宋体" w:eastAsia="宋体" w:hAnsi="宋体" w:cs="宋体"/>
                <w:sz w:val="20"/>
              </w:rPr>
              <w:t>在满足正常经营的基础上，以当期利润为基础，编制利润分配方案，力争保持利润分配政策的连续性和稳定性，积极采取以现金为主的分红方式，将公司经营效益回馈投资者，维护公司价值及股东权益。同时，公司</w:t>
            </w:r>
            <w:r>
              <w:rPr>
                <w:rFonts w:ascii="宋体" w:eastAsia="宋体" w:hAnsi="宋体" w:cs="宋体"/>
                <w:sz w:val="20"/>
              </w:rPr>
              <w:t>2024</w:t>
            </w:r>
            <w:r>
              <w:rPr>
                <w:rFonts w:ascii="宋体" w:eastAsia="宋体" w:hAnsi="宋体" w:cs="宋体"/>
                <w:sz w:val="20"/>
              </w:rPr>
              <w:t>年年度股东大会审议通过了分红授权事项，授权董事会可择期实施中期现金分红。公司董事会将综合考虑公司业绩、市场环境、投资者预期等因素，制定本年度中期利润分配方案。感谢您对公司的关注！</w:t>
            </w:r>
          </w:p>
        </w:tc>
      </w:tr>
      <w:tr w:rsidR="007775D8" w14:paraId="5FA26BAA" w14:textId="77777777">
        <w:trPr>
          <w:trHeight w:val="999"/>
          <w:jc w:val="center"/>
        </w:trPr>
        <w:tc>
          <w:tcPr>
            <w:tcW w:w="2580" w:type="dxa"/>
            <w:vAlign w:val="center"/>
          </w:tcPr>
          <w:p w14:paraId="576C044C" w14:textId="77777777" w:rsidR="007775D8" w:rsidRDefault="00F469EB">
            <w:pPr>
              <w:pStyle w:val="TableParagraph"/>
              <w:spacing w:before="1"/>
              <w:ind w:left="107"/>
              <w:jc w:val="both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6281451C" w14:textId="77777777" w:rsidR="007775D8" w:rsidRDefault="00F469EB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51E10D91" w14:textId="77777777" w:rsidR="007775D8" w:rsidRPr="00F469EB" w:rsidRDefault="00F469EB" w:rsidP="00F469EB">
            <w:pPr>
              <w:pStyle w:val="TableParagraph"/>
              <w:spacing w:before="1"/>
              <w:jc w:val="both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F469EB">
              <w:rPr>
                <w:rFonts w:ascii="宋体" w:eastAsia="宋体" w:hAnsi="宋体" w:cs="宋体" w:hint="eastAsia"/>
                <w:bCs/>
                <w:sz w:val="20"/>
                <w:szCs w:val="20"/>
              </w:rPr>
              <w:t>本次活动不涉及未公开披露的重大信息。</w:t>
            </w:r>
          </w:p>
        </w:tc>
      </w:tr>
      <w:tr w:rsidR="007775D8" w14:paraId="77A5A6A6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58861241" w14:textId="77777777" w:rsidR="007775D8" w:rsidRDefault="00F469EB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5EC80C4B" w14:textId="77777777" w:rsidR="007775D8" w:rsidRPr="00F469EB" w:rsidRDefault="00F469EB" w:rsidP="00F469EB">
            <w:pPr>
              <w:pStyle w:val="TableParagraph"/>
              <w:spacing w:before="1"/>
              <w:jc w:val="both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F469EB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无</w:t>
            </w:r>
          </w:p>
        </w:tc>
      </w:tr>
      <w:tr w:rsidR="007775D8" w14:paraId="36091C56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38996EA8" w14:textId="77777777" w:rsidR="007775D8" w:rsidRDefault="00F469EB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223D92C6" w14:textId="3863ABF3" w:rsidR="007775D8" w:rsidRPr="00F469EB" w:rsidRDefault="00F469EB" w:rsidP="00F469EB">
            <w:pPr>
              <w:pStyle w:val="TableParagraph"/>
              <w:spacing w:before="1"/>
              <w:jc w:val="both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F469EB">
              <w:rPr>
                <w:rFonts w:ascii="宋体" w:eastAsia="宋体" w:hAnsi="宋体" w:cs="宋体"/>
                <w:bCs/>
                <w:sz w:val="20"/>
                <w:szCs w:val="20"/>
              </w:rPr>
              <w:t>2025</w:t>
            </w:r>
            <w:r w:rsidRPr="00F469EB">
              <w:rPr>
                <w:rFonts w:ascii="宋体" w:eastAsia="宋体" w:hAnsi="宋体" w:cs="宋体"/>
                <w:bCs/>
                <w:sz w:val="20"/>
                <w:szCs w:val="20"/>
              </w:rPr>
              <w:t>年</w:t>
            </w:r>
            <w:r w:rsidRPr="00F469EB">
              <w:rPr>
                <w:rFonts w:ascii="宋体" w:eastAsia="宋体" w:hAnsi="宋体" w:cs="宋体"/>
                <w:bCs/>
                <w:sz w:val="20"/>
                <w:szCs w:val="20"/>
              </w:rPr>
              <w:t>9</w:t>
            </w:r>
            <w:r w:rsidRPr="00F469EB">
              <w:rPr>
                <w:rFonts w:ascii="宋体" w:eastAsia="宋体" w:hAnsi="宋体" w:cs="宋体"/>
                <w:bCs/>
                <w:sz w:val="20"/>
                <w:szCs w:val="20"/>
              </w:rPr>
              <w:t>月</w:t>
            </w:r>
            <w:r w:rsidRPr="00F469EB">
              <w:rPr>
                <w:rFonts w:ascii="宋体" w:eastAsia="宋体" w:hAnsi="宋体" w:cs="宋体"/>
                <w:bCs/>
                <w:sz w:val="20"/>
                <w:szCs w:val="20"/>
              </w:rPr>
              <w:t>24</w:t>
            </w:r>
            <w:r w:rsidRPr="00F469EB">
              <w:rPr>
                <w:rFonts w:ascii="宋体" w:eastAsia="宋体" w:hAnsi="宋体" w:cs="宋体"/>
                <w:bCs/>
                <w:sz w:val="20"/>
                <w:szCs w:val="20"/>
              </w:rPr>
              <w:t>日</w:t>
            </w:r>
          </w:p>
        </w:tc>
      </w:tr>
    </w:tbl>
    <w:p w14:paraId="2F413B3C" w14:textId="77777777" w:rsidR="007775D8" w:rsidRDefault="007775D8">
      <w:pPr>
        <w:rPr>
          <w:rFonts w:ascii="宋体" w:eastAsia="宋体" w:hAnsi="宋体" w:cs="宋体"/>
          <w:sz w:val="28"/>
          <w:szCs w:val="36"/>
        </w:rPr>
      </w:pPr>
    </w:p>
    <w:sectPr w:rsidR="007775D8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775D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469EB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6736E44"/>
    <w:rsid w:val="389C49C0"/>
    <w:rsid w:val="39BC78F4"/>
    <w:rsid w:val="3B35486F"/>
    <w:rsid w:val="3CA54F2D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DDB3C"/>
  <w15:docId w15:val="{A64DBE25-E15E-429D-AD10-8FAE2BD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ED62-3AF0-4C3B-AEE7-F79C5D44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dell</cp:lastModifiedBy>
  <cp:revision>8</cp:revision>
  <dcterms:created xsi:type="dcterms:W3CDTF">2022-04-12T06:10:00Z</dcterms:created>
  <dcterms:modified xsi:type="dcterms:W3CDTF">2025-09-25T05:33:00Z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eyJoZGlkIjoiYzVjMjJkNzNmNTVmNGIyYjM5MDYyMDRhNjQzNjZmOTgiLCJ1c2VySWQiOiI1MDY0NjY3MzMifQ==</vt:lpwstr>
  </property>
</Properties>
</file>