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F5" w:rsidRDefault="00FE26E4">
      <w:pPr>
        <w:adjustRightInd w:val="0"/>
        <w:snapToGrid w:val="0"/>
        <w:spacing w:line="600" w:lineRule="exact"/>
        <w:jc w:val="center"/>
        <w:rPr>
          <w:rFonts w:ascii="宋体" w:eastAsia="宋体" w:hAnsi="宋体" w:cs="Arial"/>
          <w:bCs/>
          <w:sz w:val="28"/>
          <w:szCs w:val="28"/>
        </w:rPr>
      </w:pPr>
      <w:bookmarkStart w:id="0" w:name="_Hlk61459020"/>
      <w:r>
        <w:rPr>
          <w:rFonts w:ascii="宋体" w:eastAsia="宋体" w:hAnsi="宋体" w:cs="Arial"/>
          <w:bCs/>
          <w:sz w:val="28"/>
          <w:szCs w:val="28"/>
        </w:rPr>
        <w:t>证券</w:t>
      </w:r>
      <w:r>
        <w:rPr>
          <w:rFonts w:ascii="宋体" w:eastAsia="宋体" w:hAnsi="宋体" w:cs="Arial" w:hint="eastAsia"/>
          <w:bCs/>
          <w:sz w:val="28"/>
          <w:szCs w:val="28"/>
        </w:rPr>
        <w:t>代码</w:t>
      </w:r>
      <w:r>
        <w:rPr>
          <w:rFonts w:ascii="宋体" w:eastAsia="宋体" w:hAnsi="宋体" w:cs="Courier New"/>
          <w:bCs/>
          <w:sz w:val="28"/>
          <w:szCs w:val="28"/>
        </w:rPr>
        <w:t>:</w:t>
      </w:r>
      <w:r>
        <w:rPr>
          <w:rFonts w:ascii="宋体" w:eastAsia="宋体" w:hAnsi="宋体" w:cs="Arial"/>
          <w:bCs/>
          <w:sz w:val="28"/>
          <w:szCs w:val="28"/>
        </w:rPr>
        <w:t xml:space="preserve"> </w:t>
      </w:r>
      <w:r>
        <w:rPr>
          <w:rFonts w:ascii="宋体" w:eastAsia="宋体" w:hAnsi="宋体" w:cs="Arial" w:hint="eastAsia"/>
          <w:bCs/>
          <w:sz w:val="28"/>
          <w:szCs w:val="28"/>
        </w:rPr>
        <w:t xml:space="preserve">688136 </w:t>
      </w:r>
      <w:r>
        <w:rPr>
          <w:rFonts w:ascii="宋体" w:eastAsia="宋体" w:hAnsi="宋体" w:cs="Arial"/>
          <w:bCs/>
          <w:sz w:val="28"/>
          <w:szCs w:val="28"/>
        </w:rPr>
        <w:t xml:space="preserve">                        证券</w:t>
      </w:r>
      <w:r>
        <w:rPr>
          <w:rFonts w:ascii="宋体" w:eastAsia="宋体" w:hAnsi="宋体" w:cs="Arial" w:hint="eastAsia"/>
          <w:bCs/>
          <w:sz w:val="28"/>
          <w:szCs w:val="28"/>
        </w:rPr>
        <w:t>简称</w:t>
      </w:r>
      <w:r>
        <w:rPr>
          <w:rFonts w:ascii="宋体" w:eastAsia="宋体" w:hAnsi="宋体" w:cs="Arial"/>
          <w:bCs/>
          <w:sz w:val="28"/>
          <w:szCs w:val="28"/>
        </w:rPr>
        <w:t>：</w:t>
      </w:r>
      <w:r>
        <w:rPr>
          <w:rFonts w:ascii="宋体" w:eastAsia="宋体" w:hAnsi="宋体" w:cs="Arial" w:hint="eastAsia"/>
          <w:bCs/>
          <w:sz w:val="28"/>
          <w:szCs w:val="28"/>
        </w:rPr>
        <w:t>科兴制药</w:t>
      </w:r>
      <w:r>
        <w:rPr>
          <w:rFonts w:ascii="宋体" w:eastAsia="宋体" w:hAnsi="宋体" w:cs="Arial"/>
          <w:bCs/>
          <w:sz w:val="28"/>
          <w:szCs w:val="28"/>
        </w:rPr>
        <w:t xml:space="preserve">   </w:t>
      </w:r>
    </w:p>
    <w:p w:rsidR="002B19F5" w:rsidRDefault="00FE26E4">
      <w:pPr>
        <w:adjustRightInd w:val="0"/>
        <w:snapToGrid w:val="0"/>
        <w:spacing w:line="600" w:lineRule="exact"/>
        <w:jc w:val="center"/>
        <w:rPr>
          <w:rFonts w:ascii="宋体" w:eastAsia="宋体" w:hAnsi="宋体" w:cs="Arial"/>
          <w:b/>
          <w:bCs/>
          <w:sz w:val="28"/>
          <w:szCs w:val="28"/>
        </w:rPr>
      </w:pPr>
      <w:r>
        <w:rPr>
          <w:rFonts w:ascii="宋体" w:eastAsia="宋体" w:hAnsi="宋体" w:cs="Arial" w:hint="eastAsia"/>
          <w:b/>
          <w:bCs/>
          <w:sz w:val="28"/>
          <w:szCs w:val="28"/>
        </w:rPr>
        <w:t>科兴生物制药股份有限公司投资者关系活动记录表</w:t>
      </w:r>
    </w:p>
    <w:p w:rsidR="002B19F5" w:rsidRDefault="00FE26E4">
      <w:pPr>
        <w:adjustRightInd w:val="0"/>
        <w:snapToGrid w:val="0"/>
        <w:spacing w:line="600" w:lineRule="exact"/>
        <w:jc w:val="right"/>
        <w:rPr>
          <w:rFonts w:ascii="宋体" w:eastAsia="宋体" w:hAnsi="宋体" w:cs="Arial"/>
          <w:b/>
          <w:bCs/>
          <w:sz w:val="28"/>
          <w:szCs w:val="28"/>
        </w:rPr>
      </w:pPr>
      <w:r>
        <w:rPr>
          <w:rFonts w:ascii="宋体" w:eastAsia="宋体" w:hAnsi="宋体" w:cs="Arial" w:hint="eastAsia"/>
          <w:bCs/>
          <w:sz w:val="28"/>
          <w:szCs w:val="28"/>
        </w:rPr>
        <w:t>编号：2025-005</w:t>
      </w:r>
    </w:p>
    <w:tbl>
      <w:tblPr>
        <w:tblStyle w:val="af"/>
        <w:tblpPr w:leftFromText="180" w:rightFromText="180" w:vertAnchor="page" w:horzAnchor="margin" w:tblpY="3507"/>
        <w:tblW w:w="0" w:type="auto"/>
        <w:tblLook w:val="04A0" w:firstRow="1" w:lastRow="0" w:firstColumn="1" w:lastColumn="0" w:noHBand="0" w:noVBand="1"/>
      </w:tblPr>
      <w:tblGrid>
        <w:gridCol w:w="1223"/>
        <w:gridCol w:w="7073"/>
      </w:tblGrid>
      <w:tr w:rsidR="002B19F5">
        <w:tc>
          <w:tcPr>
            <w:tcW w:w="0" w:type="auto"/>
            <w:vAlign w:val="center"/>
          </w:tcPr>
          <w:p w:rsidR="002B19F5" w:rsidRDefault="00FE26E4">
            <w:pPr>
              <w:widowControl/>
              <w:rPr>
                <w:rFonts w:ascii="宋体" w:eastAsia="宋体" w:hAnsi="宋体"/>
                <w:sz w:val="24"/>
                <w:szCs w:val="28"/>
              </w:rPr>
            </w:pPr>
            <w:r>
              <w:rPr>
                <w:rFonts w:ascii="宋体" w:eastAsia="宋体" w:hAnsi="宋体"/>
                <w:sz w:val="24"/>
                <w:szCs w:val="28"/>
              </w:rPr>
              <w:t>投资者关系活动类别</w:t>
            </w:r>
          </w:p>
        </w:tc>
        <w:tc>
          <w:tcPr>
            <w:tcW w:w="0" w:type="auto"/>
          </w:tcPr>
          <w:p w:rsidR="002B19F5" w:rsidRDefault="00FE26E4">
            <w:pPr>
              <w:rPr>
                <w:rFonts w:ascii="宋体" w:eastAsia="宋体" w:hAnsi="宋体"/>
                <w:sz w:val="24"/>
                <w:szCs w:val="28"/>
              </w:rPr>
            </w:pPr>
            <w:r>
              <w:rPr>
                <w:rFonts w:ascii="宋体" w:eastAsia="宋体" w:hAnsi="宋体"/>
                <w:sz w:val="24"/>
                <w:szCs w:val="28"/>
              </w:rPr>
              <w:sym w:font="Wingdings 2" w:char="00A3"/>
            </w:r>
            <w:r>
              <w:rPr>
                <w:rFonts w:ascii="宋体" w:eastAsia="宋体" w:hAnsi="宋体" w:hint="eastAsia"/>
                <w:sz w:val="24"/>
                <w:szCs w:val="28"/>
              </w:rPr>
              <w:t>特定对象调研</w:t>
            </w:r>
            <w:r>
              <w:rPr>
                <w:rFonts w:ascii="宋体" w:eastAsia="宋体" w:hAnsi="宋体"/>
                <w:sz w:val="24"/>
                <w:szCs w:val="28"/>
              </w:rPr>
              <w:t xml:space="preserve"> </w:t>
            </w:r>
            <w:r>
              <w:rPr>
                <w:rFonts w:ascii="宋体" w:eastAsia="宋体" w:hAnsi="宋体"/>
                <w:sz w:val="24"/>
                <w:szCs w:val="28"/>
              </w:rPr>
              <w:sym w:font="Wingdings 2" w:char="00A3"/>
            </w:r>
            <w:r>
              <w:rPr>
                <w:rFonts w:ascii="宋体" w:eastAsia="宋体" w:hAnsi="宋体"/>
                <w:sz w:val="24"/>
                <w:szCs w:val="28"/>
              </w:rPr>
              <w:t>分析师会议</w:t>
            </w:r>
            <w:r>
              <w:rPr>
                <w:rFonts w:ascii="宋体" w:eastAsia="宋体" w:hAnsi="宋体" w:hint="eastAsia"/>
                <w:sz w:val="24"/>
                <w:szCs w:val="28"/>
              </w:rPr>
              <w:t xml:space="preserve"> </w:t>
            </w:r>
            <w:r>
              <w:rPr>
                <w:rFonts w:ascii="宋体" w:eastAsia="宋体" w:hAnsi="宋体"/>
                <w:sz w:val="24"/>
                <w:szCs w:val="28"/>
              </w:rPr>
              <w:t xml:space="preserve">□媒体采访 </w:t>
            </w:r>
            <w:r>
              <w:rPr>
                <w:rFonts w:ascii="宋体" w:eastAsia="宋体" w:hAnsi="宋体"/>
                <w:sz w:val="24"/>
                <w:szCs w:val="28"/>
              </w:rPr>
              <w:sym w:font="Wingdings 2" w:char="00A3"/>
            </w:r>
            <w:r>
              <w:rPr>
                <w:rFonts w:ascii="宋体" w:eastAsia="宋体" w:hAnsi="宋体"/>
                <w:sz w:val="24"/>
                <w:szCs w:val="28"/>
              </w:rPr>
              <w:t>业绩说明会</w:t>
            </w:r>
            <w:r>
              <w:rPr>
                <w:rFonts w:ascii="宋体" w:eastAsia="宋体" w:hAnsi="宋体" w:hint="eastAsia"/>
                <w:sz w:val="24"/>
                <w:szCs w:val="28"/>
              </w:rPr>
              <w:t xml:space="preserve"> </w:t>
            </w:r>
            <w:r>
              <w:rPr>
                <w:rFonts w:ascii="宋体" w:eastAsia="宋体" w:hAnsi="宋体"/>
                <w:sz w:val="24"/>
                <w:szCs w:val="28"/>
              </w:rPr>
              <w:t>□新闻发布会 □路演活动</w:t>
            </w:r>
            <w:r>
              <w:rPr>
                <w:rFonts w:ascii="宋体" w:eastAsia="宋体" w:hAnsi="宋体" w:hint="eastAsia"/>
                <w:sz w:val="24"/>
                <w:szCs w:val="28"/>
              </w:rPr>
              <w:t xml:space="preserve"> </w:t>
            </w:r>
            <w:r>
              <w:rPr>
                <w:rFonts w:ascii="宋体" w:eastAsia="宋体" w:hAnsi="宋体"/>
                <w:sz w:val="24"/>
                <w:szCs w:val="28"/>
              </w:rPr>
              <w:sym w:font="Wingdings 2" w:char="00A3"/>
            </w:r>
            <w:r>
              <w:rPr>
                <w:rFonts w:ascii="宋体" w:eastAsia="宋体" w:hAnsi="宋体"/>
                <w:sz w:val="24"/>
                <w:szCs w:val="28"/>
              </w:rPr>
              <w:t>现场参观</w:t>
            </w:r>
            <w:r>
              <w:rPr>
                <w:rFonts w:ascii="宋体" w:eastAsia="宋体" w:hAnsi="宋体" w:hint="eastAsia"/>
                <w:sz w:val="24"/>
                <w:szCs w:val="28"/>
              </w:rPr>
              <w:t>☑</w:t>
            </w:r>
            <w:r>
              <w:rPr>
                <w:rFonts w:ascii="宋体" w:eastAsia="宋体" w:hAnsi="宋体"/>
                <w:sz w:val="24"/>
                <w:szCs w:val="28"/>
              </w:rPr>
              <w:t>其他（</w:t>
            </w:r>
            <w:r>
              <w:rPr>
                <w:rFonts w:ascii="宋体" w:eastAsia="宋体" w:hAnsi="宋体" w:hint="eastAsia"/>
                <w:sz w:val="24"/>
                <w:szCs w:val="28"/>
              </w:rPr>
              <w:t>线上交流</w:t>
            </w:r>
            <w:r>
              <w:rPr>
                <w:rFonts w:ascii="宋体" w:eastAsia="宋体" w:hAnsi="宋体"/>
                <w:sz w:val="24"/>
                <w:szCs w:val="28"/>
              </w:rPr>
              <w:t>）</w:t>
            </w:r>
          </w:p>
        </w:tc>
      </w:tr>
      <w:tr w:rsidR="002B19F5">
        <w:trPr>
          <w:trHeight w:val="739"/>
        </w:trPr>
        <w:tc>
          <w:tcPr>
            <w:tcW w:w="0" w:type="auto"/>
            <w:vAlign w:val="center"/>
          </w:tcPr>
          <w:p w:rsidR="002B19F5" w:rsidRDefault="00FE26E4">
            <w:pPr>
              <w:rPr>
                <w:rFonts w:ascii="宋体" w:eastAsia="宋体" w:hAnsi="宋体"/>
                <w:sz w:val="24"/>
                <w:szCs w:val="28"/>
              </w:rPr>
            </w:pPr>
            <w:r>
              <w:rPr>
                <w:rFonts w:ascii="宋体" w:eastAsia="宋体" w:hAnsi="宋体"/>
                <w:sz w:val="24"/>
                <w:szCs w:val="28"/>
              </w:rPr>
              <w:t>参与单位名称及人员姓名</w:t>
            </w:r>
          </w:p>
        </w:tc>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东方红资管、银华基金、国联基金、深圳红筹投资、轩汉投资、兴银理财、泰康资产、银河基金、易方达基金、兴银理财、招商基金、东吴基金、光大保德信、长盛基金、容光投资、中加基金、中航基金、WL Fund、华宝基金、平安资管、泰康资管、中金证券、首创证券。</w:t>
            </w:r>
          </w:p>
        </w:tc>
      </w:tr>
      <w:tr w:rsidR="002B19F5">
        <w:trPr>
          <w:trHeight w:val="497"/>
        </w:trPr>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时间</w:t>
            </w:r>
          </w:p>
        </w:tc>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2025年9月24日 10：00-11：00</w:t>
            </w:r>
          </w:p>
        </w:tc>
      </w:tr>
      <w:tr w:rsidR="002B19F5">
        <w:trPr>
          <w:trHeight w:val="532"/>
        </w:trPr>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地点</w:t>
            </w:r>
          </w:p>
        </w:tc>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腾讯会议</w:t>
            </w:r>
          </w:p>
        </w:tc>
      </w:tr>
      <w:tr w:rsidR="002B19F5" w:rsidTr="00FE26E4">
        <w:tc>
          <w:tcPr>
            <w:tcW w:w="0" w:type="auto"/>
            <w:vAlign w:val="center"/>
          </w:tcPr>
          <w:p w:rsidR="002B19F5" w:rsidRDefault="00FE26E4">
            <w:pPr>
              <w:rPr>
                <w:rFonts w:ascii="宋体" w:eastAsia="宋体" w:hAnsi="宋体"/>
                <w:sz w:val="24"/>
                <w:szCs w:val="28"/>
              </w:rPr>
            </w:pPr>
            <w:r>
              <w:rPr>
                <w:rFonts w:ascii="宋体" w:eastAsia="宋体" w:hAnsi="宋体" w:hint="eastAsia"/>
                <w:sz w:val="24"/>
                <w:szCs w:val="28"/>
              </w:rPr>
              <w:t>上市公司接待人员姓名</w:t>
            </w:r>
          </w:p>
        </w:tc>
        <w:tc>
          <w:tcPr>
            <w:tcW w:w="0" w:type="auto"/>
            <w:vAlign w:val="center"/>
          </w:tcPr>
          <w:p w:rsidR="002B19F5" w:rsidRDefault="00FE26E4" w:rsidP="00FE26E4">
            <w:pPr>
              <w:rPr>
                <w:rFonts w:ascii="宋体" w:eastAsia="宋体" w:hAnsi="宋体"/>
                <w:sz w:val="24"/>
                <w:szCs w:val="28"/>
              </w:rPr>
            </w:pPr>
            <w:r>
              <w:rPr>
                <w:rFonts w:ascii="宋体" w:eastAsia="宋体" w:hAnsi="宋体" w:hint="eastAsia"/>
                <w:sz w:val="24"/>
                <w:szCs w:val="28"/>
              </w:rPr>
              <w:t>1、董事、董秘兼财务总监  王小琴</w:t>
            </w:r>
          </w:p>
          <w:p w:rsidR="002B19F5" w:rsidRDefault="00FE26E4" w:rsidP="00FE26E4">
            <w:pPr>
              <w:rPr>
                <w:rFonts w:ascii="宋体" w:eastAsia="宋体" w:hAnsi="宋体"/>
                <w:sz w:val="24"/>
                <w:szCs w:val="28"/>
              </w:rPr>
            </w:pPr>
            <w:r>
              <w:rPr>
                <w:rFonts w:ascii="宋体" w:eastAsia="宋体" w:hAnsi="宋体" w:hint="eastAsia"/>
                <w:sz w:val="24"/>
                <w:szCs w:val="28"/>
              </w:rPr>
              <w:t>2、IRD                   段小霞</w:t>
            </w:r>
          </w:p>
        </w:tc>
      </w:tr>
      <w:tr w:rsidR="002B19F5">
        <w:tc>
          <w:tcPr>
            <w:tcW w:w="0" w:type="auto"/>
            <w:gridSpan w:val="2"/>
          </w:tcPr>
          <w:p w:rsidR="002B19F5" w:rsidRDefault="00FE26E4">
            <w:pPr>
              <w:widowControl/>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lang w:bidi="ar"/>
              </w:rPr>
              <w:t>公司于2025年9月24举行线上交流会，就公司近期经营情况、创新药进展、海外商业化布局等与投资者进行了互动交流。</w:t>
            </w:r>
          </w:p>
          <w:p w:rsidR="002B19F5" w:rsidRDefault="00FE26E4">
            <w:pPr>
              <w:widowControl/>
              <w:shd w:val="clear" w:color="auto" w:fill="FFFFFF"/>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一、公司近期创新药及经营情况进展</w:t>
            </w:r>
          </w:p>
          <w:p w:rsidR="002B19F5" w:rsidRDefault="00FE26E4">
            <w:pPr>
              <w:widowControl/>
              <w:shd w:val="clear" w:color="auto" w:fill="FFFFFF"/>
              <w:spacing w:line="360" w:lineRule="auto"/>
              <w:ind w:firstLineChars="200" w:firstLine="480"/>
              <w:rPr>
                <w:rFonts w:ascii="宋体" w:eastAsia="宋体" w:hAnsi="宋体" w:cs="宋体"/>
                <w:b/>
                <w:bCs/>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b/>
                <w:bCs/>
                <w:color w:val="000000"/>
                <w:sz w:val="24"/>
                <w:szCs w:val="24"/>
              </w:rPr>
              <w:t xml:space="preserve"> 1、公司首个创新药管线纳入突破性疗法</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2025年9月22日，公司管线</w:t>
            </w:r>
            <w:r>
              <w:rPr>
                <w:rFonts w:ascii="宋体" w:eastAsia="宋体" w:hAnsi="宋体" w:cs="宋体"/>
                <w:color w:val="000000"/>
                <w:sz w:val="24"/>
                <w:szCs w:val="24"/>
              </w:rPr>
              <w:t>人干扰素α1b吸入溶液被国家药品监督管理局药品</w:t>
            </w:r>
            <w:r>
              <w:rPr>
                <w:rFonts w:ascii="宋体" w:eastAsia="宋体" w:hAnsi="宋体" w:cs="宋体" w:hint="eastAsia"/>
                <w:color w:val="000000"/>
                <w:sz w:val="24"/>
                <w:szCs w:val="24"/>
              </w:rPr>
              <w:t>（CDE）</w:t>
            </w:r>
            <w:r>
              <w:rPr>
                <w:rFonts w:ascii="宋体" w:eastAsia="宋体" w:hAnsi="宋体" w:cs="宋体"/>
                <w:color w:val="000000"/>
                <w:sz w:val="24"/>
                <w:szCs w:val="24"/>
              </w:rPr>
              <w:t>审评中心纳入突破性治疗品种名单</w:t>
            </w:r>
            <w:r>
              <w:rPr>
                <w:rFonts w:ascii="宋体" w:eastAsia="宋体" w:hAnsi="宋体" w:cs="宋体" w:hint="eastAsia"/>
                <w:color w:val="000000"/>
                <w:sz w:val="24"/>
                <w:szCs w:val="24"/>
              </w:rPr>
              <w:t>，作为儿童呼吸道合胞病毒（RSV）专用药，有望成为全球首款干扰素吸入制剂，为全球儿童呼吸道感染提供新的解决方案。</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根据</w:t>
            </w:r>
            <w:r>
              <w:rPr>
                <w:rFonts w:ascii="宋体" w:eastAsia="宋体" w:hAnsi="宋体" w:cs="宋体"/>
                <w:color w:val="000000"/>
                <w:sz w:val="24"/>
                <w:szCs w:val="24"/>
              </w:rPr>
              <w:t>Morgan Stanley</w:t>
            </w:r>
            <w:r>
              <w:rPr>
                <w:rFonts w:ascii="宋体" w:eastAsia="宋体" w:hAnsi="宋体" w:cs="宋体" w:hint="eastAsia"/>
                <w:color w:val="000000"/>
                <w:sz w:val="24"/>
                <w:szCs w:val="24"/>
              </w:rPr>
              <w:t>的预测，全球RSV治疗市场规模将从2025年21亿美元增长至2030年的89亿美元，年复合增长率达33%。儿童专用吸入溶液制剂尚未有产品上市，公司的</w:t>
            </w:r>
            <w:r>
              <w:rPr>
                <w:rFonts w:ascii="宋体" w:eastAsia="宋体" w:hAnsi="宋体" w:cs="宋体"/>
                <w:color w:val="000000"/>
                <w:sz w:val="24"/>
                <w:szCs w:val="24"/>
              </w:rPr>
              <w:t>干扰素α1b吸入溶液</w:t>
            </w:r>
            <w:r>
              <w:rPr>
                <w:rFonts w:ascii="宋体" w:eastAsia="宋体" w:hAnsi="宋体" w:cs="宋体" w:hint="eastAsia"/>
                <w:color w:val="000000"/>
                <w:sz w:val="24"/>
                <w:szCs w:val="24"/>
              </w:rPr>
              <w:t>将快速填补市场空白，结合多年短效干扰素销售的品牌影响力、营销网络等优势快速打开市场，获得先发优势。</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lastRenderedPageBreak/>
              <w:t>目前，</w:t>
            </w:r>
            <w:r>
              <w:rPr>
                <w:rFonts w:ascii="宋体" w:eastAsia="宋体" w:hAnsi="宋体" w:cs="宋体"/>
                <w:color w:val="000000"/>
                <w:sz w:val="24"/>
                <w:szCs w:val="24"/>
              </w:rPr>
              <w:t>人干扰素α1b吸入溶液III期临床试验</w:t>
            </w:r>
            <w:r>
              <w:rPr>
                <w:rFonts w:ascii="宋体" w:eastAsia="宋体" w:hAnsi="宋体" w:cs="宋体" w:hint="eastAsia"/>
                <w:color w:val="000000"/>
                <w:sz w:val="24"/>
                <w:szCs w:val="24"/>
              </w:rPr>
              <w:t>顺利推进中，公司计划通过滚动递交研究资料的形式向CDE申报本品的药品上市许可申请，有望加速其后续上市进程。</w:t>
            </w:r>
          </w:p>
          <w:p w:rsidR="002B19F5" w:rsidRDefault="00FE26E4">
            <w:pPr>
              <w:widowControl/>
              <w:shd w:val="clear" w:color="auto" w:fill="FFFFFF"/>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2、其他差异化创新药进展</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2025年，围绕肿瘤、自免、代谢等领域，公司创新研发持续推进，差异化抗体平台前景广阔，前瞻布局自免双抗方向。公司基于KX-FUSION蛋白药物、KX-BODY抗体药物等技术平台，布局了一系列差异化的创新管线。</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GB18（GDF15单抗）用于肿瘤恶病质的治疗，目前已获得中美IND批准，已启动Ⅰ期临床；GB12（IL-4R/IL-31双特异性纳米抗体）用于治疗特应性皮炎，临床前数据显示，GB12在炎症和瘙痒指标上均具有显著优势，有望解决临床痛点；GB20（TL1A）与GB24（TL1A/LIGHT）用于治疗炎症性肠病，GB20的PCC分子具有良好体内外活性，在动物模型上显示出良好的缓解IBD症状与改善肠道功能和细微结构的效果。 GB26（系统性红斑狼疮）同时靶向三条通路，兼顾两群细胞，从根本解决系统性红斑狼疮发病机制，实现"精准缓解”。</w:t>
            </w:r>
          </w:p>
          <w:p w:rsidR="002B19F5" w:rsidRDefault="00FE26E4">
            <w:pPr>
              <w:widowControl/>
              <w:shd w:val="clear" w:color="auto" w:fill="FFFFFF"/>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3、经营进展</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2025年上半年，公司归母净利润高速增长，销售费用率大幅优化。公司实现营业收入7.00亿元，同比减少7.82%；归母净利润0.80亿元，同比增长</w:t>
            </w:r>
            <w:r w:rsidR="006E5257">
              <w:rPr>
                <w:rFonts w:ascii="宋体" w:eastAsia="宋体" w:hAnsi="宋体" w:cs="宋体" w:hint="eastAsia"/>
                <w:color w:val="000000"/>
                <w:sz w:val="24"/>
                <w:szCs w:val="24"/>
              </w:rPr>
              <w:t>约</w:t>
            </w:r>
            <w:r>
              <w:rPr>
                <w:rFonts w:ascii="宋体" w:eastAsia="宋体" w:hAnsi="宋体" w:cs="宋体" w:hint="eastAsia"/>
                <w:color w:val="000000"/>
                <w:sz w:val="24"/>
                <w:szCs w:val="24"/>
              </w:rPr>
              <w:t>576%；扣非归母净利润0.45亿元，同比增长</w:t>
            </w:r>
            <w:r w:rsidR="006E5257">
              <w:rPr>
                <w:rFonts w:ascii="宋体" w:eastAsia="宋体" w:hAnsi="宋体" w:cs="宋体" w:hint="eastAsia"/>
                <w:color w:val="000000"/>
                <w:sz w:val="24"/>
                <w:szCs w:val="24"/>
              </w:rPr>
              <w:t>约</w:t>
            </w:r>
            <w:r>
              <w:rPr>
                <w:rFonts w:ascii="宋体" w:eastAsia="宋体" w:hAnsi="宋体" w:cs="宋体" w:hint="eastAsia"/>
                <w:color w:val="000000"/>
                <w:sz w:val="24"/>
                <w:szCs w:val="24"/>
              </w:rPr>
              <w:t>110%；经营活动产生的现金流量净额0.30亿元，同比增长</w:t>
            </w:r>
            <w:r w:rsidR="006E5257">
              <w:rPr>
                <w:rFonts w:ascii="宋体" w:eastAsia="宋体" w:hAnsi="宋体" w:cs="宋体" w:hint="eastAsia"/>
                <w:color w:val="000000"/>
                <w:sz w:val="24"/>
                <w:szCs w:val="24"/>
              </w:rPr>
              <w:t>约</w:t>
            </w:r>
            <w:bookmarkStart w:id="1" w:name="_GoBack"/>
            <w:bookmarkEnd w:id="1"/>
            <w:r>
              <w:rPr>
                <w:rFonts w:ascii="宋体" w:eastAsia="宋体" w:hAnsi="宋体" w:cs="宋体" w:hint="eastAsia"/>
                <w:color w:val="000000"/>
                <w:sz w:val="24"/>
                <w:szCs w:val="24"/>
              </w:rPr>
              <w:t>188%。公司持续聚焦“精准配置、降本增效”，通过推行全业务链条的精益管理，不断提升运营效能，2025年上半年销售费用率为36.40%，同比下降7.67pct；管理费用率6.20%，同比增加0.65pct；研发费用11.66%，同比增加1.09pct。</w:t>
            </w:r>
          </w:p>
          <w:p w:rsidR="002B19F5" w:rsidRDefault="00FE26E4">
            <w:pPr>
              <w:widowControl/>
              <w:shd w:val="clear" w:color="auto" w:fill="FFFFFF"/>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在欧盟市场深耕方面，欧盟战略合作深化，公司把握高端生物类似药窗口期，构筑海外增长新引擎。公司于近期与上海澳斯康生物制药有限公司达成战略合作关系，合作研发KXBS001高端生物类似药，公司将结合在欧盟市场的先发渠道优势，积极抓住欧盟高端生物类似药快速增长的市场机会，为公司海外业务的持续增长谋篇布局。</w:t>
            </w:r>
          </w:p>
          <w:p w:rsidR="002B19F5" w:rsidRDefault="00FE26E4">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二、现场问答</w:t>
            </w:r>
          </w:p>
          <w:p w:rsidR="002B19F5" w:rsidRDefault="00FE26E4">
            <w:pPr>
              <w:widowControl/>
              <w:shd w:val="clear" w:color="auto" w:fill="FFFFFF"/>
              <w:spacing w:line="360" w:lineRule="auto"/>
              <w:ind w:firstLineChars="200" w:firstLine="480"/>
              <w:rPr>
                <w:rFonts w:ascii="宋体" w:eastAsia="宋体" w:hAnsi="宋体" w:cs="宋体"/>
                <w:b/>
                <w:bCs/>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b/>
                <w:bCs/>
                <w:color w:val="000000"/>
                <w:sz w:val="24"/>
                <w:szCs w:val="24"/>
              </w:rPr>
              <w:t xml:space="preserve"> 1、公司未来3-5年创新药立项思路和侧重？ </w:t>
            </w:r>
          </w:p>
          <w:p w:rsidR="002B19F5" w:rsidRDefault="00FE26E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在未来三至五年，公司将持续聚焦于肿瘤及自身免疫疾病领域中尚未满足的重大临床需求，侧重于解决现有疗法的核心瓶颈。依托自主开发的多特异性抗体平台与先进的分子工程技术，致力于研发“更智能”的创新型双抗/多抗药物，推动从“靶点组合”向“机制突破”的研发升级。</w:t>
            </w:r>
          </w:p>
          <w:p w:rsidR="002B19F5" w:rsidRDefault="00FE26E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在肿瘤治疗领域</w:t>
            </w:r>
            <w:r>
              <w:rPr>
                <w:rFonts w:ascii="宋体" w:eastAsia="宋体" w:hAnsi="宋体" w:cs="宋体" w:hint="eastAsia"/>
                <w:sz w:val="24"/>
                <w:szCs w:val="24"/>
              </w:rPr>
              <w:t>，公司重点布局将“冷肿瘤”转化为“热肿瘤”的创新路径。通过靶向肿瘤微环境中的关键免疫抑制细胞，或</w:t>
            </w:r>
            <w:r>
              <w:rPr>
                <w:rFonts w:ascii="宋体" w:eastAsia="宋体" w:hAnsi="宋体" w:cs="宋体"/>
                <w:sz w:val="24"/>
                <w:szCs w:val="24"/>
              </w:rPr>
              <w:t>能突破肿瘤自我保护屏障。</w:t>
            </w:r>
            <w:r>
              <w:rPr>
                <w:rFonts w:ascii="宋体" w:eastAsia="宋体" w:hAnsi="宋体" w:cs="宋体" w:hint="eastAsia"/>
                <w:sz w:val="24"/>
                <w:szCs w:val="24"/>
              </w:rPr>
              <w:t>增强免疫细胞浸润与活化，克服现有免疫疗法耐药性高、响应率低等核心瓶颈，提升疗效的广度与持久性。</w:t>
            </w:r>
          </w:p>
          <w:p w:rsidR="002B19F5" w:rsidRDefault="00FE26E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在自身免疫疾病领域</w:t>
            </w:r>
            <w:r>
              <w:rPr>
                <w:rFonts w:ascii="宋体" w:eastAsia="宋体" w:hAnsi="宋体" w:cs="宋体" w:hint="eastAsia"/>
                <w:sz w:val="24"/>
                <w:szCs w:val="24"/>
              </w:rPr>
              <w:t>，公司侧重“免疫复位或重置”，区别于传统系统性免疫抑制。通过精准靶向致病性免疫细胞亚群，或开发仅在病灶微环境中激活的“条件型”多功能抗体，实现在精准治疗的同时，最大限度减少对正常免疫功能的影响，显著降低全身毒性，提升治疗安全性与患者依从性。</w:t>
            </w:r>
          </w:p>
          <w:p w:rsidR="002B19F5" w:rsidRDefault="00FE26E4">
            <w:pPr>
              <w:spacing w:line="360" w:lineRule="auto"/>
              <w:ind w:firstLineChars="200" w:firstLine="480"/>
              <w:rPr>
                <w:rFonts w:ascii="宋体" w:eastAsia="宋体" w:hAnsi="宋体" w:cs="宋体"/>
                <w:sz w:val="24"/>
                <w:szCs w:val="24"/>
              </w:rPr>
            </w:pPr>
            <w:r>
              <w:rPr>
                <w:rFonts w:ascii="宋体" w:eastAsia="宋体" w:hAnsi="宋体" w:cs="宋体"/>
                <w:sz w:val="24"/>
                <w:szCs w:val="24"/>
              </w:rPr>
              <w:t>公司立足于深层次机制创新，强调源头技术突破与差异化产品构建，通过以机制驱动的研发路径，填补未被满足的临床空白，并为公司打造高壁垒、可持续的产品管线，创造长期临床价值与投资回报。</w:t>
            </w:r>
          </w:p>
          <w:p w:rsidR="002B19F5" w:rsidRDefault="002B19F5">
            <w:pPr>
              <w:spacing w:line="360" w:lineRule="auto"/>
              <w:ind w:firstLineChars="200" w:firstLine="480"/>
              <w:rPr>
                <w:rFonts w:ascii="宋体" w:eastAsia="宋体" w:hAnsi="宋体" w:cs="宋体"/>
                <w:sz w:val="24"/>
                <w:szCs w:val="24"/>
              </w:rPr>
            </w:pPr>
          </w:p>
          <w:p w:rsidR="002B19F5" w:rsidRDefault="00FE26E4">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2、针对炎症性肠病（IBD），公司立项双靶TL1A+light的科学考量依据？</w:t>
            </w:r>
          </w:p>
          <w:p w:rsidR="002B19F5" w:rsidRDefault="00FE26E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答：TL1A靶点的核心优势，TL1A（TNF-like molecule 1A）在IBD调控网络中处于上游位置，可以被视为“总阀门”来阻断多条与IBD相关的炎症信号通路。这种机制使得TL1A抑制剂能够更全面地干预疾病进展，相较于现有靶点如TNF-α、p19/p40或α4β7等，其作用范围更广且更加根本化。2025年9月22日，赛诺菲在Clinicaltrials.gov网站上注册了TL1A抗体Duvakitug的四项三期临床试验，分别用于治疗溃疡性结肠炎（UC）、克罗恩病（CD）。海外MNC将TL1A靶点推向临床后期，展显了TL1A靶点在IBD领域治疗的巨大潜力和显著优势。</w:t>
            </w:r>
          </w:p>
          <w:p w:rsidR="002B19F5" w:rsidRDefault="00FE26E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TL1A双抗的立项逻辑，鉴于IBD病因复杂，单一靶点难以完全满足临床需求，因此开发TL1A双抗成为一种重要的策略。以下是其主要考虑因素：</w:t>
            </w:r>
          </w:p>
          <w:p w:rsidR="002B19F5" w:rsidRDefault="00FE26E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LIGHT通路在肠道炎症与纤维化进程中发挥双重驱动作用：一方面，通过与其受体HVEM和LTβR结合，激活多种免疫细胞，加剧肠道炎症反应；另一</w:t>
            </w:r>
            <w:r>
              <w:rPr>
                <w:rFonts w:ascii="宋体" w:eastAsia="宋体" w:hAnsi="宋体" w:cs="宋体" w:hint="eastAsia"/>
                <w:sz w:val="24"/>
                <w:szCs w:val="24"/>
              </w:rPr>
              <w:lastRenderedPageBreak/>
              <w:t>方面，可直接作用于成纤维细胞和上皮细胞，促进组织纤维化进展。</w:t>
            </w:r>
            <w:r>
              <w:rPr>
                <w:rFonts w:ascii="宋体" w:eastAsia="宋体" w:hAnsi="宋体" w:cs="宋体" w:hint="eastAsia"/>
                <w:sz w:val="24"/>
                <w:szCs w:val="24"/>
              </w:rPr>
              <w:br/>
              <w:t xml:space="preserve">    当前临床治疗多聚焦抗炎，对纤维化进程干预有限，存在显著未满足需求。因此，靶向LIGHT的双特异性抗体不仅有望增强抗炎疗效，更具备潜力阻断炎症向纤维化的转化路径，实现从“控制症状”到“延缓疾病进展”的跨越。这一策略有望突破现有疗法局限，推动炎症性肠病（IBD）进入全病程管理的新阶段，具备明确的临床差异化价值与长远市场潜力。</w:t>
            </w:r>
          </w:p>
          <w:p w:rsidR="002B19F5" w:rsidRDefault="002B19F5">
            <w:pPr>
              <w:spacing w:line="360" w:lineRule="auto"/>
              <w:ind w:firstLineChars="200" w:firstLine="480"/>
              <w:rPr>
                <w:rFonts w:ascii="宋体" w:eastAsia="宋体" w:hAnsi="宋体" w:cs="宋体"/>
                <w:sz w:val="24"/>
                <w:szCs w:val="24"/>
              </w:rPr>
            </w:pPr>
          </w:p>
          <w:p w:rsidR="002B19F5" w:rsidRDefault="00FE26E4">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3、MNC比如强生收购了TSLP/IL33，请问对于后续双靶药物做自免大适应症的前景机会？以及我们选择IL-4/IL-31的处于什么考量？ </w:t>
            </w:r>
          </w:p>
          <w:p w:rsidR="002B19F5" w:rsidRDefault="00FE26E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答：公司长期致力于免疫疾病领域的研发与创新，尤其注重老年人口和慢性病管理的长期用药市场，这一市场的潜力巨大且需求明确。在特异性皮炎（AD）的管线布局方面，公司选择了GB12作为重点研发方向，其核心考虑在于IL-4/IL-31靶点组合的多样性和适应症扩展潜力。</w:t>
            </w:r>
            <w:r>
              <w:rPr>
                <w:rFonts w:ascii="宋体" w:eastAsia="宋体" w:hAnsi="宋体" w:cs="宋体" w:hint="eastAsia"/>
                <w:color w:val="000000"/>
                <w:sz w:val="24"/>
                <w:szCs w:val="24"/>
              </w:rPr>
              <w:br/>
              <w:t xml:space="preserve">     具体而言，IL-4和IL-31靶点的组合不仅能够覆盖多种免疫相关疾病，还通过多通路协同治疗有效解决单靶点药物可能面临的耐药性局限。这种策略不仅可以提高药物的疗效，还能为患者提供更加全面和持久的治疗方案。此外，该靶点组合在适应症扩展上具有显著优势，例如可以延展到哮喘以及其他炎症性疾病，从而进一步扩大产品的市场覆盖面和商业价值。</w:t>
            </w:r>
            <w:r>
              <w:rPr>
                <w:rFonts w:ascii="宋体" w:eastAsia="宋体" w:hAnsi="宋体" w:cs="宋体" w:hint="eastAsia"/>
                <w:color w:val="000000"/>
                <w:sz w:val="24"/>
                <w:szCs w:val="24"/>
              </w:rPr>
              <w:br/>
            </w:r>
          </w:p>
          <w:p w:rsidR="002B19F5" w:rsidRDefault="00FE26E4">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4、各个重点项目BD的进展和预期？目前潜在合作方洽谈的节奏是否受地缘政治影响？</w:t>
            </w:r>
          </w:p>
          <w:p w:rsidR="002B19F5" w:rsidRDefault="00FE26E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公司国内外BD团队积极推进与海外欧</w:t>
            </w:r>
            <w:r>
              <w:rPr>
                <w:rFonts w:ascii="宋体" w:eastAsia="宋体" w:hAnsi="宋体" w:cs="宋体"/>
                <w:sz w:val="24"/>
                <w:szCs w:val="24"/>
              </w:rPr>
              <w:t>美</w:t>
            </w:r>
            <w:r>
              <w:rPr>
                <w:rFonts w:ascii="宋体" w:eastAsia="宋体" w:hAnsi="宋体" w:cs="宋体" w:hint="eastAsia"/>
                <w:sz w:val="24"/>
                <w:szCs w:val="24"/>
              </w:rPr>
              <w:t>企业及</w:t>
            </w:r>
            <w:r>
              <w:rPr>
                <w:rFonts w:ascii="宋体" w:eastAsia="宋体" w:hAnsi="宋体" w:cs="宋体"/>
                <w:sz w:val="24"/>
                <w:szCs w:val="24"/>
              </w:rPr>
              <w:t>VC机构</w:t>
            </w:r>
            <w:r>
              <w:rPr>
                <w:rFonts w:ascii="宋体" w:eastAsia="宋体" w:hAnsi="宋体" w:cs="宋体" w:hint="eastAsia"/>
                <w:sz w:val="24"/>
                <w:szCs w:val="24"/>
              </w:rPr>
              <w:t>的合作交流，洽谈节奏未受到影响。</w:t>
            </w:r>
          </w:p>
          <w:p w:rsidR="002B19F5" w:rsidRDefault="00FE26E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 </w:t>
            </w:r>
          </w:p>
          <w:p w:rsidR="002B19F5" w:rsidRDefault="00FE26E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 xml:space="preserve">  </w:t>
            </w:r>
          </w:p>
          <w:p w:rsidR="002B19F5" w:rsidRDefault="00FE26E4">
            <w:pPr>
              <w:widowControl/>
              <w:spacing w:line="360" w:lineRule="auto"/>
              <w:ind w:firstLineChars="200" w:firstLine="420"/>
              <w:rPr>
                <w:rFonts w:ascii="宋体" w:eastAsia="宋体" w:hAnsi="宋体" w:cs="宋体"/>
                <w:color w:val="000000"/>
                <w:sz w:val="24"/>
                <w:szCs w:val="24"/>
              </w:rPr>
            </w:pPr>
            <w:r>
              <w:rPr>
                <w:rFonts w:hint="eastAsia"/>
                <w:szCs w:val="21"/>
              </w:rPr>
              <w:t xml:space="preserve">    </w:t>
            </w:r>
            <w:r>
              <w:rPr>
                <w:rFonts w:ascii="微软雅黑" w:eastAsia="微软雅黑" w:hAnsi="微软雅黑" w:cs="微软雅黑" w:hint="eastAsia"/>
                <w:sz w:val="24"/>
                <w:szCs w:val="24"/>
              </w:rPr>
              <w:t xml:space="preserve">  </w:t>
            </w:r>
          </w:p>
        </w:tc>
      </w:tr>
      <w:tr w:rsidR="002B19F5">
        <w:tc>
          <w:tcPr>
            <w:tcW w:w="0" w:type="auto"/>
          </w:tcPr>
          <w:p w:rsidR="002B19F5" w:rsidRDefault="00FE26E4">
            <w:pPr>
              <w:rPr>
                <w:rFonts w:ascii="宋体" w:eastAsia="宋体" w:hAnsi="宋体"/>
                <w:sz w:val="24"/>
                <w:szCs w:val="28"/>
              </w:rPr>
            </w:pPr>
            <w:r>
              <w:rPr>
                <w:rFonts w:ascii="宋体" w:eastAsia="宋体" w:hAnsi="宋体" w:hint="eastAsia"/>
                <w:sz w:val="24"/>
                <w:szCs w:val="28"/>
              </w:rPr>
              <w:lastRenderedPageBreak/>
              <w:t>附件清单（如有）</w:t>
            </w:r>
          </w:p>
        </w:tc>
        <w:tc>
          <w:tcPr>
            <w:tcW w:w="0" w:type="auto"/>
          </w:tcPr>
          <w:p w:rsidR="002B19F5" w:rsidRDefault="00FE26E4">
            <w:pPr>
              <w:rPr>
                <w:rFonts w:ascii="宋体" w:eastAsia="宋体" w:hAnsi="宋体"/>
                <w:sz w:val="24"/>
                <w:szCs w:val="28"/>
              </w:rPr>
            </w:pPr>
            <w:r>
              <w:rPr>
                <w:rFonts w:ascii="宋体" w:eastAsia="宋体" w:hAnsi="宋体" w:hint="eastAsia"/>
                <w:sz w:val="24"/>
                <w:szCs w:val="28"/>
              </w:rPr>
              <w:t>无</w:t>
            </w:r>
          </w:p>
        </w:tc>
      </w:tr>
      <w:tr w:rsidR="002B19F5">
        <w:tc>
          <w:tcPr>
            <w:tcW w:w="0" w:type="auto"/>
          </w:tcPr>
          <w:p w:rsidR="002B19F5" w:rsidRDefault="00FE26E4">
            <w:pPr>
              <w:rPr>
                <w:rFonts w:ascii="宋体" w:eastAsia="宋体" w:hAnsi="宋体"/>
                <w:sz w:val="24"/>
                <w:szCs w:val="28"/>
              </w:rPr>
            </w:pPr>
            <w:r>
              <w:rPr>
                <w:rFonts w:ascii="宋体" w:eastAsia="宋体" w:hAnsi="宋体" w:hint="eastAsia"/>
                <w:sz w:val="24"/>
                <w:szCs w:val="28"/>
              </w:rPr>
              <w:t>日期</w:t>
            </w:r>
          </w:p>
        </w:tc>
        <w:tc>
          <w:tcPr>
            <w:tcW w:w="0" w:type="auto"/>
          </w:tcPr>
          <w:p w:rsidR="002B19F5" w:rsidRDefault="00FE26E4">
            <w:pPr>
              <w:rPr>
                <w:rFonts w:ascii="宋体" w:eastAsia="宋体" w:hAnsi="宋体"/>
                <w:sz w:val="24"/>
                <w:szCs w:val="28"/>
              </w:rPr>
            </w:pPr>
            <w:r>
              <w:rPr>
                <w:rFonts w:ascii="宋体" w:eastAsia="宋体" w:hAnsi="宋体" w:hint="eastAsia"/>
                <w:sz w:val="24"/>
                <w:szCs w:val="28"/>
              </w:rPr>
              <w:t>2025年9月25日</w:t>
            </w:r>
          </w:p>
        </w:tc>
      </w:tr>
      <w:bookmarkEnd w:id="0"/>
    </w:tbl>
    <w:p w:rsidR="002B19F5" w:rsidRDefault="002B19F5">
      <w:pPr>
        <w:adjustRightInd w:val="0"/>
        <w:snapToGrid w:val="0"/>
        <w:spacing w:line="600" w:lineRule="exact"/>
        <w:rPr>
          <w:rFonts w:ascii="宋体" w:eastAsia="宋体" w:hAnsi="宋体" w:cs="Arial"/>
          <w:bCs/>
          <w:sz w:val="28"/>
          <w:szCs w:val="28"/>
        </w:rPr>
      </w:pPr>
    </w:p>
    <w:sectPr w:rsidR="002B19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D9" w:rsidRDefault="008F4DD9" w:rsidP="006E5257">
      <w:r>
        <w:separator/>
      </w:r>
    </w:p>
  </w:endnote>
  <w:endnote w:type="continuationSeparator" w:id="0">
    <w:p w:rsidR="008F4DD9" w:rsidRDefault="008F4DD9" w:rsidP="006E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Wingdings 2">
    <w:altName w:val="Kingsoft Mark"/>
    <w:panose1 w:val="05020102010507070707"/>
    <w:charset w:val="02"/>
    <w:family w:val="roman"/>
    <w:pitch w:val="variable"/>
    <w:sig w:usb0="00000000" w:usb1="10000000" w:usb2="00000000" w:usb3="00000000" w:csb0="80000000" w:csb1="00000000"/>
  </w:font>
  <w:font w:name="微软雅黑">
    <w:altName w:val="汉仪旗黑KW 55S"/>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D9" w:rsidRDefault="008F4DD9" w:rsidP="006E5257">
      <w:r>
        <w:separator/>
      </w:r>
    </w:p>
  </w:footnote>
  <w:footnote w:type="continuationSeparator" w:id="0">
    <w:p w:rsidR="008F4DD9" w:rsidRDefault="008F4DD9" w:rsidP="006E5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Mzg2Y2U0NjMzNzhiNDNlNjkwZjQ1ZjE5YTIzMTEifQ=="/>
  </w:docVars>
  <w:rsids>
    <w:rsidRoot w:val="00D01F78"/>
    <w:rsid w:val="A7FB46CC"/>
    <w:rsid w:val="ADFE30C7"/>
    <w:rsid w:val="B3EF720F"/>
    <w:rsid w:val="BBFBBD9A"/>
    <w:rsid w:val="BBFF1E88"/>
    <w:rsid w:val="BBFFC7D7"/>
    <w:rsid w:val="BDFFB2CD"/>
    <w:rsid w:val="BEB7173E"/>
    <w:rsid w:val="BF9FAC95"/>
    <w:rsid w:val="BFAF82D5"/>
    <w:rsid w:val="BFFFEFE8"/>
    <w:rsid w:val="C76FCAFB"/>
    <w:rsid w:val="CA76D568"/>
    <w:rsid w:val="D6FB872C"/>
    <w:rsid w:val="D7BC1E64"/>
    <w:rsid w:val="DDFF236C"/>
    <w:rsid w:val="DFFCD7E4"/>
    <w:rsid w:val="DFFF700E"/>
    <w:rsid w:val="EBC5AD87"/>
    <w:rsid w:val="EF9D0B5E"/>
    <w:rsid w:val="F63FF461"/>
    <w:rsid w:val="F9DA9629"/>
    <w:rsid w:val="F9FD851F"/>
    <w:rsid w:val="FB3F6A81"/>
    <w:rsid w:val="FBBF658C"/>
    <w:rsid w:val="FBFB84BE"/>
    <w:rsid w:val="FDEF09A5"/>
    <w:rsid w:val="FDFC139B"/>
    <w:rsid w:val="FEFFD3DA"/>
    <w:rsid w:val="FFDF3D19"/>
    <w:rsid w:val="FFEFB528"/>
    <w:rsid w:val="00017BA8"/>
    <w:rsid w:val="00023F72"/>
    <w:rsid w:val="0002651D"/>
    <w:rsid w:val="000320FD"/>
    <w:rsid w:val="00063668"/>
    <w:rsid w:val="0006783E"/>
    <w:rsid w:val="0008206E"/>
    <w:rsid w:val="000835AF"/>
    <w:rsid w:val="000B5BFD"/>
    <w:rsid w:val="000E7B1F"/>
    <w:rsid w:val="000F6EDF"/>
    <w:rsid w:val="00100E4D"/>
    <w:rsid w:val="001234DD"/>
    <w:rsid w:val="00126577"/>
    <w:rsid w:val="001277C0"/>
    <w:rsid w:val="00150A31"/>
    <w:rsid w:val="00163DCA"/>
    <w:rsid w:val="001871C9"/>
    <w:rsid w:val="001909E5"/>
    <w:rsid w:val="00195C5C"/>
    <w:rsid w:val="001B74C2"/>
    <w:rsid w:val="001D3191"/>
    <w:rsid w:val="001D5233"/>
    <w:rsid w:val="001D580A"/>
    <w:rsid w:val="00243936"/>
    <w:rsid w:val="002676EF"/>
    <w:rsid w:val="0027417D"/>
    <w:rsid w:val="00276E0F"/>
    <w:rsid w:val="00281AD0"/>
    <w:rsid w:val="0029042B"/>
    <w:rsid w:val="00293113"/>
    <w:rsid w:val="00295218"/>
    <w:rsid w:val="002A4BF1"/>
    <w:rsid w:val="002B19F5"/>
    <w:rsid w:val="002C6F89"/>
    <w:rsid w:val="002F1919"/>
    <w:rsid w:val="002F5CA1"/>
    <w:rsid w:val="00301D0B"/>
    <w:rsid w:val="0034205E"/>
    <w:rsid w:val="00361860"/>
    <w:rsid w:val="003705F8"/>
    <w:rsid w:val="0037638C"/>
    <w:rsid w:val="003B4DFD"/>
    <w:rsid w:val="003E363B"/>
    <w:rsid w:val="003E6F30"/>
    <w:rsid w:val="00412429"/>
    <w:rsid w:val="0045773B"/>
    <w:rsid w:val="004A5175"/>
    <w:rsid w:val="004B522C"/>
    <w:rsid w:val="004D06AE"/>
    <w:rsid w:val="004D165B"/>
    <w:rsid w:val="004D42F2"/>
    <w:rsid w:val="004E632F"/>
    <w:rsid w:val="004F0634"/>
    <w:rsid w:val="004F0672"/>
    <w:rsid w:val="004F7BB5"/>
    <w:rsid w:val="005039D4"/>
    <w:rsid w:val="005549A9"/>
    <w:rsid w:val="0056177A"/>
    <w:rsid w:val="005713CD"/>
    <w:rsid w:val="00582124"/>
    <w:rsid w:val="00587097"/>
    <w:rsid w:val="00591CCE"/>
    <w:rsid w:val="005B79E0"/>
    <w:rsid w:val="005C6BA9"/>
    <w:rsid w:val="005D60DB"/>
    <w:rsid w:val="005E3768"/>
    <w:rsid w:val="005E3DEB"/>
    <w:rsid w:val="005E7168"/>
    <w:rsid w:val="00615B88"/>
    <w:rsid w:val="00617645"/>
    <w:rsid w:val="00620070"/>
    <w:rsid w:val="00623D6A"/>
    <w:rsid w:val="00625737"/>
    <w:rsid w:val="006527A9"/>
    <w:rsid w:val="00664533"/>
    <w:rsid w:val="00683DF7"/>
    <w:rsid w:val="006978C5"/>
    <w:rsid w:val="006A2159"/>
    <w:rsid w:val="006C46BF"/>
    <w:rsid w:val="006C656E"/>
    <w:rsid w:val="006E022C"/>
    <w:rsid w:val="006E5257"/>
    <w:rsid w:val="00702E1A"/>
    <w:rsid w:val="00707D35"/>
    <w:rsid w:val="00707EED"/>
    <w:rsid w:val="007426C3"/>
    <w:rsid w:val="0074398F"/>
    <w:rsid w:val="00751BFA"/>
    <w:rsid w:val="00757A0F"/>
    <w:rsid w:val="007622A7"/>
    <w:rsid w:val="007651AA"/>
    <w:rsid w:val="00766702"/>
    <w:rsid w:val="00771B8C"/>
    <w:rsid w:val="007B05AF"/>
    <w:rsid w:val="007B4AE5"/>
    <w:rsid w:val="007D0DE0"/>
    <w:rsid w:val="007D22E2"/>
    <w:rsid w:val="007E072B"/>
    <w:rsid w:val="007E5F2A"/>
    <w:rsid w:val="007F4C86"/>
    <w:rsid w:val="007F5D09"/>
    <w:rsid w:val="00810379"/>
    <w:rsid w:val="00815E6B"/>
    <w:rsid w:val="00831F56"/>
    <w:rsid w:val="00843075"/>
    <w:rsid w:val="008A03B4"/>
    <w:rsid w:val="008A74CD"/>
    <w:rsid w:val="008B68A6"/>
    <w:rsid w:val="008C48ED"/>
    <w:rsid w:val="008D7299"/>
    <w:rsid w:val="008F2E43"/>
    <w:rsid w:val="008F43E1"/>
    <w:rsid w:val="008F4DD9"/>
    <w:rsid w:val="0091482B"/>
    <w:rsid w:val="00922D94"/>
    <w:rsid w:val="009454C4"/>
    <w:rsid w:val="009624C1"/>
    <w:rsid w:val="009D58DE"/>
    <w:rsid w:val="009E77EC"/>
    <w:rsid w:val="00A16FBE"/>
    <w:rsid w:val="00A2137D"/>
    <w:rsid w:val="00A63554"/>
    <w:rsid w:val="00A66F37"/>
    <w:rsid w:val="00A6752E"/>
    <w:rsid w:val="00A7239C"/>
    <w:rsid w:val="00A741EA"/>
    <w:rsid w:val="00A762A3"/>
    <w:rsid w:val="00A855E4"/>
    <w:rsid w:val="00A921AE"/>
    <w:rsid w:val="00AC0420"/>
    <w:rsid w:val="00AC0DEF"/>
    <w:rsid w:val="00AD176B"/>
    <w:rsid w:val="00AE79CE"/>
    <w:rsid w:val="00AF47D9"/>
    <w:rsid w:val="00B21809"/>
    <w:rsid w:val="00B549F4"/>
    <w:rsid w:val="00B663D4"/>
    <w:rsid w:val="00B71EA5"/>
    <w:rsid w:val="00B91907"/>
    <w:rsid w:val="00B91942"/>
    <w:rsid w:val="00BC384C"/>
    <w:rsid w:val="00BF3900"/>
    <w:rsid w:val="00C14362"/>
    <w:rsid w:val="00C159AE"/>
    <w:rsid w:val="00C37FB8"/>
    <w:rsid w:val="00C44CE5"/>
    <w:rsid w:val="00C5038E"/>
    <w:rsid w:val="00C630BF"/>
    <w:rsid w:val="00C64024"/>
    <w:rsid w:val="00C701AF"/>
    <w:rsid w:val="00CA1F0B"/>
    <w:rsid w:val="00CA6D56"/>
    <w:rsid w:val="00CB6760"/>
    <w:rsid w:val="00CB7DA7"/>
    <w:rsid w:val="00CC6993"/>
    <w:rsid w:val="00CE3BED"/>
    <w:rsid w:val="00CF4359"/>
    <w:rsid w:val="00D01F78"/>
    <w:rsid w:val="00D05220"/>
    <w:rsid w:val="00D10138"/>
    <w:rsid w:val="00D10669"/>
    <w:rsid w:val="00D1388F"/>
    <w:rsid w:val="00D209E3"/>
    <w:rsid w:val="00D24252"/>
    <w:rsid w:val="00D41195"/>
    <w:rsid w:val="00D4207D"/>
    <w:rsid w:val="00D64BFC"/>
    <w:rsid w:val="00D708AC"/>
    <w:rsid w:val="00DB41D1"/>
    <w:rsid w:val="00DC4B44"/>
    <w:rsid w:val="00DD6FE2"/>
    <w:rsid w:val="00DF0381"/>
    <w:rsid w:val="00DF1242"/>
    <w:rsid w:val="00E01B97"/>
    <w:rsid w:val="00E140E3"/>
    <w:rsid w:val="00E3506B"/>
    <w:rsid w:val="00E645CE"/>
    <w:rsid w:val="00E819ED"/>
    <w:rsid w:val="00E82DD5"/>
    <w:rsid w:val="00E92150"/>
    <w:rsid w:val="00EB1223"/>
    <w:rsid w:val="00EB4654"/>
    <w:rsid w:val="00F2295F"/>
    <w:rsid w:val="00F2319F"/>
    <w:rsid w:val="00F27441"/>
    <w:rsid w:val="00F318AE"/>
    <w:rsid w:val="00F4323B"/>
    <w:rsid w:val="00F64E18"/>
    <w:rsid w:val="00F71BDA"/>
    <w:rsid w:val="00F9005E"/>
    <w:rsid w:val="00FB5666"/>
    <w:rsid w:val="00FC4A7B"/>
    <w:rsid w:val="00FE05DE"/>
    <w:rsid w:val="00FE2680"/>
    <w:rsid w:val="00FE26E4"/>
    <w:rsid w:val="00FF051C"/>
    <w:rsid w:val="00FF18F9"/>
    <w:rsid w:val="00FF3069"/>
    <w:rsid w:val="01087DE9"/>
    <w:rsid w:val="01470407"/>
    <w:rsid w:val="0159017F"/>
    <w:rsid w:val="018F2EE2"/>
    <w:rsid w:val="01A050EF"/>
    <w:rsid w:val="01C54B55"/>
    <w:rsid w:val="01CE7C0A"/>
    <w:rsid w:val="01DD2318"/>
    <w:rsid w:val="023618CA"/>
    <w:rsid w:val="028E2F98"/>
    <w:rsid w:val="02B82B4C"/>
    <w:rsid w:val="02CA7C7C"/>
    <w:rsid w:val="02DB0613"/>
    <w:rsid w:val="02F02042"/>
    <w:rsid w:val="033A4CF6"/>
    <w:rsid w:val="033D1DCF"/>
    <w:rsid w:val="037203C5"/>
    <w:rsid w:val="043930E0"/>
    <w:rsid w:val="049401F6"/>
    <w:rsid w:val="04B52C5F"/>
    <w:rsid w:val="058F173B"/>
    <w:rsid w:val="059370C8"/>
    <w:rsid w:val="06823015"/>
    <w:rsid w:val="06ED3ED5"/>
    <w:rsid w:val="071C433A"/>
    <w:rsid w:val="071E3DAE"/>
    <w:rsid w:val="0768280C"/>
    <w:rsid w:val="076938CE"/>
    <w:rsid w:val="076B3AA9"/>
    <w:rsid w:val="077352D8"/>
    <w:rsid w:val="07C2786C"/>
    <w:rsid w:val="07D739DE"/>
    <w:rsid w:val="08FE7EA5"/>
    <w:rsid w:val="092F1D3F"/>
    <w:rsid w:val="096B4234"/>
    <w:rsid w:val="0992531D"/>
    <w:rsid w:val="0A3F3F1C"/>
    <w:rsid w:val="0AE0615E"/>
    <w:rsid w:val="0B031AD7"/>
    <w:rsid w:val="0B10415B"/>
    <w:rsid w:val="0B2524D9"/>
    <w:rsid w:val="0BA306F3"/>
    <w:rsid w:val="0BCC7C0F"/>
    <w:rsid w:val="0BCF2858"/>
    <w:rsid w:val="0C2F779B"/>
    <w:rsid w:val="0C3A1825"/>
    <w:rsid w:val="0C830F3B"/>
    <w:rsid w:val="0D115D9B"/>
    <w:rsid w:val="0D5079C9"/>
    <w:rsid w:val="0D754339"/>
    <w:rsid w:val="0D754C02"/>
    <w:rsid w:val="0D814189"/>
    <w:rsid w:val="0D927D14"/>
    <w:rsid w:val="0DC45CC1"/>
    <w:rsid w:val="0DD25C19"/>
    <w:rsid w:val="0DDD4AC0"/>
    <w:rsid w:val="0DE63E89"/>
    <w:rsid w:val="0E1B0181"/>
    <w:rsid w:val="0E6810E9"/>
    <w:rsid w:val="0E947D89"/>
    <w:rsid w:val="0EA0672E"/>
    <w:rsid w:val="0F2E5AE8"/>
    <w:rsid w:val="0F4E29E4"/>
    <w:rsid w:val="0F5721C2"/>
    <w:rsid w:val="0FCD09AB"/>
    <w:rsid w:val="10003EDA"/>
    <w:rsid w:val="10202EA2"/>
    <w:rsid w:val="103B39EF"/>
    <w:rsid w:val="104B02FC"/>
    <w:rsid w:val="10947C2E"/>
    <w:rsid w:val="10EB5020"/>
    <w:rsid w:val="11283480"/>
    <w:rsid w:val="113D0264"/>
    <w:rsid w:val="113E5D8A"/>
    <w:rsid w:val="11953FDD"/>
    <w:rsid w:val="119F34BD"/>
    <w:rsid w:val="11F02AD1"/>
    <w:rsid w:val="12200B6D"/>
    <w:rsid w:val="12683281"/>
    <w:rsid w:val="126F6B43"/>
    <w:rsid w:val="12D17F56"/>
    <w:rsid w:val="12F325E0"/>
    <w:rsid w:val="139212B7"/>
    <w:rsid w:val="13DE1F8C"/>
    <w:rsid w:val="141B23B3"/>
    <w:rsid w:val="14697FC7"/>
    <w:rsid w:val="146D2C0E"/>
    <w:rsid w:val="14BA3FCB"/>
    <w:rsid w:val="14FA4E9A"/>
    <w:rsid w:val="150652B2"/>
    <w:rsid w:val="15802E15"/>
    <w:rsid w:val="15B13003"/>
    <w:rsid w:val="160E0421"/>
    <w:rsid w:val="166B13D0"/>
    <w:rsid w:val="169B5EBF"/>
    <w:rsid w:val="170D1B5D"/>
    <w:rsid w:val="17740758"/>
    <w:rsid w:val="178564C1"/>
    <w:rsid w:val="17B3460D"/>
    <w:rsid w:val="17BC366D"/>
    <w:rsid w:val="18292E76"/>
    <w:rsid w:val="186007B8"/>
    <w:rsid w:val="18BA0087"/>
    <w:rsid w:val="18C21ACA"/>
    <w:rsid w:val="18C57ED2"/>
    <w:rsid w:val="18DB34CA"/>
    <w:rsid w:val="18E85C8C"/>
    <w:rsid w:val="18E96456"/>
    <w:rsid w:val="190B50EC"/>
    <w:rsid w:val="19241AA1"/>
    <w:rsid w:val="194B54E8"/>
    <w:rsid w:val="19973C65"/>
    <w:rsid w:val="19EE7B83"/>
    <w:rsid w:val="1A333834"/>
    <w:rsid w:val="1A8D33D8"/>
    <w:rsid w:val="1ADE2D63"/>
    <w:rsid w:val="1ADF238C"/>
    <w:rsid w:val="1B404402"/>
    <w:rsid w:val="1B721452"/>
    <w:rsid w:val="1B9E18B2"/>
    <w:rsid w:val="1C3404B6"/>
    <w:rsid w:val="1C387FA6"/>
    <w:rsid w:val="1C3D736A"/>
    <w:rsid w:val="1C626A97"/>
    <w:rsid w:val="1CE15AF5"/>
    <w:rsid w:val="1D2D73DF"/>
    <w:rsid w:val="1D552DD9"/>
    <w:rsid w:val="1DA50771"/>
    <w:rsid w:val="1DAA169F"/>
    <w:rsid w:val="1DB573D4"/>
    <w:rsid w:val="1E4804A6"/>
    <w:rsid w:val="1E7A19C6"/>
    <w:rsid w:val="1EAA034F"/>
    <w:rsid w:val="1EE51CCF"/>
    <w:rsid w:val="1F613548"/>
    <w:rsid w:val="1F9A129F"/>
    <w:rsid w:val="1FA417E6"/>
    <w:rsid w:val="1FAB4F33"/>
    <w:rsid w:val="1FCF491A"/>
    <w:rsid w:val="202A22FB"/>
    <w:rsid w:val="20415581"/>
    <w:rsid w:val="20634C25"/>
    <w:rsid w:val="20AF45AF"/>
    <w:rsid w:val="20F6373E"/>
    <w:rsid w:val="21187E9A"/>
    <w:rsid w:val="213571AA"/>
    <w:rsid w:val="215B5006"/>
    <w:rsid w:val="215F5FD5"/>
    <w:rsid w:val="219C2D85"/>
    <w:rsid w:val="22827E15"/>
    <w:rsid w:val="22F470FB"/>
    <w:rsid w:val="232E5091"/>
    <w:rsid w:val="23303983"/>
    <w:rsid w:val="236D2C2B"/>
    <w:rsid w:val="237F2252"/>
    <w:rsid w:val="24227B5B"/>
    <w:rsid w:val="245E2574"/>
    <w:rsid w:val="24997A50"/>
    <w:rsid w:val="24F24727"/>
    <w:rsid w:val="256A520F"/>
    <w:rsid w:val="259D6FE8"/>
    <w:rsid w:val="25D64C34"/>
    <w:rsid w:val="26715206"/>
    <w:rsid w:val="26A50FFC"/>
    <w:rsid w:val="26B14BF8"/>
    <w:rsid w:val="26B50445"/>
    <w:rsid w:val="26FA1719"/>
    <w:rsid w:val="270E75B1"/>
    <w:rsid w:val="274A4623"/>
    <w:rsid w:val="275C7382"/>
    <w:rsid w:val="277A5916"/>
    <w:rsid w:val="27AD1B76"/>
    <w:rsid w:val="28345287"/>
    <w:rsid w:val="283B4EB7"/>
    <w:rsid w:val="28CB3F50"/>
    <w:rsid w:val="28FB2A87"/>
    <w:rsid w:val="293924A1"/>
    <w:rsid w:val="297E7214"/>
    <w:rsid w:val="298A0E22"/>
    <w:rsid w:val="2A4E4E38"/>
    <w:rsid w:val="2A8541B6"/>
    <w:rsid w:val="2ACA2711"/>
    <w:rsid w:val="2B05744C"/>
    <w:rsid w:val="2B157704"/>
    <w:rsid w:val="2B9E594C"/>
    <w:rsid w:val="2BCC1714"/>
    <w:rsid w:val="2BD72A66"/>
    <w:rsid w:val="2C220FED"/>
    <w:rsid w:val="2CAE2072"/>
    <w:rsid w:val="2D555F32"/>
    <w:rsid w:val="2D7921CC"/>
    <w:rsid w:val="2DB31A09"/>
    <w:rsid w:val="2DBB4593"/>
    <w:rsid w:val="2DE1366E"/>
    <w:rsid w:val="2E2B136E"/>
    <w:rsid w:val="2E4A7906"/>
    <w:rsid w:val="2E6F95D5"/>
    <w:rsid w:val="2E7035CF"/>
    <w:rsid w:val="2E81758A"/>
    <w:rsid w:val="2E8C5F2F"/>
    <w:rsid w:val="2E9274D5"/>
    <w:rsid w:val="2EDC6EB7"/>
    <w:rsid w:val="2F805A94"/>
    <w:rsid w:val="2F9C48AA"/>
    <w:rsid w:val="2FBF7E2F"/>
    <w:rsid w:val="2FFE05C5"/>
    <w:rsid w:val="300B11CE"/>
    <w:rsid w:val="30695248"/>
    <w:rsid w:val="31A2487C"/>
    <w:rsid w:val="31BA6175"/>
    <w:rsid w:val="3276317E"/>
    <w:rsid w:val="32AD0087"/>
    <w:rsid w:val="32AE05FD"/>
    <w:rsid w:val="32B829B4"/>
    <w:rsid w:val="32BF7CE3"/>
    <w:rsid w:val="33393B89"/>
    <w:rsid w:val="335F3EC7"/>
    <w:rsid w:val="336970F4"/>
    <w:rsid w:val="342F6F9B"/>
    <w:rsid w:val="344E43B3"/>
    <w:rsid w:val="34DC2D1A"/>
    <w:rsid w:val="35321EDC"/>
    <w:rsid w:val="355C48AD"/>
    <w:rsid w:val="36251143"/>
    <w:rsid w:val="36354C71"/>
    <w:rsid w:val="3687595A"/>
    <w:rsid w:val="369159FD"/>
    <w:rsid w:val="37024FE0"/>
    <w:rsid w:val="37355603"/>
    <w:rsid w:val="377C4D93"/>
    <w:rsid w:val="37802F46"/>
    <w:rsid w:val="37A7BB08"/>
    <w:rsid w:val="37B96292"/>
    <w:rsid w:val="37D7646D"/>
    <w:rsid w:val="37D83BF4"/>
    <w:rsid w:val="37E560D4"/>
    <w:rsid w:val="37F65BD2"/>
    <w:rsid w:val="38A307A0"/>
    <w:rsid w:val="38B47EFD"/>
    <w:rsid w:val="38E370CB"/>
    <w:rsid w:val="39290F4A"/>
    <w:rsid w:val="39BA7DF4"/>
    <w:rsid w:val="39DEC4CD"/>
    <w:rsid w:val="39E0610D"/>
    <w:rsid w:val="3A0816C3"/>
    <w:rsid w:val="3AA75312"/>
    <w:rsid w:val="3AE05B05"/>
    <w:rsid w:val="3B034704"/>
    <w:rsid w:val="3B7B4F44"/>
    <w:rsid w:val="3BA90120"/>
    <w:rsid w:val="3BE811F0"/>
    <w:rsid w:val="3BFD046C"/>
    <w:rsid w:val="3C073099"/>
    <w:rsid w:val="3C0D67D4"/>
    <w:rsid w:val="3C485B8B"/>
    <w:rsid w:val="3CB4598C"/>
    <w:rsid w:val="3CE16544"/>
    <w:rsid w:val="3D0B47E4"/>
    <w:rsid w:val="3D337DEB"/>
    <w:rsid w:val="3D654764"/>
    <w:rsid w:val="3D7F62A1"/>
    <w:rsid w:val="3DD33F80"/>
    <w:rsid w:val="3DF73674"/>
    <w:rsid w:val="3DFB6F7A"/>
    <w:rsid w:val="3E483C21"/>
    <w:rsid w:val="3EAD617A"/>
    <w:rsid w:val="3F210961"/>
    <w:rsid w:val="40225A46"/>
    <w:rsid w:val="40926CEA"/>
    <w:rsid w:val="40A0524F"/>
    <w:rsid w:val="42A73629"/>
    <w:rsid w:val="431B5DA8"/>
    <w:rsid w:val="432904DA"/>
    <w:rsid w:val="432C260C"/>
    <w:rsid w:val="43A33000"/>
    <w:rsid w:val="43AD2778"/>
    <w:rsid w:val="43CF06E2"/>
    <w:rsid w:val="43D321DE"/>
    <w:rsid w:val="440C3942"/>
    <w:rsid w:val="4415591B"/>
    <w:rsid w:val="441E30A5"/>
    <w:rsid w:val="44224C14"/>
    <w:rsid w:val="444F7F84"/>
    <w:rsid w:val="445A5831"/>
    <w:rsid w:val="452E1696"/>
    <w:rsid w:val="45A147EE"/>
    <w:rsid w:val="45C516E0"/>
    <w:rsid w:val="460B3709"/>
    <w:rsid w:val="46C978C9"/>
    <w:rsid w:val="471C20EE"/>
    <w:rsid w:val="47BA2898"/>
    <w:rsid w:val="47D7401A"/>
    <w:rsid w:val="4812704D"/>
    <w:rsid w:val="4875082B"/>
    <w:rsid w:val="48C10A8F"/>
    <w:rsid w:val="48CA2379"/>
    <w:rsid w:val="48E8191E"/>
    <w:rsid w:val="496960B9"/>
    <w:rsid w:val="497511EE"/>
    <w:rsid w:val="4987619D"/>
    <w:rsid w:val="4A471230"/>
    <w:rsid w:val="4A7F4E6E"/>
    <w:rsid w:val="4AE41175"/>
    <w:rsid w:val="4B023650"/>
    <w:rsid w:val="4B0B161A"/>
    <w:rsid w:val="4B490F25"/>
    <w:rsid w:val="4BA573A0"/>
    <w:rsid w:val="4BC77420"/>
    <w:rsid w:val="4C251A45"/>
    <w:rsid w:val="4C322340"/>
    <w:rsid w:val="4C46376A"/>
    <w:rsid w:val="4CFC3EC0"/>
    <w:rsid w:val="4DA86B6F"/>
    <w:rsid w:val="4DD86643"/>
    <w:rsid w:val="4DFA760C"/>
    <w:rsid w:val="4E440697"/>
    <w:rsid w:val="4E46094E"/>
    <w:rsid w:val="4E7F438E"/>
    <w:rsid w:val="4EE35F2B"/>
    <w:rsid w:val="4EE935F1"/>
    <w:rsid w:val="4EE96D5A"/>
    <w:rsid w:val="4EEF11DC"/>
    <w:rsid w:val="4EF4153C"/>
    <w:rsid w:val="4F7D2F8F"/>
    <w:rsid w:val="4F824817"/>
    <w:rsid w:val="4F9949B0"/>
    <w:rsid w:val="4FAB04B3"/>
    <w:rsid w:val="4FC36B40"/>
    <w:rsid w:val="501832BA"/>
    <w:rsid w:val="502879A6"/>
    <w:rsid w:val="51EE6435"/>
    <w:rsid w:val="52387763"/>
    <w:rsid w:val="52656D93"/>
    <w:rsid w:val="52A63D17"/>
    <w:rsid w:val="52AD4542"/>
    <w:rsid w:val="52E92FBC"/>
    <w:rsid w:val="52F16B0B"/>
    <w:rsid w:val="53755C4B"/>
    <w:rsid w:val="5443679D"/>
    <w:rsid w:val="550A7A2A"/>
    <w:rsid w:val="561A28CB"/>
    <w:rsid w:val="5627460C"/>
    <w:rsid w:val="56510FA5"/>
    <w:rsid w:val="566273F2"/>
    <w:rsid w:val="56C67981"/>
    <w:rsid w:val="56D55173"/>
    <w:rsid w:val="57CE32A0"/>
    <w:rsid w:val="57FD33AA"/>
    <w:rsid w:val="57FDC65D"/>
    <w:rsid w:val="581666E6"/>
    <w:rsid w:val="58450D79"/>
    <w:rsid w:val="596E48EA"/>
    <w:rsid w:val="59701E26"/>
    <w:rsid w:val="5A201A9E"/>
    <w:rsid w:val="5A32563D"/>
    <w:rsid w:val="5A7616BE"/>
    <w:rsid w:val="5A957D96"/>
    <w:rsid w:val="5AC01661"/>
    <w:rsid w:val="5AE14D89"/>
    <w:rsid w:val="5AFF4BED"/>
    <w:rsid w:val="5B4D764F"/>
    <w:rsid w:val="5B8F6EDB"/>
    <w:rsid w:val="5BC16969"/>
    <w:rsid w:val="5BC43166"/>
    <w:rsid w:val="5BCE55CA"/>
    <w:rsid w:val="5BD40F83"/>
    <w:rsid w:val="5C846771"/>
    <w:rsid w:val="5D4E2F89"/>
    <w:rsid w:val="5D6B1282"/>
    <w:rsid w:val="5D852DBC"/>
    <w:rsid w:val="5D9A4018"/>
    <w:rsid w:val="5E340776"/>
    <w:rsid w:val="5F3E6EDB"/>
    <w:rsid w:val="5FAEF167"/>
    <w:rsid w:val="5FC15189"/>
    <w:rsid w:val="5FCB2B29"/>
    <w:rsid w:val="6019338F"/>
    <w:rsid w:val="60641CA4"/>
    <w:rsid w:val="60690934"/>
    <w:rsid w:val="606A6F1C"/>
    <w:rsid w:val="60AC6547"/>
    <w:rsid w:val="60E05068"/>
    <w:rsid w:val="60F5158E"/>
    <w:rsid w:val="612937BD"/>
    <w:rsid w:val="61355E2F"/>
    <w:rsid w:val="616C090E"/>
    <w:rsid w:val="6205183D"/>
    <w:rsid w:val="620C4474"/>
    <w:rsid w:val="62910BEB"/>
    <w:rsid w:val="62AB4AE4"/>
    <w:rsid w:val="63220635"/>
    <w:rsid w:val="63675EDB"/>
    <w:rsid w:val="63BC2E07"/>
    <w:rsid w:val="640F5C22"/>
    <w:rsid w:val="64726B60"/>
    <w:rsid w:val="6477050C"/>
    <w:rsid w:val="647E15DC"/>
    <w:rsid w:val="64875FB1"/>
    <w:rsid w:val="64A62BA0"/>
    <w:rsid w:val="64A75419"/>
    <w:rsid w:val="64C37BF6"/>
    <w:rsid w:val="64CF2713"/>
    <w:rsid w:val="65236E07"/>
    <w:rsid w:val="653528A1"/>
    <w:rsid w:val="65790817"/>
    <w:rsid w:val="65FF07B9"/>
    <w:rsid w:val="663618E6"/>
    <w:rsid w:val="6696745A"/>
    <w:rsid w:val="66E16DAB"/>
    <w:rsid w:val="670D5158"/>
    <w:rsid w:val="675A4125"/>
    <w:rsid w:val="676B6AE6"/>
    <w:rsid w:val="679B209C"/>
    <w:rsid w:val="67DFBB24"/>
    <w:rsid w:val="67E61C31"/>
    <w:rsid w:val="686B0388"/>
    <w:rsid w:val="688C0889"/>
    <w:rsid w:val="693B5FAC"/>
    <w:rsid w:val="69601EB7"/>
    <w:rsid w:val="699D0A15"/>
    <w:rsid w:val="69A27DD9"/>
    <w:rsid w:val="69B33F8A"/>
    <w:rsid w:val="69DA7573"/>
    <w:rsid w:val="69FA15DB"/>
    <w:rsid w:val="6A690982"/>
    <w:rsid w:val="6A745C1A"/>
    <w:rsid w:val="6A971908"/>
    <w:rsid w:val="6AC43C07"/>
    <w:rsid w:val="6B4F5D3F"/>
    <w:rsid w:val="6BB2015F"/>
    <w:rsid w:val="6C3C2767"/>
    <w:rsid w:val="6CB31DC6"/>
    <w:rsid w:val="6D4160FA"/>
    <w:rsid w:val="6D5E3752"/>
    <w:rsid w:val="6DFDEBC9"/>
    <w:rsid w:val="6E292877"/>
    <w:rsid w:val="6E3556C0"/>
    <w:rsid w:val="6ED529FF"/>
    <w:rsid w:val="6EDA0F52"/>
    <w:rsid w:val="6EFC1D3A"/>
    <w:rsid w:val="6F34261A"/>
    <w:rsid w:val="6F4006B4"/>
    <w:rsid w:val="6FF44DE9"/>
    <w:rsid w:val="6FFE2E24"/>
    <w:rsid w:val="700D4FB9"/>
    <w:rsid w:val="700D7A07"/>
    <w:rsid w:val="702D045C"/>
    <w:rsid w:val="7060454A"/>
    <w:rsid w:val="70D828FD"/>
    <w:rsid w:val="70F53EBA"/>
    <w:rsid w:val="711D200E"/>
    <w:rsid w:val="715D17B1"/>
    <w:rsid w:val="716A6C31"/>
    <w:rsid w:val="718A7AD1"/>
    <w:rsid w:val="71A877BD"/>
    <w:rsid w:val="71E27C7B"/>
    <w:rsid w:val="721455EC"/>
    <w:rsid w:val="724623DA"/>
    <w:rsid w:val="730409A8"/>
    <w:rsid w:val="73CA3A9A"/>
    <w:rsid w:val="73E3171A"/>
    <w:rsid w:val="73FF607A"/>
    <w:rsid w:val="74C70D53"/>
    <w:rsid w:val="74D379E1"/>
    <w:rsid w:val="7536663D"/>
    <w:rsid w:val="75401EA6"/>
    <w:rsid w:val="75613F66"/>
    <w:rsid w:val="757271FA"/>
    <w:rsid w:val="75C6103F"/>
    <w:rsid w:val="761936F0"/>
    <w:rsid w:val="76595CC4"/>
    <w:rsid w:val="767D7C04"/>
    <w:rsid w:val="768F760E"/>
    <w:rsid w:val="76A63608"/>
    <w:rsid w:val="76AC16B2"/>
    <w:rsid w:val="76BA0E58"/>
    <w:rsid w:val="77172E01"/>
    <w:rsid w:val="774231D8"/>
    <w:rsid w:val="77DA5FB4"/>
    <w:rsid w:val="77FB51CC"/>
    <w:rsid w:val="77FBF1CF"/>
    <w:rsid w:val="783F6132"/>
    <w:rsid w:val="785421A6"/>
    <w:rsid w:val="79D036BA"/>
    <w:rsid w:val="79E5228B"/>
    <w:rsid w:val="79FB986A"/>
    <w:rsid w:val="7A3064CE"/>
    <w:rsid w:val="7A474981"/>
    <w:rsid w:val="7A480529"/>
    <w:rsid w:val="7A546ECE"/>
    <w:rsid w:val="7A666C01"/>
    <w:rsid w:val="7A735E15"/>
    <w:rsid w:val="7AD6540F"/>
    <w:rsid w:val="7B0A0587"/>
    <w:rsid w:val="7B474C14"/>
    <w:rsid w:val="7B7B68AC"/>
    <w:rsid w:val="7BEE2505"/>
    <w:rsid w:val="7BFABD6A"/>
    <w:rsid w:val="7BFC781D"/>
    <w:rsid w:val="7BFF804E"/>
    <w:rsid w:val="7C0E5874"/>
    <w:rsid w:val="7CC16371"/>
    <w:rsid w:val="7CD05940"/>
    <w:rsid w:val="7DE40A57"/>
    <w:rsid w:val="7DE95B7F"/>
    <w:rsid w:val="7DF0035C"/>
    <w:rsid w:val="7DFE27A0"/>
    <w:rsid w:val="7E046E5D"/>
    <w:rsid w:val="7E3A5031"/>
    <w:rsid w:val="7E413C0D"/>
    <w:rsid w:val="7E815D24"/>
    <w:rsid w:val="7EBF30DE"/>
    <w:rsid w:val="7ECF2FC7"/>
    <w:rsid w:val="7ECFBA33"/>
    <w:rsid w:val="7F3528E3"/>
    <w:rsid w:val="7F47583B"/>
    <w:rsid w:val="7F4D0390"/>
    <w:rsid w:val="7F6BEC79"/>
    <w:rsid w:val="7F80048F"/>
    <w:rsid w:val="7FB1EE55"/>
    <w:rsid w:val="7FE89F73"/>
    <w:rsid w:val="9D6F08B8"/>
    <w:rsid w:val="9E36C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2C736C-2E27-4004-9C78-EDAFAC36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rPr>
      <w:rFonts w:ascii="宋体" w:eastAsia="宋体" w:hAnsi="宋体" w:cs="宋体"/>
      <w:sz w:val="31"/>
      <w:szCs w:val="3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Emphasis"/>
    <w:basedOn w:val="a0"/>
    <w:uiPriority w:val="20"/>
    <w:qFormat/>
    <w:rPr>
      <w:i/>
    </w:rPr>
  </w:style>
  <w:style w:type="character" w:styleId="af2">
    <w:name w:val="Hyperlink"/>
    <w:basedOn w:val="a0"/>
    <w:uiPriority w:val="99"/>
    <w:unhideWhenUsed/>
    <w:qFormat/>
    <w:rPr>
      <w:color w:val="0000FF"/>
      <w:u w:val="single"/>
    </w:rPr>
  </w:style>
  <w:style w:type="character" w:styleId="af3">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e">
    <w:name w:val="批注主题 字符"/>
    <w:basedOn w:val="a4"/>
    <w:link w:val="ad"/>
    <w:uiPriority w:val="99"/>
    <w:semiHidden/>
    <w:qFormat/>
    <w:rPr>
      <w:b/>
      <w:bCs/>
    </w:rPr>
  </w:style>
  <w:style w:type="paragraph" w:styleId="af4">
    <w:name w:val="List Paragraph"/>
    <w:basedOn w:val="a"/>
    <w:uiPriority w:val="34"/>
    <w:qFormat/>
    <w:pPr>
      <w:ind w:firstLineChars="200" w:firstLine="420"/>
    </w:pPr>
  </w:style>
  <w:style w:type="paragraph" w:customStyle="1" w:styleId="1">
    <w:name w:val="修订1"/>
    <w:hidden/>
    <w:uiPriority w:val="99"/>
    <w:unhideWhenUsed/>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玲玉</dc:creator>
  <cp:lastModifiedBy>daveqiu</cp:lastModifiedBy>
  <cp:revision>3</cp:revision>
  <dcterms:created xsi:type="dcterms:W3CDTF">2024-12-12T09:35:00Z</dcterms:created>
  <dcterms:modified xsi:type="dcterms:W3CDTF">2025-09-25T13:56:00Z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8E1313E1690F4A7385E959DDB76614B8_13</vt:lpwstr>
  </property>
  <property fmtid="{D5CDD505-2E9C-101B-9397-08002B2CF9AE}" pid="4" name="commondata">
    <vt:lpwstr>eyJoZGlkIjoiOTRmMzg2Y2U0NjMzNzhiNDNlNjkwZjQ1ZjE5YTIzMTEifQ==</vt:lpwstr>
  </property>
  <property fmtid="{D5CDD505-2E9C-101B-9397-08002B2CF9AE}" pid="5" name="KSOTemplateDocerSaveRecord">
    <vt:lpwstr>eyJoZGlkIjoiOTRmMzg2Y2U0NjMzNzhiNDNlNjkwZjQ1ZjE5YTIzMTEiLCJ1c2VySWQiOiIyODk4ODY2NzkifQ==</vt:lpwstr>
  </property>
</Properties>
</file>