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CC9B5">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600292                             </w:t>
      </w:r>
      <w:r>
        <w:rPr>
          <w:rFonts w:hAnsi="宋体"/>
          <w:bCs/>
          <w:iCs/>
          <w:color w:val="000000"/>
          <w:sz w:val="24"/>
        </w:rPr>
        <w:t>证券简称：</w:t>
      </w:r>
      <w:r>
        <w:rPr>
          <w:color w:val="000000"/>
          <w:sz w:val="24"/>
        </w:rPr>
        <w:t>远达环保</w:t>
      </w:r>
    </w:p>
    <w:p w14:paraId="41038A8C">
      <w:pPr>
        <w:spacing w:before="156" w:beforeLines="50" w:after="156" w:afterLines="50" w:line="400" w:lineRule="exact"/>
        <w:jc w:val="center"/>
        <w:rPr>
          <w:rFonts w:ascii="宋体" w:hAnsi="宋体"/>
          <w:b/>
          <w:bCs/>
          <w:iCs/>
          <w:color w:val="000000"/>
          <w:sz w:val="36"/>
          <w:szCs w:val="36"/>
        </w:rPr>
      </w:pPr>
      <w:r>
        <w:rPr>
          <w:rFonts w:ascii="宋体" w:hAnsi="宋体"/>
          <w:b/>
          <w:bCs/>
          <w:iCs/>
          <w:color w:val="000000"/>
          <w:sz w:val="36"/>
          <w:szCs w:val="36"/>
        </w:rPr>
        <w:t>国家电投集团远达环保股份有限公司</w:t>
      </w:r>
    </w:p>
    <w:p w14:paraId="7E97AFD4">
      <w:pPr>
        <w:spacing w:before="156" w:beforeLines="50" w:after="156" w:afterLines="50" w:line="400" w:lineRule="exact"/>
        <w:jc w:val="center"/>
        <w:rPr>
          <w:bCs/>
          <w:iCs/>
          <w:color w:val="000000"/>
          <w:sz w:val="24"/>
        </w:rPr>
      </w:pPr>
      <w:r>
        <w:rPr>
          <w:rFonts w:hint="eastAsia" w:ascii="宋体" w:hAnsi="宋体"/>
          <w:b/>
          <w:bCs/>
          <w:iCs/>
          <w:color w:val="000000"/>
          <w:sz w:val="36"/>
          <w:szCs w:val="36"/>
        </w:rPr>
        <w:t>投资者关系活动记录表</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14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tcPr>
          <w:p w14:paraId="2FC279C7">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投资者关系活动类别</w:t>
            </w:r>
          </w:p>
          <w:p w14:paraId="1CA5E9FA">
            <w:pPr>
              <w:spacing w:line="420" w:lineRule="exact"/>
              <w:rPr>
                <w:rFonts w:hint="eastAsia" w:ascii="仿宋" w:hAnsi="仿宋" w:eastAsia="仿宋" w:cs="仿宋"/>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3C375EF">
            <w:pPr>
              <w:spacing w:line="420" w:lineRule="exact"/>
              <w:rPr>
                <w:rFonts w:hint="eastAsia" w:ascii="仿宋" w:hAnsi="仿宋" w:eastAsia="仿宋" w:cs="仿宋"/>
                <w:bCs/>
                <w:iCs/>
                <w:color w:val="000000"/>
                <w:sz w:val="24"/>
              </w:rPr>
            </w:pPr>
            <w:r>
              <w:rPr>
                <w:rFonts w:hint="eastAsia" w:ascii="仿宋" w:hAnsi="仿宋" w:eastAsia="仿宋" w:cs="仿宋"/>
                <w:bCs/>
                <w:iCs/>
                <w:color w:val="000000"/>
                <w:kern w:val="0"/>
                <w:sz w:val="24"/>
              </w:rPr>
              <w:t>□</w:t>
            </w:r>
            <w:r>
              <w:rPr>
                <w:rFonts w:hint="eastAsia" w:ascii="仿宋" w:hAnsi="仿宋" w:eastAsia="仿宋" w:cs="仿宋"/>
                <w:kern w:val="0"/>
                <w:sz w:val="24"/>
              </w:rPr>
              <w:t xml:space="preserve">特定对象调研         </w:t>
            </w:r>
            <w:r>
              <w:rPr>
                <w:rFonts w:hint="eastAsia" w:ascii="仿宋" w:hAnsi="仿宋" w:eastAsia="仿宋" w:cs="仿宋"/>
                <w:bCs/>
                <w:iCs/>
                <w:color w:val="000000"/>
                <w:kern w:val="0"/>
                <w:sz w:val="24"/>
              </w:rPr>
              <w:t xml:space="preserve">□ </w:t>
            </w:r>
            <w:r>
              <w:rPr>
                <w:rFonts w:hint="eastAsia" w:ascii="仿宋" w:hAnsi="仿宋" w:eastAsia="仿宋" w:cs="仿宋"/>
                <w:kern w:val="0"/>
                <w:sz w:val="24"/>
              </w:rPr>
              <w:t>分析师会议</w:t>
            </w:r>
          </w:p>
          <w:p w14:paraId="501096E5">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 xml:space="preserve">□ </w:t>
            </w:r>
            <w:r>
              <w:rPr>
                <w:rFonts w:hint="eastAsia" w:ascii="仿宋" w:hAnsi="仿宋" w:eastAsia="仿宋" w:cs="仿宋"/>
                <w:kern w:val="0"/>
                <w:sz w:val="24"/>
              </w:rPr>
              <w:t xml:space="preserve">媒体采访            </w:t>
            </w:r>
            <w:r>
              <w:rPr>
                <w:rFonts w:hint="eastAsia" w:ascii="仿宋" w:hAnsi="仿宋" w:eastAsia="仿宋" w:cs="仿宋"/>
                <w:bCs/>
                <w:iCs/>
                <w:color w:val="000000"/>
                <w:kern w:val="0"/>
                <w:sz w:val="24"/>
              </w:rPr>
              <w:t xml:space="preserve">√ </w:t>
            </w:r>
            <w:r>
              <w:rPr>
                <w:rFonts w:hint="eastAsia" w:ascii="仿宋" w:hAnsi="仿宋" w:eastAsia="仿宋" w:cs="仿宋"/>
                <w:kern w:val="0"/>
                <w:sz w:val="24"/>
              </w:rPr>
              <w:t>业绩说明会</w:t>
            </w:r>
          </w:p>
          <w:p w14:paraId="0572C94E">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 xml:space="preserve">□ </w:t>
            </w:r>
            <w:r>
              <w:rPr>
                <w:rFonts w:hint="eastAsia" w:ascii="仿宋" w:hAnsi="仿宋" w:eastAsia="仿宋" w:cs="仿宋"/>
                <w:kern w:val="0"/>
                <w:sz w:val="24"/>
              </w:rPr>
              <w:t xml:space="preserve">新闻发布会          </w:t>
            </w:r>
            <w:r>
              <w:rPr>
                <w:rFonts w:hint="eastAsia" w:ascii="仿宋" w:hAnsi="仿宋" w:eastAsia="仿宋" w:cs="仿宋"/>
                <w:bCs/>
                <w:iCs/>
                <w:color w:val="000000"/>
                <w:kern w:val="0"/>
                <w:sz w:val="24"/>
              </w:rPr>
              <w:t xml:space="preserve">□ </w:t>
            </w:r>
            <w:r>
              <w:rPr>
                <w:rFonts w:hint="eastAsia" w:ascii="仿宋" w:hAnsi="仿宋" w:eastAsia="仿宋" w:cs="仿宋"/>
                <w:kern w:val="0"/>
                <w:sz w:val="24"/>
              </w:rPr>
              <w:t>路演活动</w:t>
            </w:r>
          </w:p>
          <w:p w14:paraId="4F484EC2">
            <w:pPr>
              <w:tabs>
                <w:tab w:val="left" w:pos="3045"/>
                <w:tab w:val="center" w:pos="3199"/>
              </w:tabs>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 xml:space="preserve">□ </w:t>
            </w:r>
            <w:r>
              <w:rPr>
                <w:rFonts w:hint="eastAsia" w:ascii="仿宋" w:hAnsi="仿宋" w:eastAsia="仿宋" w:cs="仿宋"/>
                <w:kern w:val="0"/>
                <w:sz w:val="24"/>
              </w:rPr>
              <w:t>现场参观</w:t>
            </w:r>
            <w:r>
              <w:rPr>
                <w:rFonts w:hint="eastAsia" w:ascii="仿宋" w:hAnsi="仿宋" w:eastAsia="仿宋" w:cs="仿宋"/>
                <w:bCs/>
                <w:iCs/>
                <w:color w:val="000000"/>
                <w:kern w:val="0"/>
                <w:sz w:val="24"/>
              </w:rPr>
              <w:tab/>
            </w:r>
          </w:p>
          <w:p w14:paraId="2BCD0C75">
            <w:pPr>
              <w:tabs>
                <w:tab w:val="center" w:pos="3199"/>
              </w:tabs>
              <w:spacing w:line="420" w:lineRule="exact"/>
              <w:rPr>
                <w:rFonts w:hint="eastAsia" w:ascii="仿宋" w:hAnsi="仿宋" w:eastAsia="仿宋" w:cs="仿宋"/>
                <w:bCs/>
                <w:iCs/>
                <w:color w:val="000000"/>
                <w:sz w:val="24"/>
              </w:rPr>
            </w:pPr>
            <w:r>
              <w:rPr>
                <w:rFonts w:hint="eastAsia" w:ascii="仿宋" w:hAnsi="仿宋" w:eastAsia="仿宋" w:cs="仿宋"/>
                <w:bCs/>
                <w:iCs/>
                <w:color w:val="000000"/>
                <w:kern w:val="0"/>
                <w:sz w:val="24"/>
              </w:rPr>
              <w:t xml:space="preserve">□ </w:t>
            </w:r>
            <w:r>
              <w:rPr>
                <w:rFonts w:hint="eastAsia" w:ascii="仿宋" w:hAnsi="仿宋" w:eastAsia="仿宋" w:cs="仿宋"/>
                <w:kern w:val="0"/>
                <w:sz w:val="24"/>
              </w:rPr>
              <w:t>其他 （</w:t>
            </w:r>
            <w:r>
              <w:rPr>
                <w:rFonts w:hint="eastAsia" w:ascii="仿宋" w:hAnsi="仿宋" w:eastAsia="仿宋" w:cs="仿宋"/>
                <w:kern w:val="0"/>
                <w:sz w:val="24"/>
                <w:u w:val="single"/>
              </w:rPr>
              <w:t>请文字说明其他活动内容）</w:t>
            </w:r>
          </w:p>
        </w:tc>
      </w:tr>
      <w:tr w14:paraId="4C2F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114016C">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1C02E17C">
            <w:pPr>
              <w:spacing w:line="420" w:lineRule="exact"/>
              <w:rPr>
                <w:rFonts w:hint="eastAsia" w:ascii="仿宋" w:hAnsi="仿宋" w:eastAsia="仿宋" w:cs="仿宋"/>
                <w:bCs/>
                <w:iCs/>
                <w:color w:val="000000"/>
                <w:sz w:val="24"/>
                <w:lang w:val="en-GB"/>
              </w:rPr>
            </w:pPr>
            <w:r>
              <w:rPr>
                <w:rFonts w:hint="eastAsia" w:ascii="仿宋" w:hAnsi="仿宋" w:eastAsia="仿宋" w:cs="仿宋"/>
                <w:bCs/>
                <w:iCs/>
                <w:color w:val="000000"/>
                <w:sz w:val="24"/>
                <w:lang w:val="en-GB"/>
              </w:rPr>
              <w:t>投资者网上提问</w:t>
            </w:r>
          </w:p>
        </w:tc>
      </w:tr>
      <w:tr w14:paraId="51F7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F72D824">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198F42F">
            <w:pPr>
              <w:spacing w:line="420" w:lineRule="exact"/>
              <w:rPr>
                <w:rFonts w:hint="eastAsia" w:ascii="仿宋" w:hAnsi="仿宋" w:eastAsia="仿宋" w:cs="仿宋"/>
                <w:bCs/>
                <w:iCs/>
                <w:color w:val="000000"/>
                <w:sz w:val="24"/>
              </w:rPr>
            </w:pPr>
            <w:r>
              <w:rPr>
                <w:rFonts w:hint="eastAsia" w:ascii="仿宋" w:hAnsi="仿宋" w:eastAsia="仿宋" w:cs="仿宋"/>
                <w:bCs/>
                <w:iCs/>
                <w:color w:val="000000"/>
                <w:sz w:val="24"/>
              </w:rPr>
              <w:t xml:space="preserve">2025年9月25日 </w:t>
            </w:r>
            <w:r>
              <w:rPr>
                <w:rFonts w:hint="eastAsia" w:ascii="仿宋" w:hAnsi="仿宋" w:eastAsia="仿宋" w:cs="仿宋"/>
                <w:bCs/>
                <w:iCs/>
                <w:color w:val="000000"/>
                <w:sz w:val="24"/>
                <w:lang w:eastAsia="zh-CN"/>
              </w:rPr>
              <w:t>（</w:t>
            </w:r>
            <w:r>
              <w:rPr>
                <w:rFonts w:hint="eastAsia" w:ascii="仿宋" w:hAnsi="仿宋" w:eastAsia="仿宋" w:cs="仿宋"/>
                <w:bCs/>
                <w:iCs/>
                <w:color w:val="000000"/>
                <w:sz w:val="24"/>
              </w:rPr>
              <w:t>周四</w:t>
            </w:r>
            <w:r>
              <w:rPr>
                <w:rFonts w:hint="eastAsia" w:ascii="仿宋" w:hAnsi="仿宋" w:eastAsia="仿宋" w:cs="仿宋"/>
                <w:bCs/>
                <w:iCs/>
                <w:color w:val="000000"/>
                <w:sz w:val="24"/>
                <w:lang w:eastAsia="zh-CN"/>
              </w:rPr>
              <w:t>）</w:t>
            </w:r>
            <w:r>
              <w:rPr>
                <w:rFonts w:hint="eastAsia" w:ascii="仿宋" w:hAnsi="仿宋" w:eastAsia="仿宋" w:cs="仿宋"/>
                <w:bCs/>
                <w:iCs/>
                <w:color w:val="000000"/>
                <w:sz w:val="24"/>
              </w:rPr>
              <w:t xml:space="preserve"> 下午 14:00</w:t>
            </w:r>
            <w:r>
              <w:rPr>
                <w:rFonts w:hint="eastAsia" w:ascii="仿宋" w:hAnsi="仿宋" w:eastAsia="仿宋" w:cs="仿宋"/>
                <w:bCs/>
                <w:iCs/>
                <w:color w:val="000000"/>
                <w:sz w:val="24"/>
                <w:lang w:val="en-US" w:eastAsia="zh-CN"/>
              </w:rPr>
              <w:t>-</w:t>
            </w:r>
            <w:r>
              <w:rPr>
                <w:rFonts w:hint="eastAsia" w:ascii="仿宋" w:hAnsi="仿宋" w:eastAsia="仿宋" w:cs="仿宋"/>
                <w:bCs/>
                <w:iCs/>
                <w:color w:val="000000"/>
                <w:sz w:val="24"/>
              </w:rPr>
              <w:t>17:05</w:t>
            </w:r>
          </w:p>
        </w:tc>
      </w:tr>
      <w:tr w14:paraId="5399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EA83288">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5A36CD4E">
            <w:pPr>
              <w:spacing w:line="420" w:lineRule="exact"/>
              <w:rPr>
                <w:rFonts w:hint="eastAsia" w:ascii="仿宋" w:hAnsi="仿宋" w:eastAsia="仿宋" w:cs="仿宋"/>
                <w:bCs/>
                <w:iCs/>
                <w:color w:val="000000"/>
                <w:sz w:val="24"/>
              </w:rPr>
            </w:pPr>
            <w:r>
              <w:rPr>
                <w:rFonts w:hint="eastAsia" w:ascii="仿宋" w:hAnsi="仿宋" w:eastAsia="仿宋" w:cs="仿宋"/>
                <w:sz w:val="24"/>
              </w:rPr>
              <w:t>公司通过</w:t>
            </w:r>
            <w:r>
              <w:rPr>
                <w:rFonts w:hint="eastAsia" w:ascii="仿宋" w:hAnsi="仿宋" w:eastAsia="仿宋" w:cs="仿宋"/>
                <w:bCs/>
                <w:sz w:val="24"/>
              </w:rPr>
              <w:t>全景网“</w:t>
            </w:r>
            <w:r>
              <w:rPr>
                <w:rFonts w:hint="eastAsia" w:ascii="仿宋" w:hAnsi="仿宋" w:eastAsia="仿宋" w:cs="仿宋"/>
                <w:sz w:val="24"/>
              </w:rPr>
              <w:t>投资者关系互动平台</w:t>
            </w:r>
            <w:r>
              <w:rPr>
                <w:rFonts w:hint="eastAsia" w:ascii="仿宋" w:hAnsi="仿宋" w:eastAsia="仿宋" w:cs="仿宋"/>
                <w:bCs/>
                <w:sz w:val="24"/>
              </w:rPr>
              <w:t>”（https://ir.p5w.net）采用网络远程的方式</w:t>
            </w:r>
            <w:r>
              <w:rPr>
                <w:rFonts w:hint="eastAsia" w:ascii="仿宋" w:hAnsi="仿宋" w:eastAsia="仿宋" w:cs="仿宋"/>
                <w:sz w:val="24"/>
              </w:rPr>
              <w:t>召开业绩说明会</w:t>
            </w:r>
          </w:p>
        </w:tc>
      </w:tr>
      <w:tr w14:paraId="76A8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FF84495">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71306852">
            <w:pPr>
              <w:spacing w:line="420" w:lineRule="exact"/>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董事会秘书凌娟</w:t>
            </w:r>
          </w:p>
          <w:p w14:paraId="4FC06A5F">
            <w:pPr>
              <w:spacing w:line="420" w:lineRule="exact"/>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证券事务代表邓立春</w:t>
            </w:r>
          </w:p>
          <w:p w14:paraId="0A8E514B">
            <w:pPr>
              <w:spacing w:line="420" w:lineRule="exact"/>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资本部主管胡晏妍</w:t>
            </w:r>
          </w:p>
        </w:tc>
      </w:tr>
      <w:tr w14:paraId="71A6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01AABE7">
            <w:pPr>
              <w:spacing w:line="420" w:lineRule="exact"/>
              <w:rPr>
                <w:rFonts w:hint="eastAsia" w:ascii="仿宋" w:hAnsi="仿宋" w:eastAsia="仿宋" w:cs="仿宋"/>
                <w:bCs/>
                <w:iCs/>
                <w:color w:val="000000"/>
                <w:kern w:val="0"/>
                <w:sz w:val="24"/>
              </w:rPr>
            </w:pPr>
            <w:r>
              <w:rPr>
                <w:rFonts w:hint="eastAsia" w:ascii="仿宋" w:hAnsi="仿宋" w:eastAsia="仿宋" w:cs="仿宋"/>
                <w:bCs/>
                <w:iCs/>
                <w:color w:val="000000"/>
                <w:kern w:val="0"/>
                <w:sz w:val="24"/>
              </w:rPr>
              <w:t>投资者关系活动主要内容介绍</w:t>
            </w:r>
          </w:p>
          <w:p w14:paraId="7189F64B">
            <w:pPr>
              <w:spacing w:line="420" w:lineRule="exact"/>
              <w:rPr>
                <w:rFonts w:hint="eastAsia" w:ascii="仿宋" w:hAnsi="仿宋" w:eastAsia="仿宋" w:cs="仿宋"/>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786C2B9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投资者提出的问题及公司回复情况</w:t>
            </w:r>
          </w:p>
          <w:p w14:paraId="364EFD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公司就投资者在本次说明会中提出的问题进行了回复：</w:t>
            </w:r>
          </w:p>
          <w:p w14:paraId="3AC2586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1.公司“三回收”项目和二氧化碳加氢制绿醇项目有量产计划吗？</w:t>
            </w:r>
          </w:p>
          <w:p w14:paraId="21FD2DE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您好，感谢您对公司的关注。公司“三回收”项目均已建成技术示范线，具备示范应用条件。公司已建成二氧化碳加氢制甲醇催化剂验证平台，正在开展中试验证。</w:t>
            </w:r>
          </w:p>
          <w:p w14:paraId="04382CA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2、交易后新增净利润8.5亿，交易成本270亿，投资回报率是不是偏低？</w:t>
            </w:r>
          </w:p>
          <w:p w14:paraId="7B770FF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您好！谢谢您对公司的关注！公司本次重组交易对价是根据评估结果而来的，针对不同的标的公司和业务类型选取了不同的评估方法定价，与市场其他交易案例比较来看，评估结果在合理范围内。</w:t>
            </w:r>
          </w:p>
          <w:p w14:paraId="402C83E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3.远达环保在“三回收”等新兴领域是否取得实质性进展？是否有示范性项目或产线落地。</w:t>
            </w:r>
          </w:p>
          <w:p w14:paraId="2095EA7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您好，感谢您对公司的关注。公司“三回收”项目均已建成技术示范线，具备示范应用条件。</w:t>
            </w:r>
          </w:p>
          <w:p w14:paraId="1212D55C">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4.请问远达环保在“三回收”等新兴领域是否有实质性进展，是否有示范项目或产线落地。</w:t>
            </w:r>
          </w:p>
          <w:p w14:paraId="7DEE302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您好，感谢您对公司的关注。公司“三回收”项目均已建成技术示范线，具备示范应用条件。</w:t>
            </w:r>
          </w:p>
          <w:p w14:paraId="17B6439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5.你好废旧电池回收进展如何？什么时候可以正式投入商用？</w:t>
            </w:r>
          </w:p>
          <w:p w14:paraId="0092055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您好，感谢您对公司的关注。公司布局开展了废旧锂电池拆解和正极修复相关工作，现已建成废旧锂电池全自动精细化拆解及正极材料修复示范线。</w:t>
            </w:r>
          </w:p>
          <w:p w14:paraId="74760C2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6.请问国电投境内水电资产都包含哪几块？</w:t>
            </w:r>
          </w:p>
          <w:p w14:paraId="2E6D3C7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国家电投集团是全球最大的清洁能源发电企业。近年来，国家电投集团清洁能源开发力度、投资强度持续保持在高位，装机规模快速增长。截至2024年末，国家电投集团可控装机容量达26,496万千瓦，其中水电机组装机容量2,658万千瓦。国家电投集团水电资产主要分布在中国湖南、青海等14个省区，承担了中国13大水电流域基地中2个流域基地开发任务，同时开发巴西、缅甸、澳大利亚等海外地区水电业务。国家电投集团按照国家“流域、梯级、滚动、综合”的水电开发方针，有序推进流域梯级水电站的开发建设，打造湖南沅水流域等水电梯级清洁能源基地。</w:t>
            </w:r>
          </w:p>
          <w:p w14:paraId="1A824A5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7.面对股价表现与重组预期的背离，公司认为主要影响因素是什么？管理层将采取哪些具体措施来增强市场信心，实现公司内在价值与市值的匹配？</w:t>
            </w:r>
          </w:p>
          <w:p w14:paraId="4CF5890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您好，感谢您对公司的关注。股价波动受宏观经济形势、市场整体环境等多种因素影响。公司一方面持续做好现有业务的生产经营工作；另一方面积极稳妥推进重大资产重组，在完成相关注册审批后，尽快实施资产交割，向资本市场传递公司价值，努力为投资者带来良好的回报。  </w:t>
            </w:r>
          </w:p>
          <w:p w14:paraId="6824841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8.在公司整体战略向能源转型的背景下，原有的环保业务在未来将扮演怎样的角色？公司是否会继续投入资源发展环保技术，还是将其作为辅助性业务？</w:t>
            </w:r>
          </w:p>
          <w:p w14:paraId="69F8D87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本次重组交易完成后，公司原有环保业务将予以保留，并新增水力发电及流域水电站新能源一体化综合开发运营业务。公司将一如既往地发展传统优质的火电环保业务，同时推进新产业环保业务。</w:t>
            </w:r>
          </w:p>
          <w:p w14:paraId="70E5D1B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9.新能源资产的剥离工作目前进展到哪一步？是否已全部完成交割？剥离完成后，对公司短期财务表现（如收入、利润）将产生何种影响？</w:t>
            </w:r>
          </w:p>
          <w:p w14:paraId="75466276">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您好，感谢您对公司的关注。公司已完成新能源资产的剥离工作，由于公司原有新能源项目绝大部分处于前期和在建阶段，剥离对公司经营未产生重大不利影响。</w:t>
            </w:r>
          </w:p>
          <w:p w14:paraId="4E1E0396">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10.请问远达环保2025年半年利润总额较上年同期下降，具体是哪些方面原因？</w:t>
            </w:r>
          </w:p>
          <w:p w14:paraId="3292E4C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您好，感谢您对公司的关注。公司2025 年上半年实现利润总额 0.52 亿元，同比减少 0.46 亿元，其中鲲鹏项目补提坏账影响 0.33亿元，重大资产重组发生中介费、印花税等相关税费 0.24 亿元，剔除上述影响同比增加 0.11 亿元。</w:t>
            </w:r>
          </w:p>
          <w:p w14:paraId="2116D0C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11.请问本次重组后，远达环保经营业绩将会提升多少？</w:t>
            </w:r>
          </w:p>
          <w:p w14:paraId="749394E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您好，感谢您对公司的关注。根据本次交易，以2024年模拟财务报表来看，交易完成后公司总资产将达到683亿元，较交易前增幅高达618%；归属于母公司所有者的净利润较交易前增加8.5亿元，增幅高达2,361%。</w:t>
            </w:r>
          </w:p>
          <w:p w14:paraId="6F8CF65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12.股价为啥一直跌？</w:t>
            </w:r>
          </w:p>
          <w:p w14:paraId="592FBDD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您好，感谢您对公司的关注。股价波动受宏观经济形势、市场整体环境等多种因素影响。公司将持续做好生产经营工作，加强市值管理，向资本市场传递公司价值，努力为投资者带来良好的回报。  </w:t>
            </w:r>
          </w:p>
          <w:p w14:paraId="3C14029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13.本次重组已过上交所审核，请问预计什么时候完成证监会审核注册以及完成发行及交割？请控股股东预计什么时候将黄河水电等集团内水电优质资产注入到上市公司，新资产注入预计明年年初是否会启动？</w:t>
            </w:r>
          </w:p>
          <w:p w14:paraId="32CB23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iCs/>
                <w:color w:val="000000"/>
                <w:sz w:val="24"/>
              </w:rPr>
            </w:pPr>
            <w:r>
              <w:rPr>
                <w:rFonts w:hint="eastAsia" w:ascii="仿宋" w:hAnsi="仿宋" w:eastAsia="仿宋" w:cs="仿宋"/>
                <w:kern w:val="2"/>
                <w:sz w:val="24"/>
                <w:szCs w:val="24"/>
                <w:lang w:val="en-US" w:eastAsia="zh-CN" w:bidi="ar-SA"/>
              </w:rPr>
              <w:t>您好，感谢您对公司的关注。我们将密切跟踪审核情况，取得注册批复后实施股权交割。国家电投集团已承诺在本次交易完成后3年内，在符合届时相关法律法规及相关内部、外部审批手续的前提下，并本着有利于上市公司发展和维护股东利益尤其是中小股东利益的原则，积极促成将国家电投集团下属其他水电资产陆续注入远达环保。</w:t>
            </w:r>
          </w:p>
        </w:tc>
      </w:tr>
    </w:tbl>
    <w:p w14:paraId="564FCE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AEA3">
    <w:pPr>
      <w:pStyle w:val="2"/>
      <w:jc w:val="right"/>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D60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26997"/>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3E28"/>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22F2"/>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F47485"/>
    <w:rsid w:val="1B2418A5"/>
    <w:rsid w:val="1FBFC074"/>
    <w:rsid w:val="36FB9E1F"/>
    <w:rsid w:val="3BFA3B96"/>
    <w:rsid w:val="3CEF3472"/>
    <w:rsid w:val="3EFF16E9"/>
    <w:rsid w:val="3F2A2E1B"/>
    <w:rsid w:val="5B7F3D0F"/>
    <w:rsid w:val="69241645"/>
    <w:rsid w:val="77CF73AC"/>
    <w:rsid w:val="78FF0116"/>
    <w:rsid w:val="795F7A9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2091</Words>
  <Characters>2185</Characters>
  <Lines>17</Lines>
  <Paragraphs>4</Paragraphs>
  <TotalTime>19</TotalTime>
  <ScaleCrop>false</ScaleCrop>
  <LinksUpToDate>false</LinksUpToDate>
  <CharactersWithSpaces>2299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2025-09-26T01:02:00Z</dcterms:created>
  <dc:creator>微软用户</dc:creator>
  <cp:lastModifiedBy>鱼羊羊</cp:lastModifiedBy>
  <cp:lastPrinted>2014-02-21T05:34:00Z</cp:lastPrinted>
  <dcterms:modified xsi:type="dcterms:W3CDTF">2025-09-26T01:30:38Z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3378DF92D5494EA79182626F58817F75</vt:lpwstr>
  </property>
  <property fmtid="{D5CDD505-2E9C-101B-9397-08002B2CF9AE}" pid="4" name="KSOTemplateDocerSaveRecord">
    <vt:lpwstr>eyJoZGlkIjoiYTE5ZmE1NGQxMzFiMjZhNGJiN2M3NjE5OGFlOWY2ZWMiLCJ1c2VySWQiOiI0NDM3MzM3NjgifQ==</vt:lpwstr>
  </property>
</Properties>
</file>