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B17B">
      <w:pPr>
        <w:spacing w:before="31" w:beforeLines="10" w:line="360" w:lineRule="auto"/>
        <w:rPr>
          <w:rFonts w:hint="eastAsia" w:ascii="宋体" w:hAnsi="宋体" w:cs="宋体"/>
          <w:b/>
          <w:w w:val="95"/>
          <w:sz w:val="24"/>
        </w:rPr>
      </w:pPr>
      <w:r>
        <w:rPr>
          <w:rFonts w:hint="eastAsia" w:ascii="宋体" w:hAnsi="宋体" w:cs="宋体"/>
          <w:b/>
          <w:w w:val="95"/>
          <w:sz w:val="24"/>
        </w:rPr>
        <w:t>证券简称：金帝股份                                       证券代码：603270</w:t>
      </w:r>
    </w:p>
    <w:p w14:paraId="68156EFE">
      <w:pPr>
        <w:jc w:val="center"/>
        <w:rPr>
          <w:rFonts w:hint="eastAsia" w:ascii="宋体" w:hAnsi="宋体" w:cs="宋体"/>
          <w:b/>
          <w:w w:val="95"/>
          <w:sz w:val="32"/>
          <w:szCs w:val="32"/>
        </w:rPr>
      </w:pPr>
    </w:p>
    <w:p w14:paraId="7093D949">
      <w:pPr>
        <w:spacing w:before="31" w:beforeLines="10" w:line="360" w:lineRule="auto"/>
        <w:jc w:val="center"/>
        <w:rPr>
          <w:rFonts w:hint="eastAsia" w:ascii="宋体" w:hAnsi="宋体" w:cs="宋体"/>
          <w:b/>
          <w:w w:val="95"/>
          <w:sz w:val="36"/>
          <w:szCs w:val="36"/>
        </w:rPr>
      </w:pPr>
      <w:r>
        <w:rPr>
          <w:rFonts w:hint="eastAsia" w:ascii="宋体" w:hAnsi="宋体" w:cs="宋体"/>
          <w:b/>
          <w:w w:val="95"/>
          <w:sz w:val="36"/>
          <w:szCs w:val="36"/>
        </w:rPr>
        <w:t>山东金帝精密机械科技股份有限公司</w:t>
      </w:r>
    </w:p>
    <w:p w14:paraId="6734F0E5">
      <w:pPr>
        <w:spacing w:line="360" w:lineRule="auto"/>
        <w:jc w:val="center"/>
        <w:rPr>
          <w:rFonts w:hint="eastAsia" w:ascii="宋体" w:hAnsi="宋体" w:cs="宋体"/>
          <w:b/>
          <w:w w:val="95"/>
          <w:kern w:val="0"/>
          <w:sz w:val="36"/>
          <w:szCs w:val="36"/>
        </w:rPr>
      </w:pPr>
      <w:r>
        <w:rPr>
          <w:rFonts w:hint="eastAsia" w:ascii="宋体" w:hAnsi="宋体" w:cs="宋体"/>
          <w:b/>
          <w:w w:val="95"/>
          <w:kern w:val="0"/>
          <w:sz w:val="36"/>
          <w:szCs w:val="36"/>
        </w:rPr>
        <w:t>投资者关系活动记录表</w:t>
      </w:r>
    </w:p>
    <w:p w14:paraId="075EA852">
      <w:pPr>
        <w:tabs>
          <w:tab w:val="left" w:pos="6106"/>
        </w:tabs>
        <w:spacing w:before="156" w:beforeLines="50" w:after="156" w:afterLines="50"/>
        <w:ind w:firstLine="240" w:firstLineChars="100"/>
        <w:jc w:val="right"/>
        <w:rPr>
          <w:rFonts w:hint="eastAsia" w:ascii="宋体" w:hAnsi="宋体" w:eastAsia="宋体" w:cs="宋体"/>
          <w:sz w:val="24"/>
          <w:lang w:val="en-US" w:eastAsia="zh-CN"/>
        </w:rPr>
      </w:pPr>
      <w:r>
        <w:rPr>
          <w:rFonts w:hint="eastAsia" w:ascii="宋体" w:hAnsi="宋体" w:cs="宋体"/>
          <w:sz w:val="24"/>
        </w:rPr>
        <w:t>编号：2025-00</w:t>
      </w:r>
      <w:r>
        <w:rPr>
          <w:rFonts w:hint="eastAsia" w:ascii="宋体" w:hAnsi="宋体" w:cs="宋体"/>
          <w:sz w:val="24"/>
          <w:lang w:val="en-US" w:eastAsia="zh-CN"/>
        </w:rPr>
        <w:t>7</w:t>
      </w:r>
    </w:p>
    <w:tbl>
      <w:tblPr>
        <w:tblStyle w:val="7"/>
        <w:tblW w:w="90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7395"/>
      </w:tblGrid>
      <w:tr w14:paraId="0B5FE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1617" w:type="dxa"/>
            <w:tcBorders>
              <w:top w:val="single" w:color="auto" w:sz="12" w:space="0"/>
              <w:left w:val="single" w:color="auto" w:sz="12" w:space="0"/>
              <w:bottom w:val="single" w:color="auto" w:sz="4" w:space="0"/>
              <w:right w:val="single" w:color="auto" w:sz="4" w:space="0"/>
            </w:tcBorders>
            <w:vAlign w:val="center"/>
          </w:tcPr>
          <w:p w14:paraId="61A8189F">
            <w:pPr>
              <w:jc w:val="center"/>
              <w:rPr>
                <w:rFonts w:hint="eastAsia" w:ascii="宋体" w:hAnsi="宋体" w:cs="宋体"/>
                <w:bCs/>
                <w:sz w:val="24"/>
              </w:rPr>
            </w:pPr>
            <w:r>
              <w:rPr>
                <w:rFonts w:hint="eastAsia" w:ascii="宋体" w:hAnsi="宋体" w:cs="宋体"/>
                <w:b/>
                <w:bCs/>
                <w:sz w:val="24"/>
              </w:rPr>
              <w:t>投资者关系活动类别</w:t>
            </w:r>
          </w:p>
        </w:tc>
        <w:tc>
          <w:tcPr>
            <w:tcW w:w="7395" w:type="dxa"/>
            <w:tcBorders>
              <w:top w:val="single" w:color="auto" w:sz="12" w:space="0"/>
              <w:left w:val="single" w:color="auto" w:sz="4" w:space="0"/>
              <w:bottom w:val="single" w:color="auto" w:sz="4" w:space="0"/>
              <w:right w:val="single" w:color="auto" w:sz="12" w:space="0"/>
            </w:tcBorders>
            <w:vAlign w:val="center"/>
          </w:tcPr>
          <w:p w14:paraId="17069F61">
            <w:pPr>
              <w:widowControl/>
              <w:tabs>
                <w:tab w:val="left" w:pos="3480"/>
              </w:tabs>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特定对象调研   □分析师会议      □媒体采访</w:t>
            </w:r>
          </w:p>
          <w:p w14:paraId="7C3374B0">
            <w:pPr>
              <w:widowControl/>
              <w:tabs>
                <w:tab w:val="left" w:pos="2040"/>
                <w:tab w:val="left" w:pos="3480"/>
              </w:tabs>
              <w:spacing w:line="360" w:lineRule="auto"/>
              <w:rPr>
                <w:rFonts w:hint="eastAsia" w:ascii="宋体" w:hAnsi="宋体" w:cs="宋体"/>
                <w:bCs/>
                <w:sz w:val="24"/>
              </w:rPr>
            </w:pPr>
            <w:r>
              <w:rPr>
                <w:rFonts w:hint="eastAsia" w:ascii="宋体" w:hAnsi="宋体" w:cs="宋体"/>
                <w:bCs/>
                <w:sz w:val="24"/>
              </w:rPr>
              <w:t>□业绩说明会     □新闻发布会      □路演活动</w:t>
            </w:r>
          </w:p>
          <w:p w14:paraId="1103B995">
            <w:pPr>
              <w:spacing w:line="360" w:lineRule="auto"/>
              <w:rPr>
                <w:rFonts w:hint="eastAsia" w:ascii="宋体" w:hAnsi="宋体" w:cs="宋体"/>
                <w:bCs/>
                <w:sz w:val="24"/>
              </w:rPr>
            </w:pPr>
            <w:r>
              <w:rPr>
                <w:rFonts w:hint="eastAsia" w:ascii="宋体" w:hAnsi="宋体" w:cs="宋体"/>
                <w:bCs/>
                <w:sz w:val="24"/>
                <w:lang w:eastAsia="zh-CN"/>
              </w:rPr>
              <w:t>☑</w:t>
            </w:r>
            <w:r>
              <w:rPr>
                <w:rFonts w:hint="eastAsia" w:ascii="宋体" w:hAnsi="宋体" w:cs="宋体"/>
                <w:bCs/>
                <w:sz w:val="24"/>
              </w:rPr>
              <w:t xml:space="preserve">现场参观       □一对一沟通      </w:t>
            </w:r>
            <w:r>
              <w:rPr>
                <w:rFonts w:hint="eastAsia" w:ascii="宋体" w:hAnsi="宋体" w:cs="宋体"/>
                <w:bCs/>
                <w:sz w:val="24"/>
                <w:lang w:eastAsia="zh-CN"/>
              </w:rPr>
              <w:t>□</w:t>
            </w:r>
            <w:r>
              <w:rPr>
                <w:rFonts w:hint="eastAsia" w:ascii="宋体" w:hAnsi="宋体" w:cs="宋体"/>
                <w:bCs/>
                <w:sz w:val="24"/>
              </w:rPr>
              <w:t>其他（电话会议</w:t>
            </w:r>
            <w:r>
              <w:rPr>
                <w:rFonts w:hint="eastAsia" w:ascii="宋体" w:hAnsi="宋体" w:cs="宋体"/>
                <w:bCs/>
                <w:sz w:val="24"/>
                <w:lang w:eastAsia="zh-CN"/>
              </w:rPr>
              <w:t>、</w:t>
            </w:r>
            <w:r>
              <w:rPr>
                <w:rFonts w:hint="eastAsia" w:ascii="宋体" w:hAnsi="宋体" w:cs="宋体"/>
                <w:bCs/>
                <w:sz w:val="24"/>
                <w:lang w:val="en-US" w:eastAsia="zh-CN"/>
              </w:rPr>
              <w:t>策略会</w:t>
            </w:r>
            <w:r>
              <w:rPr>
                <w:rFonts w:hint="eastAsia" w:ascii="宋体" w:hAnsi="宋体" w:cs="宋体"/>
                <w:bCs/>
                <w:sz w:val="24"/>
              </w:rPr>
              <w:t>）</w:t>
            </w:r>
          </w:p>
        </w:tc>
      </w:tr>
      <w:tr w14:paraId="01E65C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235215C">
            <w:pPr>
              <w:jc w:val="center"/>
              <w:rPr>
                <w:rFonts w:hint="eastAsia" w:ascii="宋体" w:hAnsi="宋体" w:cs="宋体"/>
                <w:b/>
                <w:bCs/>
                <w:sz w:val="24"/>
              </w:rPr>
            </w:pPr>
            <w:r>
              <w:rPr>
                <w:rFonts w:hint="eastAsia" w:ascii="宋体" w:hAnsi="宋体" w:cs="宋体"/>
                <w:b/>
                <w:bCs/>
                <w:sz w:val="24"/>
              </w:rPr>
              <w:t>参与单位</w:t>
            </w:r>
          </w:p>
          <w:p w14:paraId="36E3EB3A">
            <w:pPr>
              <w:jc w:val="center"/>
              <w:rPr>
                <w:rFonts w:hint="eastAsia" w:ascii="宋体" w:hAnsi="宋体" w:cs="宋体"/>
                <w:b/>
                <w:bCs/>
                <w:sz w:val="24"/>
              </w:rPr>
            </w:pPr>
            <w:r>
              <w:rPr>
                <w:rFonts w:hint="eastAsia" w:ascii="宋体" w:hAnsi="宋体" w:cs="宋体"/>
                <w:b/>
                <w:bCs/>
                <w:sz w:val="24"/>
              </w:rPr>
              <w:t>名称</w:t>
            </w:r>
          </w:p>
        </w:tc>
        <w:tc>
          <w:tcPr>
            <w:tcW w:w="7395" w:type="dxa"/>
            <w:tcBorders>
              <w:top w:val="single" w:color="auto" w:sz="4" w:space="0"/>
              <w:left w:val="single" w:color="auto" w:sz="4" w:space="0"/>
              <w:bottom w:val="single" w:color="auto" w:sz="4" w:space="0"/>
              <w:right w:val="single" w:color="auto" w:sz="12" w:space="0"/>
            </w:tcBorders>
            <w:vAlign w:val="center"/>
          </w:tcPr>
          <w:p w14:paraId="42010879">
            <w:pPr>
              <w:rPr>
                <w:rFonts w:hint="eastAsia" w:ascii="宋体" w:hAnsi="宋体" w:eastAsia="宋体" w:cs="宋体"/>
                <w:sz w:val="24"/>
                <w:lang w:eastAsia="zh-CN"/>
              </w:rPr>
            </w:pPr>
            <w:r>
              <w:rPr>
                <w:rFonts w:hint="eastAsia" w:ascii="宋体" w:hAnsi="宋体" w:cs="宋体"/>
                <w:sz w:val="24"/>
                <w:lang w:val="en-US" w:eastAsia="zh-CN"/>
              </w:rPr>
              <w:t>中信证券、睿华资本</w:t>
            </w:r>
            <w:bookmarkStart w:id="0" w:name="_GoBack"/>
            <w:bookmarkEnd w:id="0"/>
          </w:p>
        </w:tc>
      </w:tr>
      <w:tr w14:paraId="29E188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56592977">
            <w:pPr>
              <w:jc w:val="center"/>
              <w:rPr>
                <w:rFonts w:hint="eastAsia" w:ascii="宋体" w:hAnsi="宋体" w:cs="宋体"/>
                <w:b/>
                <w:bCs/>
                <w:sz w:val="24"/>
              </w:rPr>
            </w:pPr>
            <w:r>
              <w:rPr>
                <w:rFonts w:hint="eastAsia" w:ascii="宋体" w:hAnsi="宋体" w:cs="宋体"/>
                <w:b/>
                <w:bCs/>
                <w:sz w:val="24"/>
              </w:rPr>
              <w:t>时间</w:t>
            </w:r>
          </w:p>
        </w:tc>
        <w:tc>
          <w:tcPr>
            <w:tcW w:w="7395" w:type="dxa"/>
            <w:tcBorders>
              <w:top w:val="single" w:color="auto" w:sz="4" w:space="0"/>
              <w:left w:val="single" w:color="auto" w:sz="4" w:space="0"/>
              <w:bottom w:val="single" w:color="auto" w:sz="4" w:space="0"/>
              <w:right w:val="single" w:color="auto" w:sz="12" w:space="0"/>
            </w:tcBorders>
            <w:vAlign w:val="center"/>
          </w:tcPr>
          <w:p w14:paraId="4D3AEDB3">
            <w:pPr>
              <w:rPr>
                <w:rFonts w:hint="default" w:ascii="宋体" w:hAnsi="宋体" w:eastAsia="宋体" w:cs="宋体"/>
                <w:sz w:val="24"/>
                <w:lang w:val="en-US" w:eastAsia="zh-CN"/>
              </w:rPr>
            </w:pPr>
            <w:r>
              <w:rPr>
                <w:rFonts w:hint="eastAsia" w:ascii="宋体" w:hAnsi="宋体" w:cs="宋体"/>
                <w:sz w:val="24"/>
                <w:lang w:val="en-US" w:eastAsia="zh-CN"/>
              </w:rPr>
              <w:t>9月10日、9月12日</w:t>
            </w:r>
          </w:p>
        </w:tc>
      </w:tr>
      <w:tr w14:paraId="63CD1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7FBAF4C7">
            <w:pPr>
              <w:jc w:val="center"/>
              <w:rPr>
                <w:rFonts w:hint="eastAsia" w:ascii="宋体" w:hAnsi="宋体" w:cs="宋体"/>
                <w:b/>
                <w:bCs/>
                <w:sz w:val="24"/>
              </w:rPr>
            </w:pPr>
            <w:r>
              <w:rPr>
                <w:rFonts w:hint="eastAsia" w:ascii="宋体" w:hAnsi="宋体" w:cs="宋体"/>
                <w:b/>
                <w:bCs/>
                <w:sz w:val="24"/>
              </w:rPr>
              <w:t>地点</w:t>
            </w:r>
          </w:p>
        </w:tc>
        <w:tc>
          <w:tcPr>
            <w:tcW w:w="7395" w:type="dxa"/>
            <w:tcBorders>
              <w:top w:val="single" w:color="auto" w:sz="4" w:space="0"/>
              <w:left w:val="single" w:color="auto" w:sz="4" w:space="0"/>
              <w:bottom w:val="single" w:color="auto" w:sz="4" w:space="0"/>
              <w:right w:val="single" w:color="auto" w:sz="12" w:space="0"/>
            </w:tcBorders>
            <w:vAlign w:val="center"/>
          </w:tcPr>
          <w:p w14:paraId="13ABF2BC">
            <w:pPr>
              <w:spacing w:line="360" w:lineRule="auto"/>
              <w:rPr>
                <w:rFonts w:hint="default" w:ascii="宋体" w:hAnsi="宋体" w:eastAsia="宋体" w:cs="宋体"/>
                <w:sz w:val="24"/>
                <w:lang w:val="en-US" w:eastAsia="zh-CN"/>
              </w:rPr>
            </w:pPr>
            <w:r>
              <w:rPr>
                <w:rFonts w:hint="eastAsia" w:ascii="宋体" w:hAnsi="宋体" w:cs="宋体"/>
                <w:sz w:val="24"/>
                <w:lang w:val="en-US" w:eastAsia="zh-CN"/>
              </w:rPr>
              <w:t>现场调研</w:t>
            </w:r>
          </w:p>
        </w:tc>
      </w:tr>
      <w:tr w14:paraId="57B95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2157BE52">
            <w:pPr>
              <w:jc w:val="center"/>
              <w:rPr>
                <w:rFonts w:hint="eastAsia" w:ascii="宋体" w:hAnsi="宋体" w:cs="宋体"/>
                <w:b/>
                <w:bCs/>
                <w:sz w:val="24"/>
              </w:rPr>
            </w:pPr>
            <w:r>
              <w:rPr>
                <w:rFonts w:hint="eastAsia" w:ascii="宋体" w:hAnsi="宋体" w:cs="宋体"/>
                <w:b/>
                <w:bCs/>
                <w:sz w:val="24"/>
              </w:rPr>
              <w:t>公司接待人员姓名</w:t>
            </w:r>
          </w:p>
        </w:tc>
        <w:tc>
          <w:tcPr>
            <w:tcW w:w="7395" w:type="dxa"/>
            <w:tcBorders>
              <w:top w:val="single" w:color="auto" w:sz="4" w:space="0"/>
              <w:left w:val="single" w:color="auto" w:sz="4" w:space="0"/>
              <w:bottom w:val="single" w:color="auto" w:sz="4" w:space="0"/>
              <w:right w:val="single" w:color="auto" w:sz="12" w:space="0"/>
            </w:tcBorders>
            <w:vAlign w:val="center"/>
          </w:tcPr>
          <w:p w14:paraId="4C0B57AB">
            <w:pPr>
              <w:spacing w:line="360" w:lineRule="auto"/>
              <w:rPr>
                <w:rFonts w:hint="eastAsia" w:ascii="宋体" w:hAnsi="宋体" w:cs="宋体"/>
                <w:sz w:val="24"/>
              </w:rPr>
            </w:pPr>
            <w:r>
              <w:rPr>
                <w:rFonts w:hint="eastAsia" w:ascii="宋体" w:hAnsi="宋体" w:cs="宋体"/>
                <w:sz w:val="24"/>
              </w:rPr>
              <w:t>董事会秘书：薛泰尧</w:t>
            </w:r>
          </w:p>
          <w:p w14:paraId="0D038D8E">
            <w:pPr>
              <w:spacing w:line="360" w:lineRule="auto"/>
              <w:rPr>
                <w:rFonts w:hint="eastAsia" w:ascii="宋体" w:hAnsi="宋体" w:eastAsia="宋体" w:cs="宋体"/>
                <w:sz w:val="24"/>
                <w:lang w:val="en-US" w:eastAsia="zh-CN"/>
              </w:rPr>
            </w:pPr>
            <w:r>
              <w:rPr>
                <w:rFonts w:hint="eastAsia" w:ascii="宋体" w:hAnsi="宋体" w:cs="宋体"/>
                <w:sz w:val="24"/>
              </w:rPr>
              <w:t>证券事务</w:t>
            </w:r>
            <w:r>
              <w:rPr>
                <w:rFonts w:hint="eastAsia" w:ascii="宋体" w:hAnsi="宋体" w:cs="宋体"/>
                <w:sz w:val="24"/>
                <w:lang w:val="en-US" w:eastAsia="zh-CN"/>
              </w:rPr>
              <w:t>代表</w:t>
            </w:r>
            <w:r>
              <w:rPr>
                <w:rFonts w:hint="eastAsia" w:ascii="宋体" w:hAnsi="宋体" w:cs="宋体"/>
                <w:sz w:val="24"/>
              </w:rPr>
              <w:t>：</w:t>
            </w:r>
            <w:r>
              <w:rPr>
                <w:rFonts w:hint="eastAsia" w:ascii="宋体" w:hAnsi="宋体" w:cs="宋体"/>
                <w:sz w:val="24"/>
                <w:lang w:val="en-US" w:eastAsia="zh-CN"/>
              </w:rPr>
              <w:t>赵海军</w:t>
            </w:r>
          </w:p>
        </w:tc>
      </w:tr>
      <w:tr w14:paraId="57B7C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D0FAC2E">
            <w:pPr>
              <w:jc w:val="center"/>
              <w:rPr>
                <w:rFonts w:hint="eastAsia" w:ascii="宋体" w:hAnsi="宋体" w:cs="宋体"/>
                <w:b/>
                <w:bCs/>
                <w:sz w:val="24"/>
              </w:rPr>
            </w:pPr>
            <w:r>
              <w:rPr>
                <w:rFonts w:hint="eastAsia" w:ascii="宋体" w:hAnsi="宋体" w:cs="宋体"/>
                <w:b/>
                <w:bCs/>
                <w:sz w:val="24"/>
              </w:rPr>
              <w:t>投资者关系活动主要内容介绍</w:t>
            </w:r>
          </w:p>
        </w:tc>
        <w:tc>
          <w:tcPr>
            <w:tcW w:w="7395" w:type="dxa"/>
            <w:tcBorders>
              <w:top w:val="single" w:color="auto" w:sz="4" w:space="0"/>
              <w:left w:val="single" w:color="auto" w:sz="4" w:space="0"/>
              <w:bottom w:val="single" w:color="auto" w:sz="4" w:space="0"/>
              <w:right w:val="single" w:color="auto" w:sz="12" w:space="0"/>
            </w:tcBorders>
          </w:tcPr>
          <w:p w14:paraId="5F88381B">
            <w:pPr>
              <w:pStyle w:val="17"/>
              <w:tabs>
                <w:tab w:val="left" w:pos="788"/>
              </w:tabs>
              <w:spacing w:line="360" w:lineRule="auto"/>
              <w:ind w:firstLine="0" w:firstLineChars="0"/>
              <w:rPr>
                <w:rFonts w:hint="default" w:ascii="宋体" w:hAnsi="宋体" w:eastAsia="宋体" w:cs="宋体"/>
                <w:szCs w:val="21"/>
                <w:lang w:val="en-US" w:eastAsia="zh-CN"/>
              </w:rPr>
            </w:pPr>
            <w:r>
              <w:rPr>
                <w:rFonts w:hint="eastAsia" w:ascii="宋体" w:hAnsi="宋体" w:cs="宋体"/>
                <w:b/>
                <w:bCs/>
                <w:szCs w:val="21"/>
              </w:rPr>
              <w:t>1、公司的定转子产品业务及未来发展规划</w:t>
            </w:r>
          </w:p>
          <w:p w14:paraId="1C13DCDE">
            <w:pPr>
              <w:pStyle w:val="17"/>
              <w:tabs>
                <w:tab w:val="left" w:pos="788"/>
              </w:tabs>
              <w:spacing w:line="360" w:lineRule="auto"/>
              <w:rPr>
                <w:rFonts w:hint="eastAsia" w:ascii="宋体" w:hAnsi="宋体" w:cs="宋体"/>
                <w:szCs w:val="21"/>
              </w:rPr>
            </w:pPr>
            <w:r>
              <w:rPr>
                <w:rFonts w:hint="eastAsia" w:ascii="宋体" w:hAnsi="宋体" w:cs="宋体"/>
                <w:szCs w:val="21"/>
              </w:rPr>
              <w:t>公司定转子系列产品量产项目增加比较明显，截至2025年7月末，公司新能源汽车电驱动系统定转子系列产品已有102个产品项目，比2025年3月末的产品项目77个增长了32.47%，其中：45个产品已量产，5个产品为PPAP样品交付中，15个产品为C样或OTS样品交付中，37个产品为A样或B样交付中。上述系列产品已应用到国内外新能源汽车品牌合计达19个。</w:t>
            </w:r>
          </w:p>
          <w:p w14:paraId="55049812">
            <w:pPr>
              <w:pStyle w:val="17"/>
              <w:tabs>
                <w:tab w:val="left" w:pos="788"/>
              </w:tabs>
              <w:spacing w:line="360" w:lineRule="auto"/>
              <w:rPr>
                <w:rFonts w:hint="eastAsia" w:ascii="宋体" w:hAnsi="宋体" w:cs="宋体"/>
                <w:szCs w:val="21"/>
              </w:rPr>
            </w:pPr>
            <w:r>
              <w:rPr>
                <w:rFonts w:hint="eastAsia" w:ascii="宋体" w:hAnsi="宋体" w:cs="宋体"/>
                <w:szCs w:val="21"/>
              </w:rPr>
              <w:t>市场应用容量持续扩大，异步电机和同步电机搭配的双电机配置在新能源15万元至30万元区间车型中大量应用，有效拓宽公司定转子系列产品的未来销售增长空间。</w:t>
            </w:r>
          </w:p>
          <w:p w14:paraId="08878C6E">
            <w:pPr>
              <w:pStyle w:val="17"/>
              <w:tabs>
                <w:tab w:val="left" w:pos="788"/>
              </w:tabs>
              <w:spacing w:line="360" w:lineRule="auto"/>
              <w:rPr>
                <w:rFonts w:hint="eastAsia" w:ascii="宋体" w:hAnsi="宋体" w:cs="宋体"/>
                <w:szCs w:val="21"/>
              </w:rPr>
            </w:pPr>
            <w:r>
              <w:rPr>
                <w:rFonts w:hint="eastAsia" w:ascii="宋体" w:hAnsi="宋体" w:cs="宋体"/>
                <w:szCs w:val="21"/>
              </w:rPr>
              <w:t>公司铸铝转子技术成熟度较高，公司铸铝转子产品，创新采用无镍配方，具有完全的自主知识产权，具有良好的成本性能优势，在行业内同时拥有高压铸造和离心铸造两种工艺路线设计且已实现批量生产，产线全部实现自主连线智能化制造，牵头起草《新能源汽车异步电机铸铝转子通用要求》团体标准，公司在研发、技术、工艺等诸多方面已构建起行业壁垒，具有明显的行业先发优势。“轻量化、高性能新能源汽车电驱动异步感应电机铸铝转子制造技术”，荣获新华社中国经济信息社与中国汽车工程研究院举办的2025年汽车新质生产力“驱动技术优秀案例”。</w:t>
            </w:r>
          </w:p>
          <w:p w14:paraId="4343D2F7">
            <w:pPr>
              <w:pStyle w:val="17"/>
              <w:tabs>
                <w:tab w:val="left" w:pos="788"/>
              </w:tabs>
              <w:spacing w:line="360" w:lineRule="auto"/>
              <w:rPr>
                <w:rFonts w:hint="eastAsia" w:ascii="宋体" w:hAnsi="宋体" w:cs="宋体"/>
                <w:szCs w:val="21"/>
              </w:rPr>
            </w:pPr>
            <w:r>
              <w:rPr>
                <w:rFonts w:hint="eastAsia" w:ascii="宋体" w:hAnsi="宋体" w:cs="宋体"/>
                <w:szCs w:val="21"/>
              </w:rPr>
              <w:t>在产能布局方面，将结合未来的市场预测、下游客户订单需求以及产品项目的量产计划综合设计产能，适时推进产线建设，优化工艺路线以推进智能化、自动化生产，提高效率。</w:t>
            </w:r>
          </w:p>
          <w:p w14:paraId="3AC08845">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rPr>
              <w:t>2、公司谐波减速器的柔轮初坯进展情况及后续计划</w:t>
            </w:r>
          </w:p>
          <w:p w14:paraId="5EF94019">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在机器人谐波减速机柔轮初坯产品研发方面，公司创新采用精密冲压替代锻造工艺，联合产业链上下游开发特种材料，成功实现进口替代，目前该产品晶粒度等级测试指标在谐波柔轮的常用范围内，达到高疲劳强度要求。已有部分客户的疲劳寿命验证测试时间达到一个月以上均未出现异常问题，目前尚在持续测试验证中。同时公司持续进行柔轮初坯精加工工序的研发试制，打通公司柔轮初坯成型、精加工前序与客户精加工后序、珩磨内孔、滚齿等工序无缝衔接，实现与客户的零距离协同，减少工装夹具等重复投入，降低整体产业链成本，实现成本性能优势。</w:t>
            </w:r>
          </w:p>
          <w:p w14:paraId="35D64578">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将持续推进产品型号拓展研发测试，量产产线择机布局，同时积极拓展产业链客户，为后续量产和市场拓展奠定了基础，提升新质生产力。截至目前，柔轮初坯相关产品尚未形成收入，对公司业绩不形成重大影响，敬请投资者注意投资风险。</w:t>
            </w:r>
          </w:p>
          <w:p w14:paraId="2971D51F">
            <w:pPr>
              <w:pStyle w:val="17"/>
              <w:tabs>
                <w:tab w:val="left" w:pos="788"/>
              </w:tabs>
              <w:spacing w:line="360" w:lineRule="auto"/>
              <w:ind w:firstLine="0" w:firstLineChars="0"/>
              <w:rPr>
                <w:rFonts w:hint="default" w:ascii="宋体" w:hAnsi="宋体" w:cs="宋体"/>
                <w:b/>
                <w:bCs/>
                <w:szCs w:val="21"/>
                <w:lang w:val="en-US" w:eastAsia="zh-CN"/>
              </w:rPr>
            </w:pPr>
            <w:r>
              <w:rPr>
                <w:rFonts w:hint="eastAsia" w:ascii="宋体" w:hAnsi="宋体" w:cs="宋体"/>
                <w:b/>
                <w:bCs/>
                <w:szCs w:val="21"/>
                <w:lang w:val="en-US" w:eastAsia="zh-CN"/>
              </w:rPr>
              <w:t>3、公司定转子产品在非汽车领域的市场拓展情况</w:t>
            </w:r>
          </w:p>
          <w:p w14:paraId="19ED8494">
            <w:pPr>
              <w:pStyle w:val="17"/>
              <w:tabs>
                <w:tab w:val="left" w:pos="788"/>
              </w:tabs>
              <w:spacing w:line="360" w:lineRule="auto"/>
              <w:rPr>
                <w:rFonts w:hint="eastAsia" w:ascii="宋体" w:hAnsi="宋体" w:cs="宋体"/>
                <w:szCs w:val="21"/>
                <w:lang w:eastAsia="zh-CN"/>
              </w:rPr>
            </w:pPr>
            <w:r>
              <w:rPr>
                <w:rFonts w:hint="eastAsia" w:ascii="宋体" w:hAnsi="宋体" w:cs="宋体"/>
                <w:szCs w:val="21"/>
                <w:lang w:eastAsia="zh-CN"/>
              </w:rPr>
              <w:t>公司定转子产品在汽车领域的成熟应用基础上，逐步拓展至新兴行业领域，如：低空飞行电动垂直起降飞行器电机、无人清扫车扫盘电机定转子产品、人形机器人腰部电机定子产品等。截至目前，公司相关业务处于前期样品验证或小批阶段，占公司营业收入的比例非常小，对公司业绩不形成重大影响，未来也需要看行业的发展应用、客户的拓展情况及公司持续研发投入等，具有不确定性，敬请投资者注意投资风险。</w:t>
            </w:r>
          </w:p>
          <w:p w14:paraId="5CF4B9AD">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4</w:t>
            </w:r>
            <w:r>
              <w:rPr>
                <w:rFonts w:hint="eastAsia" w:ascii="宋体" w:hAnsi="宋体" w:cs="宋体"/>
                <w:b/>
                <w:bCs/>
                <w:szCs w:val="21"/>
              </w:rPr>
              <w:t>、公司风电产品的行业发展情况</w:t>
            </w:r>
          </w:p>
          <w:p w14:paraId="16494EF9">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szCs w:val="21"/>
              </w:rPr>
            </w:pPr>
            <w:r>
              <w:rPr>
                <w:rFonts w:hint="eastAsia" w:ascii="宋体" w:hAnsi="宋体" w:cs="宋体"/>
                <w:b w:val="0"/>
                <w:bCs w:val="0"/>
                <w:szCs w:val="21"/>
              </w:rPr>
              <w:t>公司风电行业保持架产品2025年上半年实现收入2.14亿元，同比增长118.65%；二季度达到1.30亿元，同比增长133.11%，环比增长54.16%。公司风电产品的未来发展主要取决于风电新增项目的招标以及公司新产品、新客户的持续拓展，从而带动市场份额的提升。根据中国风电新闻网公布的2025年1-6月中国风电不含框架招标项目总规模为91,853MW（含国际项目），与2024年1-6月中国风电不含框架招标项目总规模82,813MW（含国际项目）相比增长了10.92%，为公司轴承保持架增加了较为显著的市场容量。</w:t>
            </w:r>
          </w:p>
          <w:p w14:paraId="2296C3D1">
            <w:pPr>
              <w:pStyle w:val="17"/>
              <w:tabs>
                <w:tab w:val="left" w:pos="788"/>
              </w:tabs>
              <w:spacing w:line="360" w:lineRule="auto"/>
              <w:ind w:firstLine="0" w:firstLineChars="0"/>
              <w:rPr>
                <w:rFonts w:hint="eastAsia" w:ascii="宋体" w:hAnsi="宋体" w:cs="宋体"/>
                <w:b/>
                <w:bCs/>
                <w:szCs w:val="21"/>
              </w:rPr>
            </w:pPr>
            <w:r>
              <w:rPr>
                <w:rFonts w:hint="eastAsia" w:ascii="宋体" w:hAnsi="宋体" w:cs="宋体"/>
                <w:b/>
                <w:bCs/>
                <w:szCs w:val="21"/>
                <w:lang w:val="en-US" w:eastAsia="zh-CN"/>
              </w:rPr>
              <w:t>5</w:t>
            </w:r>
            <w:r>
              <w:rPr>
                <w:rFonts w:hint="eastAsia" w:ascii="宋体" w:hAnsi="宋体" w:cs="宋体"/>
                <w:b/>
                <w:bCs/>
                <w:szCs w:val="21"/>
              </w:rPr>
              <w:t>、公司的产品毛利率及利润率情况</w:t>
            </w:r>
          </w:p>
          <w:p w14:paraId="382F19E9">
            <w:pPr>
              <w:pStyle w:val="17"/>
              <w:tabs>
                <w:tab w:val="left" w:pos="788"/>
              </w:tabs>
              <w:spacing w:line="360" w:lineRule="auto"/>
              <w:rPr>
                <w:rFonts w:hint="eastAsia" w:ascii="宋体" w:hAnsi="宋体" w:cs="宋体"/>
                <w:szCs w:val="21"/>
              </w:rPr>
            </w:pPr>
            <w:r>
              <w:rPr>
                <w:rFonts w:hint="eastAsia" w:ascii="宋体" w:hAnsi="宋体" w:cs="宋体"/>
                <w:szCs w:val="21"/>
              </w:rPr>
              <w:t>公司2025年一季度毛利为11,605.07万元，二季度毛利为12,485.15万元，环比一季度增长7.58%，2025年1-6月份毛利为 24,090.22万元，同比增长32.69%，盈利能力顺势恢复。公司毛利率随着产品结构的变化，呈现一定的下降，但营业收入的持续增长，能够有效摊薄固定费用，从而使公司利润率保持合理的水平。</w:t>
            </w:r>
          </w:p>
          <w:p w14:paraId="3DBA0453">
            <w:pPr>
              <w:pStyle w:val="17"/>
              <w:tabs>
                <w:tab w:val="left" w:pos="788"/>
              </w:tabs>
              <w:spacing w:line="360" w:lineRule="auto"/>
              <w:ind w:left="0" w:leftChars="0" w:firstLine="0" w:firstLineChars="0"/>
              <w:rPr>
                <w:rFonts w:hint="default" w:ascii="宋体" w:hAnsi="宋体" w:eastAsia="宋体" w:cs="宋体"/>
                <w:b/>
                <w:bCs/>
                <w:szCs w:val="21"/>
                <w:lang w:val="en-US" w:eastAsia="zh-CN"/>
              </w:rPr>
            </w:pPr>
            <w:r>
              <w:rPr>
                <w:rFonts w:hint="eastAsia" w:ascii="宋体" w:hAnsi="宋体" w:cs="宋体"/>
                <w:b/>
                <w:bCs/>
                <w:szCs w:val="21"/>
                <w:lang w:val="en-US" w:eastAsia="zh-CN"/>
              </w:rPr>
              <w:t>6、现场参观</w:t>
            </w:r>
          </w:p>
          <w:p w14:paraId="369BA12F">
            <w:pPr>
              <w:pStyle w:val="17"/>
              <w:keepNext w:val="0"/>
              <w:keepLines w:val="0"/>
              <w:pageBreakBefore w:val="0"/>
              <w:widowControl w:val="0"/>
              <w:tabs>
                <w:tab w:val="left" w:pos="788"/>
              </w:tabs>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szCs w:val="21"/>
              </w:rPr>
            </w:pPr>
            <w:r>
              <w:rPr>
                <w:rFonts w:hint="eastAsia" w:ascii="宋体" w:hAnsi="宋体" w:cs="宋体"/>
                <w:szCs w:val="21"/>
              </w:rPr>
              <w:t>参观生产现场及实验室检测设备现场。</w:t>
            </w:r>
          </w:p>
        </w:tc>
      </w:tr>
      <w:tr w14:paraId="6E4A1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617" w:type="dxa"/>
            <w:tcBorders>
              <w:top w:val="single" w:color="auto" w:sz="4" w:space="0"/>
              <w:left w:val="single" w:color="auto" w:sz="12" w:space="0"/>
              <w:bottom w:val="single" w:color="auto" w:sz="4" w:space="0"/>
              <w:right w:val="single" w:color="auto" w:sz="4" w:space="0"/>
            </w:tcBorders>
            <w:vAlign w:val="center"/>
          </w:tcPr>
          <w:p w14:paraId="1EF68EFF">
            <w:pPr>
              <w:jc w:val="center"/>
              <w:rPr>
                <w:rFonts w:hint="eastAsia" w:ascii="宋体" w:hAnsi="宋体" w:cs="宋体"/>
                <w:b/>
                <w:bCs/>
                <w:sz w:val="24"/>
              </w:rPr>
            </w:pPr>
            <w:r>
              <w:rPr>
                <w:rFonts w:hint="eastAsia" w:ascii="宋体" w:hAnsi="宋体" w:cs="宋体"/>
                <w:b/>
                <w:bCs/>
                <w:sz w:val="24"/>
              </w:rPr>
              <w:t>附件清单</w:t>
            </w:r>
          </w:p>
          <w:p w14:paraId="3757BE4B">
            <w:pPr>
              <w:jc w:val="center"/>
              <w:rPr>
                <w:rFonts w:hint="eastAsia" w:ascii="宋体" w:hAnsi="宋体" w:cs="宋体"/>
                <w:b/>
                <w:bCs/>
                <w:sz w:val="24"/>
              </w:rPr>
            </w:pPr>
            <w:r>
              <w:rPr>
                <w:rFonts w:hint="eastAsia" w:ascii="宋体" w:hAnsi="宋体" w:cs="宋体"/>
                <w:b/>
                <w:bCs/>
                <w:sz w:val="24"/>
              </w:rPr>
              <w:t>（如有）</w:t>
            </w:r>
          </w:p>
        </w:tc>
        <w:tc>
          <w:tcPr>
            <w:tcW w:w="7395" w:type="dxa"/>
            <w:tcBorders>
              <w:top w:val="single" w:color="auto" w:sz="4" w:space="0"/>
              <w:left w:val="single" w:color="auto" w:sz="4" w:space="0"/>
              <w:bottom w:val="single" w:color="auto" w:sz="4" w:space="0"/>
              <w:right w:val="single" w:color="auto" w:sz="12" w:space="0"/>
            </w:tcBorders>
            <w:vAlign w:val="center"/>
          </w:tcPr>
          <w:p w14:paraId="59290502">
            <w:pPr>
              <w:spacing w:line="360" w:lineRule="auto"/>
              <w:rPr>
                <w:rFonts w:hint="eastAsia" w:ascii="宋体" w:hAnsi="宋体" w:cs="宋体"/>
                <w:sz w:val="24"/>
              </w:rPr>
            </w:pPr>
            <w:r>
              <w:rPr>
                <w:rFonts w:hint="eastAsia" w:ascii="宋体" w:hAnsi="宋体" w:cs="宋体"/>
                <w:sz w:val="24"/>
              </w:rPr>
              <w:t>无</w:t>
            </w:r>
          </w:p>
        </w:tc>
      </w:tr>
    </w:tbl>
    <w:p w14:paraId="06569A5F">
      <w:pPr>
        <w:widowControl/>
        <w:jc w:val="left"/>
        <w:rPr>
          <w:rFonts w:hint="eastAsia" w:ascii="宋体" w:hAnsi="宋体" w:cs="宋体"/>
        </w:rPr>
      </w:pPr>
    </w:p>
    <w:sectPr>
      <w:headerReference r:id="rId3" w:type="default"/>
      <w:pgSz w:w="12240" w:h="15840"/>
      <w:pgMar w:top="986" w:right="1800" w:bottom="986"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799F1">
    <w:pPr>
      <w:pStyle w:val="5"/>
      <w:rPr>
        <w:rFonts w:hint="eastAsia" w:ascii="楷体" w:hAnsi="楷体" w:eastAsia="楷体"/>
      </w:rPr>
    </w:pPr>
    <w:r>
      <w:rPr>
        <w:rFonts w:hint="eastAsia" w:ascii="楷体" w:hAnsi="楷体" w:eastAsia="楷体"/>
      </w:rPr>
      <w:t xml:space="preserve">山东金帝精密机械科技股份有限公司 </w:t>
    </w:r>
    <w:r>
      <w:rPr>
        <w:rFonts w:ascii="楷体" w:hAnsi="楷体" w:eastAsia="楷体"/>
      </w:rPr>
      <w:t xml:space="preserve">                                          </w:t>
    </w:r>
    <w:r>
      <w:rPr>
        <w:rFonts w:hint="eastAsia" w:ascii="楷体" w:hAnsi="楷体" w:eastAsia="楷体"/>
      </w:rPr>
      <w:t>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iZGQxNmMzYTcwYjk0ZmU1Y2E2MWRhMzUyNWU5ZWQifQ=="/>
  </w:docVars>
  <w:rsids>
    <w:rsidRoot w:val="00172A27"/>
    <w:rsid w:val="00000D18"/>
    <w:rsid w:val="000076A8"/>
    <w:rsid w:val="00013B2C"/>
    <w:rsid w:val="000251BC"/>
    <w:rsid w:val="00031EDC"/>
    <w:rsid w:val="00032FBF"/>
    <w:rsid w:val="0004190F"/>
    <w:rsid w:val="0006665D"/>
    <w:rsid w:val="000701C4"/>
    <w:rsid w:val="000752AD"/>
    <w:rsid w:val="000B7145"/>
    <w:rsid w:val="000C0917"/>
    <w:rsid w:val="000C646D"/>
    <w:rsid w:val="000D1EEA"/>
    <w:rsid w:val="000E0A29"/>
    <w:rsid w:val="000E4A02"/>
    <w:rsid w:val="000E4CDF"/>
    <w:rsid w:val="000F7A15"/>
    <w:rsid w:val="00106CE5"/>
    <w:rsid w:val="00110AC1"/>
    <w:rsid w:val="00110FC0"/>
    <w:rsid w:val="00114B26"/>
    <w:rsid w:val="00121DE3"/>
    <w:rsid w:val="00127A0C"/>
    <w:rsid w:val="00135DE9"/>
    <w:rsid w:val="00136571"/>
    <w:rsid w:val="0014063C"/>
    <w:rsid w:val="001716C9"/>
    <w:rsid w:val="00172A27"/>
    <w:rsid w:val="001764CF"/>
    <w:rsid w:val="00180E8C"/>
    <w:rsid w:val="001C3E04"/>
    <w:rsid w:val="001C65A5"/>
    <w:rsid w:val="001D76A0"/>
    <w:rsid w:val="001F217D"/>
    <w:rsid w:val="002051B0"/>
    <w:rsid w:val="0021568D"/>
    <w:rsid w:val="002421F3"/>
    <w:rsid w:val="0025795E"/>
    <w:rsid w:val="002866B8"/>
    <w:rsid w:val="002A590A"/>
    <w:rsid w:val="002A5DDA"/>
    <w:rsid w:val="002B1EA1"/>
    <w:rsid w:val="002B2792"/>
    <w:rsid w:val="002B5738"/>
    <w:rsid w:val="002C7C5F"/>
    <w:rsid w:val="003046C0"/>
    <w:rsid w:val="003146EB"/>
    <w:rsid w:val="003168B2"/>
    <w:rsid w:val="00325AE8"/>
    <w:rsid w:val="00342805"/>
    <w:rsid w:val="00356C12"/>
    <w:rsid w:val="0036096D"/>
    <w:rsid w:val="003712F0"/>
    <w:rsid w:val="00372B7B"/>
    <w:rsid w:val="0038126C"/>
    <w:rsid w:val="00382B1C"/>
    <w:rsid w:val="00382BB7"/>
    <w:rsid w:val="00385F42"/>
    <w:rsid w:val="00394720"/>
    <w:rsid w:val="003A22AA"/>
    <w:rsid w:val="003C56D1"/>
    <w:rsid w:val="003D2184"/>
    <w:rsid w:val="003E6473"/>
    <w:rsid w:val="003F6DC0"/>
    <w:rsid w:val="00402082"/>
    <w:rsid w:val="00415566"/>
    <w:rsid w:val="0042296F"/>
    <w:rsid w:val="00426B09"/>
    <w:rsid w:val="004413F5"/>
    <w:rsid w:val="00453D13"/>
    <w:rsid w:val="00456D35"/>
    <w:rsid w:val="00461E20"/>
    <w:rsid w:val="004646BB"/>
    <w:rsid w:val="00464AC6"/>
    <w:rsid w:val="00476C84"/>
    <w:rsid w:val="004853F9"/>
    <w:rsid w:val="0049067C"/>
    <w:rsid w:val="00496215"/>
    <w:rsid w:val="00496ED9"/>
    <w:rsid w:val="004A215B"/>
    <w:rsid w:val="004B35E2"/>
    <w:rsid w:val="004B42FE"/>
    <w:rsid w:val="004C7EAD"/>
    <w:rsid w:val="004D001F"/>
    <w:rsid w:val="004D45FF"/>
    <w:rsid w:val="004E3115"/>
    <w:rsid w:val="004F3029"/>
    <w:rsid w:val="0050067C"/>
    <w:rsid w:val="005026B6"/>
    <w:rsid w:val="00502E9C"/>
    <w:rsid w:val="00520FE3"/>
    <w:rsid w:val="0052527D"/>
    <w:rsid w:val="00527CF4"/>
    <w:rsid w:val="00532959"/>
    <w:rsid w:val="005404CA"/>
    <w:rsid w:val="005515C2"/>
    <w:rsid w:val="00556BB3"/>
    <w:rsid w:val="0056159D"/>
    <w:rsid w:val="00563FA2"/>
    <w:rsid w:val="005703A5"/>
    <w:rsid w:val="005761E2"/>
    <w:rsid w:val="005858D9"/>
    <w:rsid w:val="0059023D"/>
    <w:rsid w:val="00593A35"/>
    <w:rsid w:val="005B02EB"/>
    <w:rsid w:val="005D4B0E"/>
    <w:rsid w:val="005F5AB1"/>
    <w:rsid w:val="0060293E"/>
    <w:rsid w:val="00605E6F"/>
    <w:rsid w:val="00613EDC"/>
    <w:rsid w:val="0062262A"/>
    <w:rsid w:val="006264DF"/>
    <w:rsid w:val="00627ADB"/>
    <w:rsid w:val="00646058"/>
    <w:rsid w:val="00661F6B"/>
    <w:rsid w:val="00664FF6"/>
    <w:rsid w:val="006655B9"/>
    <w:rsid w:val="006672F6"/>
    <w:rsid w:val="006B22F5"/>
    <w:rsid w:val="006C7C57"/>
    <w:rsid w:val="006D2E8D"/>
    <w:rsid w:val="006D389E"/>
    <w:rsid w:val="00711238"/>
    <w:rsid w:val="0071206F"/>
    <w:rsid w:val="00712771"/>
    <w:rsid w:val="00716A70"/>
    <w:rsid w:val="00720F84"/>
    <w:rsid w:val="00721266"/>
    <w:rsid w:val="0073320D"/>
    <w:rsid w:val="00736A80"/>
    <w:rsid w:val="00742D08"/>
    <w:rsid w:val="007460EB"/>
    <w:rsid w:val="00746C2A"/>
    <w:rsid w:val="007713DA"/>
    <w:rsid w:val="00771BAA"/>
    <w:rsid w:val="00792EEF"/>
    <w:rsid w:val="007A4530"/>
    <w:rsid w:val="007A6F30"/>
    <w:rsid w:val="007A7D7C"/>
    <w:rsid w:val="007B371D"/>
    <w:rsid w:val="007B4CF9"/>
    <w:rsid w:val="007D50CC"/>
    <w:rsid w:val="007D738A"/>
    <w:rsid w:val="007F2858"/>
    <w:rsid w:val="007F717B"/>
    <w:rsid w:val="007F74C6"/>
    <w:rsid w:val="007F7552"/>
    <w:rsid w:val="00800D77"/>
    <w:rsid w:val="008046CB"/>
    <w:rsid w:val="00804B8F"/>
    <w:rsid w:val="00804DE1"/>
    <w:rsid w:val="008057B4"/>
    <w:rsid w:val="008405F3"/>
    <w:rsid w:val="0084397E"/>
    <w:rsid w:val="008525B9"/>
    <w:rsid w:val="00854B7A"/>
    <w:rsid w:val="00866709"/>
    <w:rsid w:val="00870B23"/>
    <w:rsid w:val="00891E31"/>
    <w:rsid w:val="008A10B2"/>
    <w:rsid w:val="008B1C28"/>
    <w:rsid w:val="008C24CC"/>
    <w:rsid w:val="008C7E7C"/>
    <w:rsid w:val="008D1D7F"/>
    <w:rsid w:val="008F64E9"/>
    <w:rsid w:val="008F77EE"/>
    <w:rsid w:val="00904EA2"/>
    <w:rsid w:val="00940831"/>
    <w:rsid w:val="00950339"/>
    <w:rsid w:val="00960FAA"/>
    <w:rsid w:val="009626AA"/>
    <w:rsid w:val="009759ED"/>
    <w:rsid w:val="0097726C"/>
    <w:rsid w:val="0098145D"/>
    <w:rsid w:val="009830FD"/>
    <w:rsid w:val="00986A7C"/>
    <w:rsid w:val="009918C4"/>
    <w:rsid w:val="009A084D"/>
    <w:rsid w:val="009A7E63"/>
    <w:rsid w:val="009B005C"/>
    <w:rsid w:val="009B0125"/>
    <w:rsid w:val="009B58AF"/>
    <w:rsid w:val="009C379C"/>
    <w:rsid w:val="009D40D8"/>
    <w:rsid w:val="009D718A"/>
    <w:rsid w:val="009E1B35"/>
    <w:rsid w:val="009E74AD"/>
    <w:rsid w:val="009F29D5"/>
    <w:rsid w:val="009F3F06"/>
    <w:rsid w:val="009F539F"/>
    <w:rsid w:val="00A0202F"/>
    <w:rsid w:val="00A05634"/>
    <w:rsid w:val="00A127DE"/>
    <w:rsid w:val="00A24A6E"/>
    <w:rsid w:val="00A55870"/>
    <w:rsid w:val="00A62859"/>
    <w:rsid w:val="00A6428F"/>
    <w:rsid w:val="00A73B46"/>
    <w:rsid w:val="00A82D19"/>
    <w:rsid w:val="00A91197"/>
    <w:rsid w:val="00A93B61"/>
    <w:rsid w:val="00A950CC"/>
    <w:rsid w:val="00A96029"/>
    <w:rsid w:val="00AA1054"/>
    <w:rsid w:val="00AA36D7"/>
    <w:rsid w:val="00AB192F"/>
    <w:rsid w:val="00AB3F05"/>
    <w:rsid w:val="00AC1815"/>
    <w:rsid w:val="00AC36A7"/>
    <w:rsid w:val="00AE1D23"/>
    <w:rsid w:val="00AF121D"/>
    <w:rsid w:val="00B029F9"/>
    <w:rsid w:val="00B0524B"/>
    <w:rsid w:val="00B16C30"/>
    <w:rsid w:val="00B273B0"/>
    <w:rsid w:val="00B418A3"/>
    <w:rsid w:val="00B533A2"/>
    <w:rsid w:val="00B5658A"/>
    <w:rsid w:val="00B62C32"/>
    <w:rsid w:val="00B85A0D"/>
    <w:rsid w:val="00B90446"/>
    <w:rsid w:val="00BA14F2"/>
    <w:rsid w:val="00BA5BFE"/>
    <w:rsid w:val="00BB4944"/>
    <w:rsid w:val="00BD0C60"/>
    <w:rsid w:val="00BE2645"/>
    <w:rsid w:val="00BE67F0"/>
    <w:rsid w:val="00C064EA"/>
    <w:rsid w:val="00C166B8"/>
    <w:rsid w:val="00C3372B"/>
    <w:rsid w:val="00C358B5"/>
    <w:rsid w:val="00C42CBD"/>
    <w:rsid w:val="00C4451C"/>
    <w:rsid w:val="00C47C64"/>
    <w:rsid w:val="00C51B18"/>
    <w:rsid w:val="00C5461F"/>
    <w:rsid w:val="00C61A3F"/>
    <w:rsid w:val="00C63FD3"/>
    <w:rsid w:val="00C70626"/>
    <w:rsid w:val="00C711F7"/>
    <w:rsid w:val="00C95434"/>
    <w:rsid w:val="00CA27D4"/>
    <w:rsid w:val="00CA2A45"/>
    <w:rsid w:val="00CA6F63"/>
    <w:rsid w:val="00CC62F4"/>
    <w:rsid w:val="00CC75B4"/>
    <w:rsid w:val="00CE3455"/>
    <w:rsid w:val="00CF0E73"/>
    <w:rsid w:val="00CF47E1"/>
    <w:rsid w:val="00CF6E94"/>
    <w:rsid w:val="00D03EE5"/>
    <w:rsid w:val="00D0634E"/>
    <w:rsid w:val="00D1386F"/>
    <w:rsid w:val="00D156EC"/>
    <w:rsid w:val="00D320C3"/>
    <w:rsid w:val="00D40929"/>
    <w:rsid w:val="00D83A19"/>
    <w:rsid w:val="00DA0D89"/>
    <w:rsid w:val="00DA3C8F"/>
    <w:rsid w:val="00DB35E3"/>
    <w:rsid w:val="00DC6FE4"/>
    <w:rsid w:val="00DD0014"/>
    <w:rsid w:val="00DD5690"/>
    <w:rsid w:val="00DE1B2B"/>
    <w:rsid w:val="00DE7187"/>
    <w:rsid w:val="00DF0E83"/>
    <w:rsid w:val="00DF2823"/>
    <w:rsid w:val="00DF3D1C"/>
    <w:rsid w:val="00E055F9"/>
    <w:rsid w:val="00E11158"/>
    <w:rsid w:val="00E23166"/>
    <w:rsid w:val="00E27593"/>
    <w:rsid w:val="00E33B82"/>
    <w:rsid w:val="00E37D7D"/>
    <w:rsid w:val="00E42839"/>
    <w:rsid w:val="00E43D1B"/>
    <w:rsid w:val="00E43E56"/>
    <w:rsid w:val="00E46E07"/>
    <w:rsid w:val="00E509DB"/>
    <w:rsid w:val="00E51087"/>
    <w:rsid w:val="00E751D8"/>
    <w:rsid w:val="00E90C93"/>
    <w:rsid w:val="00E91FB3"/>
    <w:rsid w:val="00E9483C"/>
    <w:rsid w:val="00E95915"/>
    <w:rsid w:val="00EA7263"/>
    <w:rsid w:val="00EC7D20"/>
    <w:rsid w:val="00EE0078"/>
    <w:rsid w:val="00EE1486"/>
    <w:rsid w:val="00EE5C90"/>
    <w:rsid w:val="00EE7267"/>
    <w:rsid w:val="00EF18FB"/>
    <w:rsid w:val="00F05D98"/>
    <w:rsid w:val="00F3084E"/>
    <w:rsid w:val="00F347DB"/>
    <w:rsid w:val="00F3591D"/>
    <w:rsid w:val="00F572D6"/>
    <w:rsid w:val="00F6067C"/>
    <w:rsid w:val="00F6299C"/>
    <w:rsid w:val="00F65DD0"/>
    <w:rsid w:val="00F67637"/>
    <w:rsid w:val="00F739E9"/>
    <w:rsid w:val="00F7709D"/>
    <w:rsid w:val="00F838D5"/>
    <w:rsid w:val="00FA5733"/>
    <w:rsid w:val="00FA5D36"/>
    <w:rsid w:val="00FB0456"/>
    <w:rsid w:val="00FB04BE"/>
    <w:rsid w:val="00FE1942"/>
    <w:rsid w:val="00FE2E5A"/>
    <w:rsid w:val="00FF5BE3"/>
    <w:rsid w:val="021F2F1C"/>
    <w:rsid w:val="02350F57"/>
    <w:rsid w:val="028B5457"/>
    <w:rsid w:val="03791753"/>
    <w:rsid w:val="05FE4D9E"/>
    <w:rsid w:val="062A4F87"/>
    <w:rsid w:val="065D7953"/>
    <w:rsid w:val="06624721"/>
    <w:rsid w:val="06B50CF4"/>
    <w:rsid w:val="06FA704F"/>
    <w:rsid w:val="07AD40C1"/>
    <w:rsid w:val="082C7F0C"/>
    <w:rsid w:val="088755BB"/>
    <w:rsid w:val="08EE04EE"/>
    <w:rsid w:val="093E76C7"/>
    <w:rsid w:val="09574760"/>
    <w:rsid w:val="09714747"/>
    <w:rsid w:val="09D019BF"/>
    <w:rsid w:val="0A1026E6"/>
    <w:rsid w:val="0A63050D"/>
    <w:rsid w:val="0AEE023D"/>
    <w:rsid w:val="0BBA3B06"/>
    <w:rsid w:val="0BD71E82"/>
    <w:rsid w:val="0C8A2C23"/>
    <w:rsid w:val="0DF227A4"/>
    <w:rsid w:val="0E433671"/>
    <w:rsid w:val="0E734FCF"/>
    <w:rsid w:val="0E744C7A"/>
    <w:rsid w:val="0E76252A"/>
    <w:rsid w:val="0E7917D2"/>
    <w:rsid w:val="0E8D1CD1"/>
    <w:rsid w:val="0EAB2B6B"/>
    <w:rsid w:val="0ECF2B6F"/>
    <w:rsid w:val="0F6C1DB4"/>
    <w:rsid w:val="0F6F5A6E"/>
    <w:rsid w:val="0FB35FED"/>
    <w:rsid w:val="0FB41ADB"/>
    <w:rsid w:val="104135F9"/>
    <w:rsid w:val="1136523C"/>
    <w:rsid w:val="11DB182B"/>
    <w:rsid w:val="12541D09"/>
    <w:rsid w:val="12B83A1C"/>
    <w:rsid w:val="13084BF5"/>
    <w:rsid w:val="134A4EBA"/>
    <w:rsid w:val="13681676"/>
    <w:rsid w:val="13804818"/>
    <w:rsid w:val="15700933"/>
    <w:rsid w:val="15872EC9"/>
    <w:rsid w:val="163D4862"/>
    <w:rsid w:val="16AB4A88"/>
    <w:rsid w:val="17CF06B3"/>
    <w:rsid w:val="18A62EAB"/>
    <w:rsid w:val="1AB248CF"/>
    <w:rsid w:val="1AF57E02"/>
    <w:rsid w:val="1B961A2C"/>
    <w:rsid w:val="1C281B11"/>
    <w:rsid w:val="1C393FCE"/>
    <w:rsid w:val="1C4A1A87"/>
    <w:rsid w:val="1D5F5185"/>
    <w:rsid w:val="1D646B79"/>
    <w:rsid w:val="1D94745E"/>
    <w:rsid w:val="1E2F53D8"/>
    <w:rsid w:val="1E543091"/>
    <w:rsid w:val="1F114ADE"/>
    <w:rsid w:val="1F155ECE"/>
    <w:rsid w:val="1F3031B6"/>
    <w:rsid w:val="1FF673CA"/>
    <w:rsid w:val="20FC3C98"/>
    <w:rsid w:val="21507B54"/>
    <w:rsid w:val="22827E15"/>
    <w:rsid w:val="22AF4D3A"/>
    <w:rsid w:val="2370112B"/>
    <w:rsid w:val="23A83C63"/>
    <w:rsid w:val="23DB3F63"/>
    <w:rsid w:val="24465EFD"/>
    <w:rsid w:val="24DE5462"/>
    <w:rsid w:val="25333A00"/>
    <w:rsid w:val="2562533C"/>
    <w:rsid w:val="269229A8"/>
    <w:rsid w:val="269B372A"/>
    <w:rsid w:val="26DA5C3E"/>
    <w:rsid w:val="2745371A"/>
    <w:rsid w:val="27CE7A10"/>
    <w:rsid w:val="27F600B2"/>
    <w:rsid w:val="28EA2F04"/>
    <w:rsid w:val="29F71032"/>
    <w:rsid w:val="2AEF5D34"/>
    <w:rsid w:val="2B1B32F7"/>
    <w:rsid w:val="2B3F3269"/>
    <w:rsid w:val="2C0E57B8"/>
    <w:rsid w:val="2C1A3224"/>
    <w:rsid w:val="2C9C2162"/>
    <w:rsid w:val="2CBA5C99"/>
    <w:rsid w:val="2D1759B5"/>
    <w:rsid w:val="2D4402E1"/>
    <w:rsid w:val="2D9D235F"/>
    <w:rsid w:val="2E00644A"/>
    <w:rsid w:val="2E56402D"/>
    <w:rsid w:val="2E7712D2"/>
    <w:rsid w:val="2F8D1C03"/>
    <w:rsid w:val="30DE13F4"/>
    <w:rsid w:val="323C47BB"/>
    <w:rsid w:val="3321133C"/>
    <w:rsid w:val="33615BDC"/>
    <w:rsid w:val="342A2472"/>
    <w:rsid w:val="34364781"/>
    <w:rsid w:val="34FC2660"/>
    <w:rsid w:val="360C6034"/>
    <w:rsid w:val="36283D5A"/>
    <w:rsid w:val="3680281D"/>
    <w:rsid w:val="36C2479A"/>
    <w:rsid w:val="36F079A3"/>
    <w:rsid w:val="372206EE"/>
    <w:rsid w:val="37586C7E"/>
    <w:rsid w:val="38174ABC"/>
    <w:rsid w:val="38EF7122"/>
    <w:rsid w:val="3A396F6B"/>
    <w:rsid w:val="3B1575DB"/>
    <w:rsid w:val="3CDF3E63"/>
    <w:rsid w:val="3D235CB1"/>
    <w:rsid w:val="3D54230E"/>
    <w:rsid w:val="3DB039E8"/>
    <w:rsid w:val="3F3B5533"/>
    <w:rsid w:val="3F855194"/>
    <w:rsid w:val="3F9E5AF5"/>
    <w:rsid w:val="3FFB177B"/>
    <w:rsid w:val="406A5594"/>
    <w:rsid w:val="408D14D1"/>
    <w:rsid w:val="41A87A44"/>
    <w:rsid w:val="41B15F81"/>
    <w:rsid w:val="41BE41FA"/>
    <w:rsid w:val="42417305"/>
    <w:rsid w:val="42777F20"/>
    <w:rsid w:val="42A45AE6"/>
    <w:rsid w:val="42B51AA1"/>
    <w:rsid w:val="42CB6BCE"/>
    <w:rsid w:val="42DD053E"/>
    <w:rsid w:val="43892C26"/>
    <w:rsid w:val="43D81D74"/>
    <w:rsid w:val="44A26356"/>
    <w:rsid w:val="44A616A1"/>
    <w:rsid w:val="457F7836"/>
    <w:rsid w:val="45A51959"/>
    <w:rsid w:val="462C02CC"/>
    <w:rsid w:val="47AA594C"/>
    <w:rsid w:val="47EA3E68"/>
    <w:rsid w:val="485E5304"/>
    <w:rsid w:val="486E77C8"/>
    <w:rsid w:val="489772F0"/>
    <w:rsid w:val="48981C49"/>
    <w:rsid w:val="493E26B7"/>
    <w:rsid w:val="49D42A65"/>
    <w:rsid w:val="4A4F27DB"/>
    <w:rsid w:val="4AFA62A3"/>
    <w:rsid w:val="4B48362D"/>
    <w:rsid w:val="4B8816A1"/>
    <w:rsid w:val="4BA12BC2"/>
    <w:rsid w:val="4C0D2006"/>
    <w:rsid w:val="4C8074D6"/>
    <w:rsid w:val="4C9C48D0"/>
    <w:rsid w:val="4EEE652E"/>
    <w:rsid w:val="4EF63225"/>
    <w:rsid w:val="50646EE4"/>
    <w:rsid w:val="51295E33"/>
    <w:rsid w:val="51633E2C"/>
    <w:rsid w:val="53257A81"/>
    <w:rsid w:val="53424C8B"/>
    <w:rsid w:val="53AB6CD4"/>
    <w:rsid w:val="546D21DB"/>
    <w:rsid w:val="556331D3"/>
    <w:rsid w:val="55AD3750"/>
    <w:rsid w:val="56DB79FF"/>
    <w:rsid w:val="57392849"/>
    <w:rsid w:val="5750754E"/>
    <w:rsid w:val="580A7B81"/>
    <w:rsid w:val="593F3A1A"/>
    <w:rsid w:val="59871AC3"/>
    <w:rsid w:val="59D309F0"/>
    <w:rsid w:val="5A1A017F"/>
    <w:rsid w:val="5A364A3A"/>
    <w:rsid w:val="5A916CD3"/>
    <w:rsid w:val="5AFC6067"/>
    <w:rsid w:val="5BA16936"/>
    <w:rsid w:val="5BE709C6"/>
    <w:rsid w:val="5BEA4B0C"/>
    <w:rsid w:val="5BFA166A"/>
    <w:rsid w:val="5C5B500F"/>
    <w:rsid w:val="5D470628"/>
    <w:rsid w:val="5DB01CA7"/>
    <w:rsid w:val="5DF179D9"/>
    <w:rsid w:val="5E396414"/>
    <w:rsid w:val="5E6E0245"/>
    <w:rsid w:val="5ED15115"/>
    <w:rsid w:val="5ED82947"/>
    <w:rsid w:val="5F1A6ABC"/>
    <w:rsid w:val="5F3D09FC"/>
    <w:rsid w:val="5F571ABE"/>
    <w:rsid w:val="604E62A2"/>
    <w:rsid w:val="608D588B"/>
    <w:rsid w:val="612A4AE1"/>
    <w:rsid w:val="61AE4130"/>
    <w:rsid w:val="61FE5408"/>
    <w:rsid w:val="628D6DFD"/>
    <w:rsid w:val="62DE42A4"/>
    <w:rsid w:val="64421FF9"/>
    <w:rsid w:val="647B148B"/>
    <w:rsid w:val="65444B12"/>
    <w:rsid w:val="660202AA"/>
    <w:rsid w:val="67BD3F72"/>
    <w:rsid w:val="67DC5256"/>
    <w:rsid w:val="67E5006B"/>
    <w:rsid w:val="68523C9C"/>
    <w:rsid w:val="69735746"/>
    <w:rsid w:val="69F60125"/>
    <w:rsid w:val="6A4946F9"/>
    <w:rsid w:val="6A694D9B"/>
    <w:rsid w:val="6ADF0C04"/>
    <w:rsid w:val="6B3E22B7"/>
    <w:rsid w:val="6B6E799E"/>
    <w:rsid w:val="6B8C6F93"/>
    <w:rsid w:val="6C266F3E"/>
    <w:rsid w:val="6C835B15"/>
    <w:rsid w:val="6D8601D1"/>
    <w:rsid w:val="6D88378A"/>
    <w:rsid w:val="6E254810"/>
    <w:rsid w:val="6E9248C1"/>
    <w:rsid w:val="6EE46909"/>
    <w:rsid w:val="6F2226D7"/>
    <w:rsid w:val="6F3A28AE"/>
    <w:rsid w:val="6F581E54"/>
    <w:rsid w:val="6FB62831"/>
    <w:rsid w:val="70CE7706"/>
    <w:rsid w:val="70DD4CE7"/>
    <w:rsid w:val="711F0FA6"/>
    <w:rsid w:val="7143510B"/>
    <w:rsid w:val="71C034F3"/>
    <w:rsid w:val="72946600"/>
    <w:rsid w:val="72C53305"/>
    <w:rsid w:val="72C57C74"/>
    <w:rsid w:val="72CE7E91"/>
    <w:rsid w:val="72D40618"/>
    <w:rsid w:val="730B5916"/>
    <w:rsid w:val="730E401F"/>
    <w:rsid w:val="735C724B"/>
    <w:rsid w:val="73775FE8"/>
    <w:rsid w:val="7399049F"/>
    <w:rsid w:val="73B10D49"/>
    <w:rsid w:val="74E268CD"/>
    <w:rsid w:val="74F57957"/>
    <w:rsid w:val="74FC2707"/>
    <w:rsid w:val="75A60C51"/>
    <w:rsid w:val="75AD70BD"/>
    <w:rsid w:val="75EE10A6"/>
    <w:rsid w:val="763B3A90"/>
    <w:rsid w:val="77594010"/>
    <w:rsid w:val="783830F2"/>
    <w:rsid w:val="784C05C2"/>
    <w:rsid w:val="784F4498"/>
    <w:rsid w:val="78BA2D1C"/>
    <w:rsid w:val="79865022"/>
    <w:rsid w:val="7A787CE0"/>
    <w:rsid w:val="7AA634A2"/>
    <w:rsid w:val="7B3B1E3C"/>
    <w:rsid w:val="7B8B16C1"/>
    <w:rsid w:val="7BB557D8"/>
    <w:rsid w:val="7BC73422"/>
    <w:rsid w:val="7C52568F"/>
    <w:rsid w:val="7C605FFE"/>
    <w:rsid w:val="7CA53A11"/>
    <w:rsid w:val="7CCD740C"/>
    <w:rsid w:val="7D5C3DD6"/>
    <w:rsid w:val="7DAC5273"/>
    <w:rsid w:val="7E510333"/>
    <w:rsid w:val="7E5C4657"/>
    <w:rsid w:val="7E694F72"/>
    <w:rsid w:val="7EC30AC6"/>
    <w:rsid w:val="7F19548E"/>
    <w:rsid w:val="7FD10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0"/>
    <w:pPr>
      <w:jc w:val="left"/>
    </w:pPr>
  </w:style>
  <w:style w:type="paragraph" w:styleId="3">
    <w:name w:val="Balloon Text"/>
    <w:basedOn w:val="1"/>
    <w:link w:val="20"/>
    <w:semiHidden/>
    <w:unhideWhenUsed/>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semiHidden/>
    <w:unhideWhenUsed/>
    <w:qFormat/>
    <w:uiPriority w:val="0"/>
    <w:rPr>
      <w:b/>
      <w:bCs/>
    </w:rPr>
  </w:style>
  <w:style w:type="table" w:styleId="8">
    <w:name w:val="Table Grid"/>
    <w:basedOn w:val="7"/>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0"/>
    <w:rPr>
      <w:sz w:val="21"/>
      <w:szCs w:val="21"/>
    </w:rPr>
  </w:style>
  <w:style w:type="paragraph" w:customStyle="1" w:styleId="11">
    <w:name w:val="Table Paragraph"/>
    <w:basedOn w:val="1"/>
    <w:qFormat/>
    <w:uiPriority w:val="0"/>
    <w:pPr>
      <w:jc w:val="left"/>
    </w:pPr>
    <w:rPr>
      <w:kern w:val="0"/>
      <w:sz w:val="22"/>
      <w:szCs w:val="22"/>
    </w:rPr>
  </w:style>
  <w:style w:type="table" w:customStyle="1" w:styleId="12">
    <w:name w:val="Table Normal"/>
    <w:basedOn w:val="7"/>
    <w:semiHidden/>
    <w:qFormat/>
    <w:uiPriority w:val="0"/>
    <w:tblPr>
      <w:tblCellMar>
        <w:left w:w="0" w:type="dxa"/>
        <w:right w:w="0" w:type="dxa"/>
      </w:tblCellMar>
    </w:tblPr>
  </w:style>
  <w:style w:type="character" w:customStyle="1" w:styleId="13">
    <w:name w:val="页眉 字符"/>
    <w:link w:val="5"/>
    <w:qFormat/>
    <w:uiPriority w:val="0"/>
    <w:rPr>
      <w:rFonts w:cs="Times New Roman"/>
      <w:kern w:val="2"/>
      <w:sz w:val="18"/>
      <w:szCs w:val="18"/>
    </w:rPr>
  </w:style>
  <w:style w:type="character" w:customStyle="1" w:styleId="14">
    <w:name w:val="页脚 字符"/>
    <w:link w:val="4"/>
    <w:qFormat/>
    <w:uiPriority w:val="0"/>
    <w:rPr>
      <w:rFonts w:cs="Times New Roman"/>
      <w:kern w:val="2"/>
      <w:sz w:val="18"/>
      <w:szCs w:val="18"/>
    </w:rPr>
  </w:style>
  <w:style w:type="paragraph" w:customStyle="1" w:styleId="15">
    <w:name w:val="列表段落1"/>
    <w:basedOn w:val="1"/>
    <w:qFormat/>
    <w:uiPriority w:val="99"/>
    <w:pPr>
      <w:ind w:firstLine="420" w:firstLineChars="200"/>
    </w:pPr>
  </w:style>
  <w:style w:type="character" w:customStyle="1" w:styleId="16">
    <w:name w:val="oli-avatar-text"/>
    <w:basedOn w:val="9"/>
    <w:qFormat/>
    <w:uiPriority w:val="0"/>
  </w:style>
  <w:style w:type="paragraph" w:styleId="17">
    <w:name w:val="List Paragraph"/>
    <w:basedOn w:val="1"/>
    <w:qFormat/>
    <w:uiPriority w:val="99"/>
    <w:pPr>
      <w:ind w:firstLine="420" w:firstLineChars="200"/>
    </w:pPr>
  </w:style>
  <w:style w:type="character" w:customStyle="1" w:styleId="18">
    <w:name w:val="批注文字 字符"/>
    <w:basedOn w:val="9"/>
    <w:link w:val="2"/>
    <w:semiHidden/>
    <w:qFormat/>
    <w:uiPriority w:val="0"/>
    <w:rPr>
      <w:rFonts w:cs="Times New Roman"/>
      <w:kern w:val="2"/>
      <w:sz w:val="21"/>
      <w:szCs w:val="24"/>
    </w:rPr>
  </w:style>
  <w:style w:type="character" w:customStyle="1" w:styleId="19">
    <w:name w:val="批注主题 字符"/>
    <w:basedOn w:val="18"/>
    <w:link w:val="6"/>
    <w:semiHidden/>
    <w:qFormat/>
    <w:uiPriority w:val="0"/>
    <w:rPr>
      <w:rFonts w:cs="Times New Roman"/>
      <w:b/>
      <w:bCs/>
      <w:kern w:val="2"/>
      <w:sz w:val="21"/>
      <w:szCs w:val="24"/>
    </w:rPr>
  </w:style>
  <w:style w:type="character" w:customStyle="1" w:styleId="20">
    <w:name w:val="批注框文本 字符"/>
    <w:basedOn w:val="9"/>
    <w:link w:val="3"/>
    <w:semiHidden/>
    <w:qFormat/>
    <w:uiPriority w:val="0"/>
    <w:rPr>
      <w:rFonts w:cs="Times New Roman"/>
      <w:kern w:val="2"/>
      <w:sz w:val="18"/>
      <w:szCs w:val="18"/>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font11"/>
    <w:basedOn w:val="9"/>
    <w:qFormat/>
    <w:uiPriority w:val="0"/>
    <w:rPr>
      <w:rFonts w:hint="eastAsia" w:ascii="宋体" w:hAnsi="宋体" w:eastAsia="宋体" w:cs="宋体"/>
      <w:color w:val="000000"/>
      <w:sz w:val="21"/>
      <w:szCs w:val="21"/>
      <w:u w:val="none"/>
    </w:rPr>
  </w:style>
  <w:style w:type="character" w:customStyle="1" w:styleId="24">
    <w:name w:val="font21"/>
    <w:basedOn w:val="9"/>
    <w:qFormat/>
    <w:uiPriority w:val="0"/>
    <w:rPr>
      <w:rFonts w:hint="default" w:ascii="Times New Roman" w:hAnsi="Times New Roman" w:cs="Times New Roman"/>
      <w:color w:val="000000"/>
      <w:sz w:val="21"/>
      <w:szCs w:val="21"/>
      <w:u w:val="none"/>
    </w:rPr>
  </w:style>
  <w:style w:type="paragraph" w:customStyle="1" w:styleId="25">
    <w:name w:val="修订2"/>
    <w:hidden/>
    <w:unhideWhenUsed/>
    <w:qFormat/>
    <w:uiPriority w:val="99"/>
    <w:rPr>
      <w:rFonts w:ascii="Calibri" w:hAnsi="Calibri" w:eastAsia="宋体" w:cs="Times New Roman"/>
      <w:kern w:val="2"/>
      <w:sz w:val="21"/>
      <w:szCs w:val="24"/>
      <w:lang w:val="en-US" w:eastAsia="zh-CN" w:bidi="ar-SA"/>
    </w:rPr>
  </w:style>
  <w:style w:type="paragraph" w:customStyle="1" w:styleId="26">
    <w:name w:val="修订3"/>
    <w:hidden/>
    <w:unhideWhenUsed/>
    <w:qFormat/>
    <w:uiPriority w:val="99"/>
    <w:rPr>
      <w:rFonts w:ascii="Calibri" w:hAnsi="Calibri" w:eastAsia="宋体" w:cs="Times New Roman"/>
      <w:kern w:val="2"/>
      <w:sz w:val="21"/>
      <w:szCs w:val="24"/>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1717</Words>
  <Characters>1854</Characters>
  <Lines>139</Lines>
  <Paragraphs>132</Paragraphs>
  <TotalTime>94</TotalTime>
  <ScaleCrop>false</ScaleCrop>
  <LinksUpToDate>false</LinksUpToDate>
  <CharactersWithSpaces>1927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姜怡</cp:lastModifiedBy>
  <cp:revision>9</cp:revision>
  <cp:lastPrinted>2025-02-14T06:02:00Z</cp:lastPrinted>
  <dcterms:created xsi:type="dcterms:W3CDTF">2022-11-11T07:57:00Z</dcterms:created>
  <dcterms:modified xsi:type="dcterms:W3CDTF">2025-09-23T01:00:40Z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7A780F580051464B90E3B17151077273_13</vt:lpwstr>
  </property>
  <property fmtid="{D5CDD505-2E9C-101B-9397-08002B2CF9AE}" pid="4" name="KSOTemplateDocerSaveRecord">
    <vt:lpwstr>eyJoZGlkIjoiNDdiZGQxNmMzYTcwYjk0ZmU1Y2E2MWRhMzUyNWU5ZWQiLCJ1c2VySWQiOiIzODQ4ODI1MDMifQ==</vt:lpwstr>
  </property>
</Properties>
</file>