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06EA0F">
      <w:pPr>
        <w:ind w:firstLine="480"/>
        <w:rPr>
          <w:rFonts w:hint="eastAsia" w:ascii="Times New Roman" w:hAnsi="Times New Roman" w:eastAsia="宋体" w:cs="Times New Roman"/>
          <w:b/>
          <w:bCs/>
          <w:iCs/>
          <w:color w:val="auto"/>
        </w:rPr>
      </w:pPr>
      <w:r>
        <w:rPr>
          <w:rFonts w:ascii="Times New Roman" w:hAnsi="Times New Roman" w:eastAsia="宋体" w:cs="Times New Roman"/>
          <w:bCs/>
          <w:iCs/>
          <w:color w:val="auto"/>
        </w:rPr>
        <w:t>证券代码：</w:t>
      </w:r>
      <w:r>
        <w:rPr>
          <w:rFonts w:hint="eastAsia" w:ascii="Times New Roman" w:hAnsi="Times New Roman" w:eastAsia="宋体" w:cs="Times New Roman"/>
          <w:bCs/>
          <w:iCs/>
          <w:color w:val="auto"/>
        </w:rPr>
        <w:t xml:space="preserve">688213                               </w:t>
      </w:r>
      <w:r>
        <w:rPr>
          <w:rFonts w:ascii="Times New Roman" w:hAnsi="Times New Roman" w:eastAsia="宋体" w:cs="Times New Roman"/>
          <w:bCs/>
          <w:iCs/>
          <w:color w:val="auto"/>
        </w:rPr>
        <w:t>证券简称：</w:t>
      </w:r>
      <w:r>
        <w:rPr>
          <w:rFonts w:hint="eastAsia" w:ascii="Times New Roman" w:hAnsi="Times New Roman" w:eastAsia="宋体" w:cs="Times New Roman"/>
          <w:bCs/>
          <w:iCs/>
          <w:color w:val="auto"/>
        </w:rPr>
        <w:t>思特威</w:t>
      </w:r>
    </w:p>
    <w:p w14:paraId="164E0E54">
      <w:pPr>
        <w:ind w:firstLine="482"/>
        <w:jc w:val="center"/>
        <w:rPr>
          <w:rFonts w:hint="eastAsia" w:ascii="Times New Roman" w:hAnsi="Times New Roman" w:eastAsia="宋体" w:cs="Times New Roman"/>
          <w:b/>
          <w:bCs/>
          <w:iCs/>
          <w:color w:val="auto"/>
        </w:rPr>
      </w:pPr>
    </w:p>
    <w:p w14:paraId="4B886DED">
      <w:pPr>
        <w:ind w:firstLine="562"/>
        <w:jc w:val="center"/>
        <w:rPr>
          <w:rFonts w:hint="eastAsia" w:ascii="Times New Roman" w:hAnsi="Times New Roman" w:eastAsia="宋体" w:cs="Times New Roman"/>
          <w:b/>
          <w:bCs/>
          <w:iCs/>
          <w:color w:val="auto"/>
          <w:sz w:val="28"/>
          <w:szCs w:val="28"/>
        </w:rPr>
      </w:pPr>
      <w:r>
        <w:rPr>
          <w:rFonts w:hint="eastAsia" w:ascii="Times New Roman" w:hAnsi="Times New Roman" w:eastAsia="宋体" w:cs="Times New Roman"/>
          <w:b/>
          <w:bCs/>
          <w:iCs/>
          <w:color w:val="auto"/>
          <w:sz w:val="28"/>
          <w:szCs w:val="28"/>
        </w:rPr>
        <w:t>思特威（上海）电子科技股份有限公司</w:t>
      </w:r>
    </w:p>
    <w:p w14:paraId="4BEE0CE4">
      <w:pPr>
        <w:ind w:firstLine="562"/>
        <w:jc w:val="center"/>
        <w:rPr>
          <w:rFonts w:hint="eastAsia" w:ascii="Times New Roman" w:hAnsi="Times New Roman" w:eastAsia="宋体" w:cs="Times New Roman"/>
          <w:b/>
          <w:bCs/>
          <w:iCs/>
          <w:color w:val="auto"/>
          <w:sz w:val="28"/>
          <w:szCs w:val="28"/>
        </w:rPr>
      </w:pPr>
      <w:r>
        <w:rPr>
          <w:rFonts w:hint="eastAsia" w:ascii="Times New Roman" w:hAnsi="Times New Roman" w:eastAsia="宋体" w:cs="Times New Roman"/>
          <w:b/>
          <w:bCs/>
          <w:iCs/>
          <w:color w:val="auto"/>
          <w:sz w:val="28"/>
          <w:szCs w:val="28"/>
        </w:rPr>
        <w:t>投资者关系活动记录表</w:t>
      </w:r>
    </w:p>
    <w:p w14:paraId="067160F8">
      <w:pPr>
        <w:spacing w:line="400" w:lineRule="exact"/>
        <w:ind w:firstLine="480"/>
        <w:jc w:val="right"/>
        <w:rPr>
          <w:rFonts w:hint="eastAsia" w:ascii="Times New Roman" w:hAnsi="Times New Roman" w:eastAsia="宋体" w:cs="Times New Roman"/>
          <w:bCs/>
          <w:iCs/>
          <w:color w:val="auto"/>
          <w:lang w:eastAsia="zh-CN"/>
        </w:rPr>
      </w:pPr>
      <w:r>
        <w:rPr>
          <w:rFonts w:hint="eastAsia" w:ascii="Times New Roman" w:hAnsi="Times New Roman" w:eastAsia="宋体" w:cs="Times New Roman"/>
          <w:bCs/>
          <w:iCs/>
          <w:color w:val="auto"/>
        </w:rPr>
        <w:t>编号：202</w:t>
      </w:r>
      <w:r>
        <w:rPr>
          <w:rFonts w:hint="eastAsia" w:ascii="Times New Roman" w:hAnsi="Times New Roman" w:eastAsia="宋体" w:cs="Times New Roman"/>
          <w:bCs/>
          <w:iCs/>
          <w:color w:val="auto"/>
          <w:lang w:val="en-US" w:eastAsia="zh-CN"/>
        </w:rPr>
        <w:t>5</w:t>
      </w:r>
      <w:r>
        <w:rPr>
          <w:rFonts w:hint="eastAsia" w:ascii="Times New Roman" w:hAnsi="Times New Roman" w:eastAsia="宋体" w:cs="Times New Roman"/>
          <w:bCs/>
          <w:iCs/>
          <w:color w:val="auto"/>
        </w:rPr>
        <w:t>-</w:t>
      </w:r>
      <w:r>
        <w:rPr>
          <w:rFonts w:hint="eastAsia" w:cs="Times New Roman"/>
          <w:bCs/>
          <w:iCs/>
          <w:color w:val="auto"/>
          <w:lang w:val="en-US" w:eastAsia="zh-CN"/>
        </w:rPr>
        <w:t>9</w:t>
      </w:r>
      <w:r>
        <w:rPr>
          <w:rFonts w:hint="eastAsia" w:ascii="Times New Roman" w:hAnsi="Times New Roman" w:eastAsia="宋体" w:cs="Times New Roman"/>
          <w:bCs/>
          <w:iCs/>
          <w:color w:val="auto"/>
        </w:rPr>
        <w:t>-</w:t>
      </w:r>
      <w:r>
        <w:rPr>
          <w:rFonts w:hint="default" w:cs="Times New Roman"/>
          <w:bCs/>
          <w:iCs/>
          <w:color w:val="auto"/>
          <w:lang w:val="en-US" w:eastAsia="zh-CN"/>
        </w:rPr>
        <w:t>1</w:t>
      </w:r>
    </w:p>
    <w:tbl>
      <w:tblPr>
        <w:tblStyle w:val="11"/>
        <w:tblW w:w="9288" w:type="dxa"/>
        <w:tblInd w:w="-1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8"/>
        <w:gridCol w:w="7370"/>
      </w:tblGrid>
      <w:tr w14:paraId="6EE84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46A1D147">
            <w:pPr>
              <w:keepNext w:val="0"/>
              <w:keepLines w:val="0"/>
              <w:suppressLineNumbers w:val="0"/>
              <w:spacing w:before="0" w:beforeAutospacing="0" w:after="0" w:afterAutospacing="0"/>
              <w:ind w:left="0" w:right="0" w:firstLine="0" w:firstLineChars="0"/>
              <w:jc w:val="center"/>
              <w:rPr>
                <w:rFonts w:hint="default" w:ascii="Times New Roman" w:hAnsi="Times New Roman" w:eastAsia="宋体" w:cs="Times New Roman"/>
                <w:color w:val="auto"/>
              </w:rPr>
            </w:pPr>
            <w:r>
              <w:rPr>
                <w:rFonts w:hint="default" w:ascii="Times New Roman" w:hAnsi="Times New Roman" w:eastAsia="宋体" w:cs="Times New Roman"/>
                <w:color w:val="auto"/>
              </w:rPr>
              <w:t>投资者关系</w:t>
            </w:r>
          </w:p>
          <w:p w14:paraId="48E659B3">
            <w:pPr>
              <w:keepNext w:val="0"/>
              <w:keepLines w:val="0"/>
              <w:suppressLineNumbers w:val="0"/>
              <w:spacing w:before="0" w:beforeAutospacing="0" w:after="0" w:afterAutospacing="0"/>
              <w:ind w:left="0" w:right="0" w:firstLine="0" w:firstLineChars="0"/>
              <w:jc w:val="center"/>
              <w:rPr>
                <w:rFonts w:hint="default" w:ascii="Times New Roman" w:hAnsi="Times New Roman" w:eastAsia="宋体" w:cs="Times New Roman"/>
                <w:color w:val="auto"/>
              </w:rPr>
            </w:pPr>
            <w:r>
              <w:rPr>
                <w:rFonts w:hint="default" w:ascii="Times New Roman" w:hAnsi="Times New Roman" w:eastAsia="宋体" w:cs="Times New Roman"/>
                <w:color w:val="auto"/>
              </w:rPr>
              <w:t>活动类别</w:t>
            </w:r>
          </w:p>
          <w:p w14:paraId="480BF7C0">
            <w:pPr>
              <w:keepNext w:val="0"/>
              <w:keepLines w:val="0"/>
              <w:suppressLineNumbers w:val="0"/>
              <w:spacing w:before="0" w:beforeAutospacing="0" w:after="0" w:afterAutospacing="0"/>
              <w:ind w:left="0" w:right="0" w:firstLine="480"/>
              <w:rPr>
                <w:rFonts w:hint="default" w:ascii="Times New Roman" w:hAnsi="Times New Roman" w:eastAsia="宋体" w:cs="Times New Roman"/>
                <w:color w:val="auto"/>
              </w:rPr>
            </w:pPr>
          </w:p>
        </w:tc>
        <w:tc>
          <w:tcPr>
            <w:tcW w:w="7370" w:type="dxa"/>
            <w:tcBorders>
              <w:top w:val="single" w:color="auto" w:sz="4" w:space="0"/>
              <w:left w:val="single" w:color="auto" w:sz="4" w:space="0"/>
              <w:bottom w:val="single" w:color="auto" w:sz="4" w:space="0"/>
              <w:right w:val="single" w:color="auto" w:sz="4" w:space="0"/>
            </w:tcBorders>
            <w:shd w:val="clear" w:color="auto" w:fill="auto"/>
            <w:vAlign w:val="center"/>
          </w:tcPr>
          <w:p w14:paraId="0E2C64C8">
            <w:pPr>
              <w:keepNext w:val="0"/>
              <w:keepLines w:val="0"/>
              <w:suppressLineNumbers w:val="0"/>
              <w:spacing w:before="0" w:beforeAutospacing="0" w:after="0" w:afterAutospacing="0"/>
              <w:ind w:left="0" w:right="0" w:firstLine="480"/>
              <w:jc w:val="left"/>
              <w:rPr>
                <w:rFonts w:hint="default" w:ascii="Times New Roman" w:hAnsi="Times New Roman" w:eastAsia="宋体" w:cs="Times New Roman"/>
                <w:color w:val="auto"/>
              </w:rPr>
            </w:pPr>
            <w:r>
              <w:rPr>
                <w:rFonts w:hint="default" w:ascii="Times New Roman" w:hAnsi="Times New Roman" w:eastAsia="宋体" w:cs="Times New Roman"/>
                <w:color w:val="auto"/>
              </w:rPr>
              <w:sym w:font="Wingdings 2" w:char="0052"/>
            </w:r>
            <w:r>
              <w:rPr>
                <w:rFonts w:hint="default" w:ascii="Times New Roman" w:hAnsi="Times New Roman" w:eastAsia="宋体" w:cs="Times New Roman"/>
                <w:color w:val="auto"/>
              </w:rPr>
              <w:t xml:space="preserve">特定对象调研        </w:t>
            </w:r>
            <w:r>
              <w:rPr>
                <w:rFonts w:hint="default" w:ascii="Times New Roman" w:hAnsi="Times New Roman" w:eastAsia="宋体" w:cs="Times New Roman"/>
                <w:color w:val="auto"/>
              </w:rPr>
              <w:sym w:font="Wingdings 2" w:char="00A3"/>
            </w:r>
            <w:r>
              <w:rPr>
                <w:rFonts w:hint="default" w:ascii="Times New Roman" w:hAnsi="Times New Roman" w:eastAsia="宋体" w:cs="Times New Roman"/>
                <w:color w:val="auto"/>
              </w:rPr>
              <w:t>分析师会议</w:t>
            </w:r>
          </w:p>
          <w:p w14:paraId="582312F0">
            <w:pPr>
              <w:keepNext w:val="0"/>
              <w:keepLines w:val="0"/>
              <w:suppressLineNumbers w:val="0"/>
              <w:spacing w:before="0" w:beforeAutospacing="0" w:after="0" w:afterAutospacing="0"/>
              <w:ind w:left="0" w:right="0" w:firstLine="480"/>
              <w:jc w:val="left"/>
              <w:rPr>
                <w:rFonts w:hint="default" w:ascii="Times New Roman" w:hAnsi="Times New Roman" w:eastAsia="宋体" w:cs="Times New Roman"/>
                <w:color w:val="auto"/>
              </w:rPr>
            </w:pPr>
            <w:r>
              <w:rPr>
                <w:rFonts w:hint="default" w:ascii="Times New Roman" w:hAnsi="Times New Roman" w:eastAsia="宋体" w:cs="Times New Roman"/>
                <w:color w:val="auto"/>
              </w:rPr>
              <w:sym w:font="Wingdings 2" w:char="00A3"/>
            </w:r>
            <w:r>
              <w:rPr>
                <w:rFonts w:hint="default" w:ascii="Times New Roman" w:hAnsi="Times New Roman" w:eastAsia="宋体" w:cs="Times New Roman"/>
                <w:color w:val="auto"/>
              </w:rPr>
              <w:t xml:space="preserve">媒体采访            </w:t>
            </w:r>
            <w:r>
              <w:rPr>
                <w:rFonts w:hint="default" w:ascii="Times New Roman" w:hAnsi="Times New Roman" w:eastAsia="宋体" w:cs="Times New Roman"/>
                <w:color w:val="auto"/>
              </w:rPr>
              <w:sym w:font="Wingdings 2" w:char="00A3"/>
            </w:r>
            <w:r>
              <w:rPr>
                <w:rFonts w:hint="default" w:ascii="Times New Roman" w:hAnsi="Times New Roman" w:eastAsia="宋体" w:cs="Times New Roman"/>
                <w:color w:val="auto"/>
              </w:rPr>
              <w:t>业绩说明会</w:t>
            </w:r>
          </w:p>
          <w:p w14:paraId="549A6990">
            <w:pPr>
              <w:keepNext w:val="0"/>
              <w:keepLines w:val="0"/>
              <w:suppressLineNumbers w:val="0"/>
              <w:spacing w:before="0" w:beforeAutospacing="0" w:after="0" w:afterAutospacing="0"/>
              <w:ind w:left="0" w:right="0" w:firstLine="480"/>
              <w:jc w:val="left"/>
              <w:rPr>
                <w:rFonts w:hint="default" w:ascii="Times New Roman" w:hAnsi="Times New Roman" w:eastAsia="宋体" w:cs="Times New Roman"/>
                <w:color w:val="auto"/>
              </w:rPr>
            </w:pPr>
            <w:r>
              <w:rPr>
                <w:rFonts w:hint="default" w:ascii="Times New Roman" w:hAnsi="Times New Roman" w:eastAsia="宋体" w:cs="Times New Roman"/>
                <w:color w:val="auto"/>
              </w:rPr>
              <w:sym w:font="Wingdings 2" w:char="00A3"/>
            </w:r>
            <w:r>
              <w:rPr>
                <w:rFonts w:hint="default" w:ascii="Times New Roman" w:hAnsi="Times New Roman" w:eastAsia="宋体" w:cs="Times New Roman"/>
                <w:color w:val="auto"/>
              </w:rPr>
              <w:t xml:space="preserve">新闻发布会          </w:t>
            </w:r>
            <w:r>
              <w:rPr>
                <w:rFonts w:hint="default" w:ascii="Times New Roman" w:hAnsi="Times New Roman" w:eastAsia="宋体" w:cs="Times New Roman"/>
                <w:color w:val="auto"/>
              </w:rPr>
              <w:sym w:font="Wingdings 2" w:char="0052"/>
            </w:r>
            <w:r>
              <w:rPr>
                <w:rFonts w:hint="default" w:ascii="Times New Roman" w:hAnsi="Times New Roman" w:eastAsia="宋体" w:cs="Times New Roman"/>
                <w:color w:val="auto"/>
              </w:rPr>
              <w:t>路演活动</w:t>
            </w:r>
          </w:p>
          <w:p w14:paraId="42D09420">
            <w:pPr>
              <w:keepNext w:val="0"/>
              <w:keepLines w:val="0"/>
              <w:suppressLineNumbers w:val="0"/>
              <w:spacing w:before="0" w:beforeAutospacing="0" w:after="0" w:afterAutospacing="0"/>
              <w:ind w:left="0" w:right="0" w:firstLine="480"/>
              <w:jc w:val="left"/>
              <w:rPr>
                <w:rFonts w:hint="default" w:ascii="Times New Roman" w:hAnsi="Times New Roman" w:eastAsia="宋体" w:cs="Times New Roman"/>
                <w:color w:val="auto"/>
              </w:rPr>
            </w:pPr>
            <w:r>
              <w:rPr>
                <w:rFonts w:hint="default" w:ascii="Times New Roman" w:hAnsi="Times New Roman" w:eastAsia="宋体" w:cs="Times New Roman"/>
                <w:color w:val="auto"/>
              </w:rPr>
              <w:sym w:font="Wingdings 2" w:char="00A3"/>
            </w:r>
            <w:r>
              <w:rPr>
                <w:rFonts w:hint="default" w:ascii="Times New Roman" w:hAnsi="Times New Roman" w:eastAsia="宋体" w:cs="Times New Roman"/>
                <w:color w:val="auto"/>
              </w:rPr>
              <w:t>现场参观</w:t>
            </w:r>
          </w:p>
          <w:p w14:paraId="56CF6F28">
            <w:pPr>
              <w:keepNext w:val="0"/>
              <w:keepLines w:val="0"/>
              <w:suppressLineNumbers w:val="0"/>
              <w:spacing w:before="0" w:beforeAutospacing="0" w:after="0" w:afterAutospacing="0"/>
              <w:ind w:left="0" w:right="0" w:firstLine="480"/>
              <w:jc w:val="left"/>
              <w:rPr>
                <w:rFonts w:hint="default" w:ascii="Times New Roman" w:hAnsi="Times New Roman" w:eastAsia="宋体" w:cs="Times New Roman"/>
                <w:color w:val="auto"/>
              </w:rPr>
            </w:pPr>
            <w:r>
              <w:rPr>
                <w:rFonts w:hint="default" w:ascii="Times New Roman" w:hAnsi="Times New Roman" w:eastAsia="宋体" w:cs="Times New Roman"/>
                <w:color w:val="auto"/>
              </w:rPr>
              <w:sym w:font="Wingdings 2" w:char="00A3"/>
            </w:r>
            <w:r>
              <w:rPr>
                <w:rFonts w:hint="default" w:ascii="Times New Roman" w:hAnsi="Times New Roman" w:eastAsia="宋体" w:cs="Times New Roman"/>
                <w:color w:val="auto"/>
              </w:rPr>
              <w:t>其他（请文字说明其他活动内容）</w:t>
            </w:r>
          </w:p>
        </w:tc>
      </w:tr>
      <w:tr w14:paraId="7D3B1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5F3BA5FF">
            <w:pPr>
              <w:keepNext w:val="0"/>
              <w:keepLines w:val="0"/>
              <w:suppressLineNumbers w:val="0"/>
              <w:spacing w:before="0" w:beforeAutospacing="0" w:after="0" w:afterAutospacing="0"/>
              <w:ind w:left="0" w:right="0" w:firstLine="0" w:firstLineChars="0"/>
              <w:jc w:val="center"/>
              <w:rPr>
                <w:rFonts w:hint="default" w:ascii="Times New Roman" w:hAnsi="Times New Roman" w:eastAsia="宋体" w:cs="Times New Roman"/>
                <w:color w:val="auto"/>
              </w:rPr>
            </w:pPr>
            <w:r>
              <w:rPr>
                <w:rFonts w:hint="default" w:ascii="Times New Roman" w:hAnsi="Times New Roman" w:eastAsia="宋体" w:cs="Times New Roman"/>
                <w:color w:val="auto"/>
              </w:rPr>
              <w:t>参与单位名称</w:t>
            </w:r>
          </w:p>
        </w:tc>
        <w:tc>
          <w:tcPr>
            <w:tcW w:w="7370" w:type="dxa"/>
            <w:tcBorders>
              <w:top w:val="single" w:color="auto" w:sz="4" w:space="0"/>
              <w:left w:val="single" w:color="auto" w:sz="4" w:space="0"/>
              <w:bottom w:val="single" w:color="auto" w:sz="4" w:space="0"/>
              <w:right w:val="single" w:color="auto" w:sz="4" w:space="0"/>
            </w:tcBorders>
            <w:shd w:val="clear" w:color="auto" w:fill="auto"/>
            <w:vAlign w:val="center"/>
          </w:tcPr>
          <w:p w14:paraId="29FAE1BC">
            <w:pPr>
              <w:keepNext w:val="0"/>
              <w:keepLines w:val="0"/>
              <w:suppressLineNumbers w:val="0"/>
              <w:spacing w:before="0" w:beforeAutospacing="0" w:after="0" w:afterAutospacing="0"/>
              <w:ind w:left="0" w:leftChars="0" w:right="0" w:firstLine="0" w:firstLineChars="0"/>
              <w:jc w:val="both"/>
              <w:rPr>
                <w:rFonts w:hint="default" w:cs="Times New Roman"/>
                <w:color w:val="auto"/>
                <w:highlight w:val="none"/>
                <w:lang w:val="en-US" w:eastAsia="zh-CN"/>
              </w:rPr>
            </w:pPr>
            <w:r>
              <w:rPr>
                <w:rFonts w:hint="default" w:ascii="Times New Roman" w:hAnsi="Times New Roman" w:eastAsia="宋体" w:cs="Times New Roman"/>
                <w:color w:val="auto"/>
                <w:highlight w:val="none"/>
                <w:lang w:val="en-US" w:eastAsia="zh-CN"/>
              </w:rPr>
              <w:t>国联民生证券</w:t>
            </w:r>
            <w:r>
              <w:rPr>
                <w:rFonts w:hint="eastAsia" w:cs="Times New Roman"/>
                <w:color w:val="auto"/>
                <w:highlight w:val="none"/>
                <w:lang w:val="en-US" w:eastAsia="zh-CN"/>
              </w:rPr>
              <w:t>、</w:t>
            </w:r>
            <w:r>
              <w:rPr>
                <w:rFonts w:hint="default" w:ascii="Times New Roman" w:hAnsi="Times New Roman" w:eastAsia="宋体" w:cs="Times New Roman"/>
                <w:color w:val="auto"/>
                <w:highlight w:val="none"/>
                <w:lang w:val="en-US" w:eastAsia="zh-CN"/>
              </w:rPr>
              <w:t>信达澳亚基金</w:t>
            </w:r>
            <w:r>
              <w:rPr>
                <w:rFonts w:hint="eastAsia" w:cs="Times New Roman"/>
                <w:color w:val="auto"/>
                <w:highlight w:val="none"/>
                <w:lang w:val="en-US" w:eastAsia="zh-CN"/>
              </w:rPr>
              <w:t>、</w:t>
            </w:r>
            <w:r>
              <w:rPr>
                <w:rFonts w:hint="default" w:ascii="Times New Roman" w:hAnsi="Times New Roman" w:eastAsia="宋体" w:cs="Times New Roman"/>
                <w:color w:val="auto"/>
                <w:highlight w:val="none"/>
                <w:lang w:val="en-US" w:eastAsia="zh-CN"/>
              </w:rPr>
              <w:t>融通基金</w:t>
            </w:r>
            <w:r>
              <w:rPr>
                <w:rFonts w:hint="eastAsia" w:cs="Times New Roman"/>
                <w:color w:val="auto"/>
                <w:highlight w:val="none"/>
                <w:lang w:val="en-US" w:eastAsia="zh-CN"/>
              </w:rPr>
              <w:t>、</w:t>
            </w:r>
            <w:r>
              <w:rPr>
                <w:rFonts w:hint="default" w:ascii="Times New Roman" w:hAnsi="Times New Roman" w:eastAsia="宋体" w:cs="Times New Roman"/>
                <w:color w:val="auto"/>
                <w:highlight w:val="none"/>
                <w:lang w:val="en-US" w:eastAsia="zh-CN"/>
              </w:rPr>
              <w:t>博时基金</w:t>
            </w:r>
            <w:r>
              <w:rPr>
                <w:rFonts w:hint="eastAsia" w:cs="Times New Roman"/>
                <w:color w:val="auto"/>
                <w:highlight w:val="none"/>
                <w:lang w:val="en-US" w:eastAsia="zh-CN"/>
              </w:rPr>
              <w:t>、</w:t>
            </w:r>
            <w:r>
              <w:rPr>
                <w:rFonts w:hint="default" w:ascii="Times New Roman" w:hAnsi="Times New Roman" w:eastAsia="宋体" w:cs="Times New Roman"/>
                <w:color w:val="auto"/>
                <w:highlight w:val="none"/>
                <w:lang w:val="en-US" w:eastAsia="zh-CN"/>
              </w:rPr>
              <w:t>南方基金</w:t>
            </w:r>
            <w:r>
              <w:rPr>
                <w:rFonts w:hint="eastAsia" w:cs="Times New Roman"/>
                <w:color w:val="auto"/>
                <w:highlight w:val="none"/>
                <w:lang w:val="en-US" w:eastAsia="zh-CN"/>
              </w:rPr>
              <w:t>、</w:t>
            </w:r>
            <w:r>
              <w:rPr>
                <w:rFonts w:hint="default" w:ascii="Times New Roman" w:hAnsi="Times New Roman" w:eastAsia="宋体" w:cs="Times New Roman"/>
                <w:color w:val="auto"/>
                <w:highlight w:val="none"/>
                <w:lang w:val="en-US" w:eastAsia="zh-CN"/>
              </w:rPr>
              <w:t>前海开源基金</w:t>
            </w:r>
            <w:r>
              <w:rPr>
                <w:rFonts w:hint="eastAsia" w:cs="Times New Roman"/>
                <w:color w:val="auto"/>
                <w:highlight w:val="none"/>
                <w:lang w:val="en-US" w:eastAsia="zh-CN"/>
              </w:rPr>
              <w:t>、</w:t>
            </w:r>
            <w:r>
              <w:rPr>
                <w:rFonts w:hint="default" w:ascii="Times New Roman" w:hAnsi="Times New Roman" w:eastAsia="宋体" w:cs="Times New Roman"/>
                <w:color w:val="auto"/>
                <w:highlight w:val="none"/>
                <w:lang w:val="en-US" w:eastAsia="zh-CN"/>
              </w:rPr>
              <w:t>招商基金</w:t>
            </w:r>
            <w:r>
              <w:rPr>
                <w:rFonts w:hint="eastAsia" w:cs="Times New Roman"/>
                <w:color w:val="auto"/>
                <w:highlight w:val="none"/>
                <w:lang w:val="en-US" w:eastAsia="zh-CN"/>
              </w:rPr>
              <w:t>、</w:t>
            </w:r>
            <w:r>
              <w:rPr>
                <w:rFonts w:hint="default" w:ascii="Times New Roman" w:hAnsi="Times New Roman" w:eastAsia="宋体" w:cs="Times New Roman"/>
                <w:color w:val="auto"/>
                <w:highlight w:val="none"/>
                <w:lang w:val="en-US" w:eastAsia="zh-CN"/>
              </w:rPr>
              <w:t>安信基金</w:t>
            </w:r>
            <w:r>
              <w:rPr>
                <w:rFonts w:hint="eastAsia" w:cs="Times New Roman"/>
                <w:color w:val="auto"/>
                <w:highlight w:val="none"/>
                <w:lang w:val="en-US" w:eastAsia="zh-CN"/>
              </w:rPr>
              <w:t>、</w:t>
            </w:r>
            <w:r>
              <w:rPr>
                <w:rFonts w:hint="default" w:ascii="Times New Roman" w:hAnsi="Times New Roman" w:eastAsia="宋体" w:cs="Times New Roman"/>
                <w:color w:val="auto"/>
                <w:highlight w:val="none"/>
                <w:lang w:val="en-US" w:eastAsia="zh-CN"/>
              </w:rPr>
              <w:t>长城基金</w:t>
            </w:r>
            <w:r>
              <w:rPr>
                <w:rFonts w:hint="eastAsia" w:cs="Times New Roman"/>
                <w:color w:val="auto"/>
                <w:highlight w:val="none"/>
                <w:lang w:val="en-US" w:eastAsia="zh-CN"/>
              </w:rPr>
              <w:t>、</w:t>
            </w:r>
            <w:r>
              <w:rPr>
                <w:rFonts w:hint="default" w:ascii="Times New Roman" w:hAnsi="Times New Roman" w:eastAsia="宋体" w:cs="Times New Roman"/>
                <w:color w:val="auto"/>
                <w:highlight w:val="none"/>
                <w:lang w:val="en-US" w:eastAsia="zh-CN"/>
              </w:rPr>
              <w:t>平安基金</w:t>
            </w:r>
            <w:r>
              <w:rPr>
                <w:rFonts w:hint="eastAsia" w:cs="Times New Roman"/>
                <w:color w:val="auto"/>
                <w:highlight w:val="none"/>
                <w:lang w:val="en-US" w:eastAsia="zh-CN"/>
              </w:rPr>
              <w:t>、国海证券、摩根基金、平安养老、汇丰晋信基金、中信证券、交银施罗德基金、国联安基金、兴全基金、长江养老、</w:t>
            </w:r>
            <w:r>
              <w:rPr>
                <w:rFonts w:hint="default" w:cs="Times New Roman"/>
                <w:color w:val="auto"/>
                <w:highlight w:val="none"/>
                <w:lang w:val="en-US" w:eastAsia="zh-CN"/>
              </w:rPr>
              <w:t>华泰保险资产</w:t>
            </w:r>
            <w:r>
              <w:rPr>
                <w:rFonts w:hint="eastAsia" w:cs="Times New Roman"/>
                <w:color w:val="auto"/>
                <w:highlight w:val="none"/>
                <w:lang w:val="en-US" w:eastAsia="zh-CN"/>
              </w:rPr>
              <w:t>、</w:t>
            </w:r>
            <w:r>
              <w:rPr>
                <w:rFonts w:hint="default" w:cs="Times New Roman"/>
                <w:color w:val="auto"/>
                <w:highlight w:val="none"/>
                <w:lang w:val="en-US" w:eastAsia="zh-CN"/>
              </w:rPr>
              <w:t>招商证券</w:t>
            </w:r>
            <w:r>
              <w:rPr>
                <w:rFonts w:hint="eastAsia" w:cs="Times New Roman"/>
                <w:color w:val="auto"/>
                <w:highlight w:val="none"/>
                <w:lang w:val="en-US" w:eastAsia="zh-CN"/>
              </w:rPr>
              <w:t>、</w:t>
            </w:r>
            <w:r>
              <w:rPr>
                <w:rFonts w:hint="default" w:cs="Times New Roman"/>
                <w:color w:val="auto"/>
                <w:highlight w:val="none"/>
                <w:lang w:val="en-US" w:eastAsia="zh-CN"/>
              </w:rPr>
              <w:t>华商基金</w:t>
            </w:r>
            <w:r>
              <w:rPr>
                <w:rFonts w:hint="eastAsia" w:cs="Times New Roman"/>
                <w:color w:val="auto"/>
                <w:highlight w:val="none"/>
                <w:lang w:val="en-US" w:eastAsia="zh-CN"/>
              </w:rPr>
              <w:t>、</w:t>
            </w:r>
            <w:r>
              <w:rPr>
                <w:rFonts w:hint="default" w:cs="Times New Roman"/>
                <w:color w:val="auto"/>
                <w:highlight w:val="none"/>
                <w:lang w:val="en-US" w:eastAsia="zh-CN"/>
              </w:rPr>
              <w:t>德邦基金</w:t>
            </w:r>
            <w:r>
              <w:rPr>
                <w:rFonts w:hint="eastAsia" w:cs="Times New Roman"/>
                <w:color w:val="auto"/>
                <w:highlight w:val="none"/>
                <w:lang w:val="en-US" w:eastAsia="zh-CN"/>
              </w:rPr>
              <w:t>、</w:t>
            </w:r>
            <w:r>
              <w:rPr>
                <w:rFonts w:hint="default" w:cs="Times New Roman"/>
                <w:color w:val="auto"/>
                <w:highlight w:val="none"/>
                <w:lang w:val="en-US" w:eastAsia="zh-CN"/>
              </w:rPr>
              <w:t>长盛基金</w:t>
            </w:r>
            <w:r>
              <w:rPr>
                <w:rFonts w:hint="eastAsia" w:cs="Times New Roman"/>
                <w:color w:val="auto"/>
                <w:highlight w:val="none"/>
                <w:lang w:val="en-US" w:eastAsia="zh-CN"/>
              </w:rPr>
              <w:t>、</w:t>
            </w:r>
            <w:r>
              <w:rPr>
                <w:rFonts w:hint="default" w:cs="Times New Roman"/>
                <w:color w:val="auto"/>
                <w:highlight w:val="none"/>
                <w:lang w:val="en-US" w:eastAsia="zh-CN"/>
              </w:rPr>
              <w:t>诚旸投资</w:t>
            </w:r>
            <w:r>
              <w:rPr>
                <w:rFonts w:hint="eastAsia" w:cs="Times New Roman"/>
                <w:color w:val="auto"/>
                <w:highlight w:val="none"/>
                <w:lang w:val="en-US" w:eastAsia="zh-CN"/>
              </w:rPr>
              <w:t>、</w:t>
            </w:r>
            <w:r>
              <w:rPr>
                <w:rFonts w:hint="default" w:cs="Times New Roman"/>
                <w:color w:val="auto"/>
                <w:highlight w:val="none"/>
                <w:lang w:val="en-US" w:eastAsia="zh-CN"/>
              </w:rPr>
              <w:t>中信保诚基金</w:t>
            </w:r>
            <w:r>
              <w:rPr>
                <w:rFonts w:hint="eastAsia" w:cs="Times New Roman"/>
                <w:color w:val="auto"/>
                <w:highlight w:val="none"/>
                <w:lang w:val="en-US" w:eastAsia="zh-CN"/>
              </w:rPr>
              <w:t>、</w:t>
            </w:r>
            <w:r>
              <w:rPr>
                <w:rFonts w:hint="default" w:cs="Times New Roman"/>
                <w:color w:val="auto"/>
                <w:highlight w:val="none"/>
                <w:lang w:val="en-US" w:eastAsia="zh-CN"/>
              </w:rPr>
              <w:t>大朴资产</w:t>
            </w:r>
            <w:r>
              <w:rPr>
                <w:rFonts w:hint="eastAsia" w:cs="Times New Roman"/>
                <w:color w:val="auto"/>
                <w:highlight w:val="none"/>
                <w:lang w:val="en-US" w:eastAsia="zh-CN"/>
              </w:rPr>
              <w:t>、</w:t>
            </w:r>
            <w:r>
              <w:rPr>
                <w:rFonts w:hint="default" w:cs="Times New Roman"/>
                <w:color w:val="auto"/>
                <w:highlight w:val="none"/>
                <w:lang w:val="en-US" w:eastAsia="zh-CN"/>
              </w:rPr>
              <w:t>申万宏源证券</w:t>
            </w:r>
            <w:r>
              <w:rPr>
                <w:rFonts w:hint="eastAsia" w:cs="Times New Roman"/>
                <w:color w:val="auto"/>
                <w:highlight w:val="none"/>
                <w:lang w:val="en-US" w:eastAsia="zh-CN"/>
              </w:rPr>
              <w:t>、</w:t>
            </w:r>
            <w:r>
              <w:rPr>
                <w:rFonts w:hint="default" w:cs="Times New Roman"/>
                <w:color w:val="auto"/>
                <w:highlight w:val="none"/>
                <w:lang w:val="en-US" w:eastAsia="zh-CN"/>
              </w:rPr>
              <w:t>浦银安盛基金</w:t>
            </w:r>
            <w:r>
              <w:rPr>
                <w:rFonts w:hint="eastAsia" w:cs="Times New Roman"/>
                <w:color w:val="auto"/>
                <w:highlight w:val="none"/>
                <w:lang w:val="en-US" w:eastAsia="zh-CN"/>
              </w:rPr>
              <w:t>、</w:t>
            </w:r>
            <w:r>
              <w:rPr>
                <w:rFonts w:hint="default" w:cs="Times New Roman"/>
                <w:color w:val="auto"/>
                <w:highlight w:val="none"/>
                <w:lang w:val="en-US" w:eastAsia="zh-CN"/>
              </w:rPr>
              <w:t>建信养老</w:t>
            </w:r>
            <w:r>
              <w:rPr>
                <w:rFonts w:hint="eastAsia" w:cs="Times New Roman"/>
                <w:color w:val="auto"/>
                <w:highlight w:val="none"/>
                <w:lang w:val="en-US" w:eastAsia="zh-CN"/>
              </w:rPr>
              <w:t>、</w:t>
            </w:r>
            <w:r>
              <w:rPr>
                <w:rFonts w:hint="default" w:cs="Times New Roman"/>
                <w:color w:val="auto"/>
                <w:highlight w:val="none"/>
                <w:lang w:val="en-US" w:eastAsia="zh-CN"/>
              </w:rPr>
              <w:t>太保资管</w:t>
            </w:r>
            <w:r>
              <w:rPr>
                <w:rFonts w:hint="eastAsia" w:cs="Times New Roman"/>
                <w:color w:val="auto"/>
                <w:highlight w:val="none"/>
                <w:lang w:val="en-US" w:eastAsia="zh-CN"/>
              </w:rPr>
              <w:t>、</w:t>
            </w:r>
            <w:r>
              <w:rPr>
                <w:rFonts w:hint="default" w:cs="Times New Roman"/>
                <w:color w:val="auto"/>
                <w:highlight w:val="none"/>
                <w:lang w:val="en-US" w:eastAsia="zh-CN"/>
              </w:rPr>
              <w:t>浦银安盛基金</w:t>
            </w:r>
            <w:r>
              <w:rPr>
                <w:rFonts w:hint="eastAsia" w:cs="Times New Roman"/>
                <w:color w:val="auto"/>
                <w:highlight w:val="none"/>
                <w:lang w:val="en-US" w:eastAsia="zh-CN"/>
              </w:rPr>
              <w:t>、</w:t>
            </w:r>
            <w:r>
              <w:rPr>
                <w:rFonts w:hint="default" w:cs="Times New Roman"/>
                <w:color w:val="auto"/>
                <w:highlight w:val="none"/>
                <w:lang w:val="en-US" w:eastAsia="zh-CN"/>
              </w:rPr>
              <w:t>星石投资</w:t>
            </w:r>
            <w:r>
              <w:rPr>
                <w:rFonts w:hint="eastAsia" w:cs="Times New Roman"/>
                <w:color w:val="auto"/>
                <w:highlight w:val="none"/>
                <w:lang w:val="en-US" w:eastAsia="zh-CN"/>
              </w:rPr>
              <w:t>、</w:t>
            </w:r>
            <w:r>
              <w:rPr>
                <w:rFonts w:hint="default" w:cs="Times New Roman"/>
                <w:color w:val="auto"/>
                <w:highlight w:val="none"/>
                <w:lang w:val="en-US" w:eastAsia="zh-CN"/>
              </w:rPr>
              <w:t>明河投资</w:t>
            </w:r>
            <w:r>
              <w:rPr>
                <w:rFonts w:hint="eastAsia" w:cs="Times New Roman"/>
                <w:color w:val="auto"/>
                <w:highlight w:val="none"/>
                <w:lang w:val="en-US" w:eastAsia="zh-CN"/>
              </w:rPr>
              <w:t>、</w:t>
            </w:r>
            <w:r>
              <w:rPr>
                <w:rFonts w:hint="default" w:cs="Times New Roman"/>
                <w:color w:val="auto"/>
                <w:highlight w:val="none"/>
                <w:lang w:val="en-US" w:eastAsia="zh-CN"/>
              </w:rPr>
              <w:t>人保养老</w:t>
            </w:r>
            <w:r>
              <w:rPr>
                <w:rFonts w:hint="eastAsia" w:cs="Times New Roman"/>
                <w:color w:val="auto"/>
                <w:highlight w:val="none"/>
                <w:lang w:val="en-US" w:eastAsia="zh-CN"/>
              </w:rPr>
              <w:t>、</w:t>
            </w:r>
            <w:r>
              <w:rPr>
                <w:rFonts w:hint="default" w:cs="Times New Roman"/>
                <w:color w:val="auto"/>
                <w:highlight w:val="none"/>
                <w:lang w:val="en-US" w:eastAsia="zh-CN"/>
              </w:rPr>
              <w:t>东吴基金</w:t>
            </w:r>
            <w:r>
              <w:rPr>
                <w:rFonts w:hint="eastAsia" w:cs="Times New Roman"/>
                <w:color w:val="auto"/>
                <w:highlight w:val="none"/>
                <w:lang w:val="en-US" w:eastAsia="zh-CN"/>
              </w:rPr>
              <w:t>、</w:t>
            </w:r>
            <w:r>
              <w:rPr>
                <w:rFonts w:hint="default" w:cs="Times New Roman"/>
                <w:color w:val="auto"/>
                <w:highlight w:val="none"/>
                <w:lang w:val="en-US" w:eastAsia="zh-CN"/>
              </w:rPr>
              <w:t>嘉实基金</w:t>
            </w:r>
            <w:r>
              <w:rPr>
                <w:rFonts w:hint="eastAsia" w:cs="Times New Roman"/>
                <w:color w:val="auto"/>
                <w:highlight w:val="none"/>
                <w:lang w:val="en-US" w:eastAsia="zh-CN"/>
              </w:rPr>
              <w:t>、</w:t>
            </w:r>
            <w:r>
              <w:rPr>
                <w:rFonts w:hint="default" w:cs="Times New Roman"/>
                <w:color w:val="auto"/>
                <w:highlight w:val="none"/>
                <w:lang w:val="en-US" w:eastAsia="zh-CN"/>
              </w:rPr>
              <w:t>中邮证券</w:t>
            </w:r>
            <w:r>
              <w:rPr>
                <w:rFonts w:hint="eastAsia" w:cs="Times New Roman"/>
                <w:color w:val="auto"/>
                <w:highlight w:val="none"/>
                <w:lang w:val="en-US" w:eastAsia="zh-CN"/>
              </w:rPr>
              <w:t>、</w:t>
            </w:r>
            <w:r>
              <w:rPr>
                <w:rFonts w:hint="default" w:cs="Times New Roman"/>
                <w:color w:val="auto"/>
                <w:highlight w:val="none"/>
                <w:lang w:val="en-US" w:eastAsia="zh-CN"/>
              </w:rPr>
              <w:t>兴业证券</w:t>
            </w:r>
            <w:r>
              <w:rPr>
                <w:rFonts w:hint="eastAsia" w:cs="Times New Roman"/>
                <w:color w:val="auto"/>
                <w:highlight w:val="none"/>
                <w:lang w:val="en-US" w:eastAsia="zh-CN"/>
              </w:rPr>
              <w:t>、</w:t>
            </w:r>
            <w:r>
              <w:rPr>
                <w:rFonts w:hint="default" w:cs="Times New Roman"/>
                <w:color w:val="auto"/>
                <w:highlight w:val="none"/>
                <w:lang w:val="en-US" w:eastAsia="zh-CN"/>
              </w:rPr>
              <w:t>光大保德信</w:t>
            </w:r>
            <w:r>
              <w:rPr>
                <w:rFonts w:hint="eastAsia" w:cs="Times New Roman"/>
                <w:color w:val="auto"/>
                <w:highlight w:val="none"/>
                <w:lang w:val="en-US" w:eastAsia="zh-CN"/>
              </w:rPr>
              <w:t>、</w:t>
            </w:r>
            <w:r>
              <w:rPr>
                <w:rFonts w:hint="default" w:cs="Times New Roman"/>
                <w:color w:val="auto"/>
                <w:highlight w:val="none"/>
                <w:lang w:val="en-US" w:eastAsia="zh-CN"/>
              </w:rPr>
              <w:t>兴银理财</w:t>
            </w:r>
            <w:r>
              <w:rPr>
                <w:rFonts w:hint="eastAsia" w:cs="Times New Roman"/>
                <w:color w:val="auto"/>
                <w:highlight w:val="none"/>
                <w:lang w:val="en-US" w:eastAsia="zh-CN"/>
              </w:rPr>
              <w:t>、</w:t>
            </w:r>
            <w:r>
              <w:rPr>
                <w:rFonts w:hint="default" w:cs="Times New Roman"/>
                <w:color w:val="auto"/>
                <w:highlight w:val="none"/>
                <w:lang w:val="en-US" w:eastAsia="zh-CN"/>
              </w:rPr>
              <w:t>上海证券</w:t>
            </w:r>
            <w:r>
              <w:rPr>
                <w:rFonts w:hint="eastAsia" w:cs="Times New Roman"/>
                <w:color w:val="auto"/>
                <w:highlight w:val="none"/>
                <w:lang w:val="en-US" w:eastAsia="zh-CN"/>
              </w:rPr>
              <w:t>、</w:t>
            </w:r>
            <w:r>
              <w:rPr>
                <w:rFonts w:hint="default" w:cs="Times New Roman"/>
                <w:color w:val="auto"/>
                <w:highlight w:val="none"/>
                <w:lang w:val="en-US" w:eastAsia="zh-CN"/>
              </w:rPr>
              <w:t>中信建投证券</w:t>
            </w:r>
            <w:r>
              <w:rPr>
                <w:rFonts w:hint="eastAsia" w:cs="Times New Roman"/>
                <w:color w:val="auto"/>
                <w:highlight w:val="none"/>
                <w:lang w:val="en-US" w:eastAsia="zh-CN"/>
              </w:rPr>
              <w:t>、</w:t>
            </w:r>
            <w:r>
              <w:rPr>
                <w:rFonts w:hint="default" w:cs="Times New Roman"/>
                <w:color w:val="auto"/>
                <w:highlight w:val="none"/>
                <w:lang w:val="en-US" w:eastAsia="zh-CN"/>
              </w:rPr>
              <w:t>开源证券</w:t>
            </w:r>
            <w:r>
              <w:rPr>
                <w:rFonts w:hint="eastAsia" w:cs="Times New Roman"/>
                <w:color w:val="auto"/>
                <w:highlight w:val="none"/>
                <w:lang w:val="en-US" w:eastAsia="zh-CN"/>
              </w:rPr>
              <w:t>、</w:t>
            </w:r>
            <w:r>
              <w:rPr>
                <w:rFonts w:hint="default" w:cs="Times New Roman"/>
                <w:color w:val="auto"/>
                <w:highlight w:val="none"/>
                <w:lang w:val="en-US" w:eastAsia="zh-CN"/>
              </w:rPr>
              <w:t>华源证券</w:t>
            </w:r>
            <w:r>
              <w:rPr>
                <w:rFonts w:hint="eastAsia" w:cs="Times New Roman"/>
                <w:color w:val="auto"/>
                <w:highlight w:val="none"/>
                <w:lang w:val="en-US" w:eastAsia="zh-CN"/>
              </w:rPr>
              <w:t>、</w:t>
            </w:r>
            <w:r>
              <w:rPr>
                <w:rFonts w:hint="default" w:cs="Times New Roman"/>
                <w:color w:val="auto"/>
                <w:highlight w:val="none"/>
                <w:lang w:val="en-US" w:eastAsia="zh-CN"/>
              </w:rPr>
              <w:t>华西证券</w:t>
            </w:r>
            <w:r>
              <w:rPr>
                <w:rFonts w:hint="eastAsia" w:cs="Times New Roman"/>
                <w:color w:val="auto"/>
                <w:highlight w:val="none"/>
                <w:lang w:val="en-US" w:eastAsia="zh-CN"/>
              </w:rPr>
              <w:t>、</w:t>
            </w:r>
            <w:r>
              <w:rPr>
                <w:rFonts w:hint="default" w:cs="Times New Roman"/>
                <w:color w:val="auto"/>
                <w:highlight w:val="none"/>
                <w:lang w:val="en-US" w:eastAsia="zh-CN"/>
              </w:rPr>
              <w:t>六禾致谦私募</w:t>
            </w:r>
            <w:r>
              <w:rPr>
                <w:rFonts w:hint="eastAsia" w:cs="Times New Roman"/>
                <w:color w:val="auto"/>
                <w:highlight w:val="none"/>
                <w:lang w:val="en-US" w:eastAsia="zh-CN"/>
              </w:rPr>
              <w:t>、</w:t>
            </w:r>
            <w:r>
              <w:rPr>
                <w:rFonts w:hint="default" w:cs="Times New Roman"/>
                <w:color w:val="auto"/>
                <w:highlight w:val="none"/>
                <w:lang w:val="en-US" w:eastAsia="zh-CN"/>
              </w:rPr>
              <w:t>青禾投资</w:t>
            </w:r>
            <w:r>
              <w:rPr>
                <w:rFonts w:hint="eastAsia" w:cs="Times New Roman"/>
                <w:color w:val="auto"/>
                <w:highlight w:val="none"/>
                <w:lang w:val="en-US" w:eastAsia="zh-CN"/>
              </w:rPr>
              <w:t>、</w:t>
            </w:r>
            <w:r>
              <w:rPr>
                <w:rFonts w:hint="default" w:cs="Times New Roman"/>
                <w:color w:val="auto"/>
                <w:highlight w:val="none"/>
                <w:lang w:val="en-US" w:eastAsia="zh-CN"/>
              </w:rPr>
              <w:t>华福基金</w:t>
            </w:r>
            <w:r>
              <w:rPr>
                <w:rFonts w:hint="eastAsia" w:cs="Times New Roman"/>
                <w:color w:val="auto"/>
                <w:highlight w:val="none"/>
                <w:lang w:val="en-US" w:eastAsia="zh-CN"/>
              </w:rPr>
              <w:t>、</w:t>
            </w:r>
            <w:r>
              <w:rPr>
                <w:rFonts w:hint="default" w:cs="Times New Roman"/>
                <w:color w:val="auto"/>
                <w:highlight w:val="none"/>
                <w:lang w:val="en-US" w:eastAsia="zh-CN"/>
              </w:rPr>
              <w:t>紫阁投资</w:t>
            </w:r>
            <w:r>
              <w:rPr>
                <w:rFonts w:hint="eastAsia" w:cs="Times New Roman"/>
                <w:color w:val="auto"/>
                <w:highlight w:val="none"/>
                <w:lang w:val="en-US" w:eastAsia="zh-CN"/>
              </w:rPr>
              <w:t>、大家资产、国金基金、工银瑞信基金、国寿养老、华夏基金、国寿资产、民生加银基金、天弘基金、中金公司、</w:t>
            </w:r>
            <w:r>
              <w:rPr>
                <w:rFonts w:hint="default" w:cs="Times New Roman"/>
                <w:color w:val="auto"/>
                <w:highlight w:val="none"/>
                <w:lang w:val="en-US" w:eastAsia="zh-CN"/>
              </w:rPr>
              <w:t>Green Court</w:t>
            </w:r>
            <w:r>
              <w:rPr>
                <w:rFonts w:hint="eastAsia" w:cs="Times New Roman"/>
                <w:color w:val="auto"/>
                <w:highlight w:val="none"/>
                <w:lang w:val="en-US" w:eastAsia="zh-CN"/>
              </w:rPr>
              <w:t>、</w:t>
            </w:r>
            <w:r>
              <w:rPr>
                <w:rFonts w:hint="default" w:cs="Times New Roman"/>
                <w:color w:val="auto"/>
                <w:highlight w:val="none"/>
                <w:lang w:val="en-US" w:eastAsia="zh-CN"/>
              </w:rPr>
              <w:t>UBS Securities</w:t>
            </w:r>
            <w:r>
              <w:rPr>
                <w:rFonts w:hint="eastAsia" w:cs="Times New Roman"/>
                <w:color w:val="auto"/>
                <w:highlight w:val="none"/>
                <w:lang w:val="en-US" w:eastAsia="zh-CN"/>
              </w:rPr>
              <w:t>、</w:t>
            </w:r>
            <w:r>
              <w:rPr>
                <w:rFonts w:hint="default" w:cs="Times New Roman"/>
                <w:color w:val="auto"/>
                <w:highlight w:val="none"/>
                <w:lang w:val="en-US" w:eastAsia="zh-CN"/>
              </w:rPr>
              <w:t>Abu Dhabi Investment Authority</w:t>
            </w:r>
            <w:r>
              <w:rPr>
                <w:rFonts w:hint="eastAsia" w:cs="Times New Roman"/>
                <w:color w:val="auto"/>
                <w:highlight w:val="none"/>
                <w:lang w:val="en-US" w:eastAsia="zh-CN"/>
              </w:rPr>
              <w:t>、</w:t>
            </w:r>
            <w:r>
              <w:rPr>
                <w:rFonts w:hint="default" w:cs="Times New Roman"/>
                <w:color w:val="auto"/>
                <w:highlight w:val="none"/>
                <w:lang w:val="en-US" w:eastAsia="zh-CN"/>
              </w:rPr>
              <w:t>Cathay Financial Holdings</w:t>
            </w:r>
            <w:r>
              <w:rPr>
                <w:rFonts w:hint="eastAsia" w:cs="Times New Roman"/>
                <w:color w:val="auto"/>
                <w:highlight w:val="none"/>
                <w:lang w:val="en-US" w:eastAsia="zh-CN"/>
              </w:rPr>
              <w:t>、</w:t>
            </w:r>
            <w:r>
              <w:rPr>
                <w:rFonts w:hint="default" w:cs="Times New Roman"/>
                <w:color w:val="auto"/>
                <w:highlight w:val="none"/>
                <w:lang w:val="en-US" w:eastAsia="zh-CN"/>
              </w:rPr>
              <w:t>Janus Henderson Investors</w:t>
            </w:r>
            <w:r>
              <w:rPr>
                <w:rFonts w:hint="eastAsia" w:cs="Times New Roman"/>
                <w:color w:val="auto"/>
                <w:highlight w:val="none"/>
                <w:lang w:val="en-US" w:eastAsia="zh-CN"/>
              </w:rPr>
              <w:t>、</w:t>
            </w:r>
            <w:r>
              <w:rPr>
                <w:rFonts w:hint="default" w:cs="Times New Roman"/>
                <w:color w:val="auto"/>
                <w:highlight w:val="none"/>
                <w:lang w:val="en-US" w:eastAsia="zh-CN"/>
              </w:rPr>
              <w:t>Kadensa Capital</w:t>
            </w:r>
            <w:r>
              <w:rPr>
                <w:rFonts w:hint="eastAsia" w:cs="Times New Roman"/>
                <w:color w:val="auto"/>
                <w:highlight w:val="none"/>
                <w:lang w:val="en-US" w:eastAsia="zh-CN"/>
              </w:rPr>
              <w:t>、</w:t>
            </w:r>
            <w:r>
              <w:rPr>
                <w:rFonts w:hint="default" w:cs="Times New Roman"/>
                <w:color w:val="auto"/>
                <w:highlight w:val="none"/>
                <w:lang w:val="en-US" w:eastAsia="zh-CN"/>
              </w:rPr>
              <w:t>Lazard Asset</w:t>
            </w:r>
            <w:r>
              <w:rPr>
                <w:rFonts w:hint="eastAsia" w:cs="Times New Roman"/>
                <w:color w:val="auto"/>
                <w:highlight w:val="none"/>
                <w:lang w:val="en-US" w:eastAsia="zh-CN"/>
              </w:rPr>
              <w:t xml:space="preserve"> Management、</w:t>
            </w:r>
            <w:r>
              <w:rPr>
                <w:rFonts w:hint="default" w:cs="Times New Roman"/>
                <w:color w:val="auto"/>
                <w:highlight w:val="none"/>
                <w:lang w:val="en-US" w:eastAsia="zh-CN"/>
              </w:rPr>
              <w:t>Stillpoint Investments</w:t>
            </w:r>
            <w:r>
              <w:rPr>
                <w:rFonts w:hint="eastAsia" w:cs="Times New Roman"/>
                <w:color w:val="auto"/>
                <w:highlight w:val="none"/>
                <w:lang w:val="en-US" w:eastAsia="zh-CN"/>
              </w:rPr>
              <w:t>、</w:t>
            </w:r>
            <w:r>
              <w:rPr>
                <w:rFonts w:hint="default" w:cs="Times New Roman"/>
                <w:color w:val="auto"/>
                <w:highlight w:val="none"/>
                <w:lang w:val="en-US" w:eastAsia="zh-CN"/>
              </w:rPr>
              <w:t>Polunin Capital</w:t>
            </w:r>
            <w:r>
              <w:rPr>
                <w:rFonts w:hint="eastAsia" w:cs="Times New Roman"/>
                <w:color w:val="auto"/>
                <w:highlight w:val="none"/>
                <w:lang w:val="en-US" w:eastAsia="zh-CN"/>
              </w:rPr>
              <w:t>、</w:t>
            </w:r>
            <w:r>
              <w:rPr>
                <w:rFonts w:hint="default" w:cs="Times New Roman"/>
                <w:color w:val="auto"/>
                <w:highlight w:val="none"/>
                <w:lang w:val="en-US" w:eastAsia="zh-CN"/>
              </w:rPr>
              <w:t>Principal Asset Management</w:t>
            </w:r>
            <w:r>
              <w:rPr>
                <w:rFonts w:hint="eastAsia" w:cs="Times New Roman"/>
                <w:color w:val="auto"/>
                <w:highlight w:val="none"/>
                <w:lang w:val="en-US" w:eastAsia="zh-CN"/>
              </w:rPr>
              <w:t>、</w:t>
            </w:r>
            <w:r>
              <w:rPr>
                <w:rFonts w:hint="default" w:cs="Times New Roman"/>
                <w:color w:val="auto"/>
                <w:highlight w:val="none"/>
                <w:lang w:val="en-US" w:eastAsia="zh-CN"/>
              </w:rPr>
              <w:t>Allspring Global Investments</w:t>
            </w:r>
            <w:r>
              <w:rPr>
                <w:rFonts w:hint="eastAsia" w:cs="Times New Roman"/>
                <w:color w:val="auto"/>
                <w:highlight w:val="none"/>
                <w:lang w:val="en-US" w:eastAsia="zh-CN"/>
              </w:rPr>
              <w:t>、</w:t>
            </w:r>
            <w:r>
              <w:rPr>
                <w:rFonts w:hint="default" w:cs="Times New Roman"/>
                <w:color w:val="auto"/>
                <w:highlight w:val="none"/>
                <w:lang w:val="en-US" w:eastAsia="zh-CN"/>
              </w:rPr>
              <w:t>China Investment Corporation</w:t>
            </w:r>
            <w:r>
              <w:rPr>
                <w:rFonts w:hint="eastAsia" w:cs="Times New Roman"/>
                <w:color w:val="auto"/>
                <w:highlight w:val="none"/>
                <w:lang w:val="en-US" w:eastAsia="zh-CN"/>
              </w:rPr>
              <w:t>、</w:t>
            </w:r>
            <w:r>
              <w:rPr>
                <w:rFonts w:hint="default" w:cs="Times New Roman"/>
                <w:color w:val="auto"/>
                <w:highlight w:val="none"/>
                <w:lang w:val="en-US" w:eastAsia="zh-CN"/>
              </w:rPr>
              <w:t>Morgan Stanley Investment</w:t>
            </w:r>
            <w:r>
              <w:rPr>
                <w:rFonts w:hint="eastAsia" w:cs="Times New Roman"/>
                <w:color w:val="auto"/>
                <w:highlight w:val="none"/>
                <w:lang w:val="en-US" w:eastAsia="zh-CN"/>
              </w:rPr>
              <w:t>、</w:t>
            </w:r>
            <w:r>
              <w:rPr>
                <w:rFonts w:hint="default" w:cs="Times New Roman"/>
                <w:color w:val="auto"/>
                <w:highlight w:val="none"/>
                <w:lang w:val="en-US" w:eastAsia="zh-CN"/>
              </w:rPr>
              <w:t>Mirae Asset Management</w:t>
            </w:r>
            <w:r>
              <w:rPr>
                <w:rFonts w:hint="eastAsia" w:cs="Times New Roman"/>
                <w:color w:val="auto"/>
                <w:highlight w:val="none"/>
                <w:lang w:val="en-US" w:eastAsia="zh-CN"/>
              </w:rPr>
              <w:t>、</w:t>
            </w:r>
            <w:r>
              <w:rPr>
                <w:rFonts w:hint="default" w:cs="Times New Roman"/>
                <w:color w:val="auto"/>
                <w:highlight w:val="none"/>
                <w:lang w:val="en-US" w:eastAsia="zh-CN"/>
              </w:rPr>
              <w:t>Citadel International Equities</w:t>
            </w:r>
            <w:r>
              <w:rPr>
                <w:rFonts w:hint="eastAsia" w:cs="Times New Roman"/>
                <w:color w:val="auto"/>
                <w:highlight w:val="none"/>
                <w:lang w:val="en-US" w:eastAsia="zh-CN"/>
              </w:rPr>
              <w:t>、</w:t>
            </w:r>
            <w:r>
              <w:rPr>
                <w:rFonts w:hint="default" w:cs="Times New Roman"/>
                <w:color w:val="auto"/>
                <w:highlight w:val="none"/>
                <w:lang w:val="en-US" w:eastAsia="zh-CN"/>
              </w:rPr>
              <w:t>Allianz Global Investors</w:t>
            </w:r>
            <w:r>
              <w:rPr>
                <w:rFonts w:hint="eastAsia" w:cs="Times New Roman"/>
                <w:color w:val="auto"/>
                <w:highlight w:val="none"/>
                <w:lang w:val="en-US" w:eastAsia="zh-CN"/>
              </w:rPr>
              <w:t>、</w:t>
            </w:r>
            <w:r>
              <w:rPr>
                <w:rFonts w:hint="default" w:cs="Times New Roman"/>
                <w:color w:val="auto"/>
                <w:highlight w:val="none"/>
                <w:lang w:val="en-US" w:eastAsia="zh-CN"/>
              </w:rPr>
              <w:t>BlackRock Asset Management</w:t>
            </w:r>
            <w:r>
              <w:rPr>
                <w:rFonts w:hint="eastAsia" w:cs="Times New Roman"/>
                <w:color w:val="auto"/>
                <w:highlight w:val="none"/>
                <w:lang w:val="en-US" w:eastAsia="zh-CN"/>
              </w:rPr>
              <w:t>、</w:t>
            </w:r>
            <w:r>
              <w:rPr>
                <w:rFonts w:hint="default" w:cs="Times New Roman"/>
                <w:color w:val="auto"/>
                <w:highlight w:val="none"/>
                <w:lang w:val="en-US" w:eastAsia="zh-CN"/>
              </w:rPr>
              <w:t>Macquarie</w:t>
            </w:r>
            <w:r>
              <w:rPr>
                <w:rFonts w:hint="eastAsia" w:cs="Times New Roman"/>
                <w:color w:val="auto"/>
                <w:highlight w:val="none"/>
                <w:lang w:val="en-US" w:eastAsia="zh-CN"/>
              </w:rPr>
              <w:t>、</w:t>
            </w:r>
            <w:r>
              <w:rPr>
                <w:rFonts w:hint="default" w:cs="Times New Roman"/>
                <w:color w:val="auto"/>
                <w:highlight w:val="none"/>
                <w:lang w:val="en-US" w:eastAsia="zh-CN"/>
              </w:rPr>
              <w:t>TD Asset Management</w:t>
            </w:r>
            <w:r>
              <w:rPr>
                <w:rFonts w:hint="eastAsia" w:cs="Times New Roman"/>
                <w:color w:val="auto"/>
                <w:highlight w:val="none"/>
                <w:lang w:val="en-US" w:eastAsia="zh-CN"/>
              </w:rPr>
              <w:t>、</w:t>
            </w:r>
            <w:r>
              <w:rPr>
                <w:rFonts w:hint="default" w:cs="Times New Roman"/>
                <w:color w:val="auto"/>
                <w:highlight w:val="none"/>
                <w:lang w:val="en-US" w:eastAsia="zh-CN"/>
              </w:rPr>
              <w:t>Manulife Investment Management</w:t>
            </w:r>
            <w:r>
              <w:rPr>
                <w:rFonts w:hint="eastAsia" w:cs="Times New Roman"/>
                <w:color w:val="auto"/>
                <w:highlight w:val="none"/>
                <w:lang w:val="en-US" w:eastAsia="zh-CN"/>
              </w:rPr>
              <w:t>、</w:t>
            </w:r>
            <w:r>
              <w:rPr>
                <w:rFonts w:hint="default" w:cs="Times New Roman"/>
                <w:color w:val="auto"/>
                <w:highlight w:val="none"/>
                <w:lang w:val="en-US" w:eastAsia="zh-CN"/>
              </w:rPr>
              <w:t>Neuberger Berm</w:t>
            </w:r>
            <w:bookmarkStart w:id="0" w:name="_GoBack"/>
            <w:bookmarkEnd w:id="0"/>
            <w:r>
              <w:rPr>
                <w:rFonts w:hint="default" w:cs="Times New Roman"/>
                <w:color w:val="auto"/>
                <w:highlight w:val="none"/>
                <w:lang w:val="en-US" w:eastAsia="zh-CN"/>
              </w:rPr>
              <w:t>an</w:t>
            </w:r>
            <w:r>
              <w:rPr>
                <w:rFonts w:hint="eastAsia" w:cs="Times New Roman"/>
                <w:color w:val="auto"/>
                <w:highlight w:val="none"/>
                <w:lang w:val="en-US" w:eastAsia="zh-CN"/>
              </w:rPr>
              <w:t>、</w:t>
            </w:r>
            <w:r>
              <w:rPr>
                <w:rFonts w:hint="default" w:cs="Times New Roman"/>
                <w:color w:val="auto"/>
                <w:highlight w:val="none"/>
                <w:lang w:val="en-US" w:eastAsia="zh-CN"/>
              </w:rPr>
              <w:t>Belle</w:t>
            </w:r>
            <w:r>
              <w:rPr>
                <w:rFonts w:hint="eastAsia" w:cs="Times New Roman"/>
                <w:color w:val="auto"/>
                <w:highlight w:val="none"/>
                <w:lang w:val="en-US" w:eastAsia="zh-CN"/>
              </w:rPr>
              <w:t xml:space="preserve"> C</w:t>
            </w:r>
            <w:r>
              <w:rPr>
                <w:rFonts w:hint="default" w:cs="Times New Roman"/>
                <w:color w:val="auto"/>
                <w:highlight w:val="none"/>
                <w:lang w:val="en-US" w:eastAsia="zh-CN"/>
              </w:rPr>
              <w:t>apital</w:t>
            </w:r>
            <w:r>
              <w:rPr>
                <w:rFonts w:hint="eastAsia" w:cs="Times New Roman"/>
                <w:color w:val="auto"/>
                <w:highlight w:val="none"/>
                <w:lang w:val="en-US" w:eastAsia="zh-CN"/>
              </w:rPr>
              <w:t>、</w:t>
            </w:r>
            <w:r>
              <w:rPr>
                <w:rFonts w:hint="default" w:cs="Times New Roman"/>
                <w:color w:val="auto"/>
                <w:highlight w:val="none"/>
                <w:lang w:val="en-US" w:eastAsia="zh-CN"/>
              </w:rPr>
              <w:t>Capstone Capital</w:t>
            </w:r>
            <w:r>
              <w:rPr>
                <w:rFonts w:hint="eastAsia" w:cs="Times New Roman"/>
                <w:color w:val="auto"/>
                <w:highlight w:val="none"/>
                <w:lang w:val="en-US" w:eastAsia="zh-CN"/>
              </w:rPr>
              <w:t>、</w:t>
            </w:r>
            <w:r>
              <w:rPr>
                <w:rFonts w:hint="default" w:cs="Times New Roman"/>
                <w:color w:val="auto"/>
                <w:highlight w:val="none"/>
                <w:lang w:val="en-US" w:eastAsia="zh-CN"/>
              </w:rPr>
              <w:t>T.Rowe Price</w:t>
            </w:r>
            <w:r>
              <w:rPr>
                <w:rFonts w:hint="eastAsia" w:cs="Times New Roman"/>
                <w:color w:val="auto"/>
                <w:highlight w:val="none"/>
                <w:lang w:val="en-US" w:eastAsia="zh-CN"/>
              </w:rPr>
              <w:t>、</w:t>
            </w:r>
            <w:r>
              <w:rPr>
                <w:rFonts w:hint="default" w:cs="Times New Roman"/>
                <w:color w:val="auto"/>
                <w:highlight w:val="none"/>
                <w:lang w:val="en-US" w:eastAsia="zh-CN"/>
              </w:rPr>
              <w:t>Tree Line Advisors</w:t>
            </w:r>
            <w:r>
              <w:rPr>
                <w:rFonts w:hint="eastAsia" w:cs="Times New Roman"/>
                <w:color w:val="auto"/>
                <w:highlight w:val="none"/>
                <w:lang w:val="en-US" w:eastAsia="zh-CN"/>
              </w:rPr>
              <w:t>、</w:t>
            </w:r>
            <w:r>
              <w:rPr>
                <w:rFonts w:hint="default" w:cs="Times New Roman"/>
                <w:color w:val="auto"/>
                <w:highlight w:val="none"/>
                <w:lang w:val="en-US" w:eastAsia="zh-CN"/>
              </w:rPr>
              <w:t>Point72 Asset Management</w:t>
            </w:r>
            <w:r>
              <w:rPr>
                <w:rFonts w:hint="eastAsia" w:cs="Times New Roman"/>
                <w:color w:val="auto"/>
                <w:highlight w:val="none"/>
                <w:lang w:val="en-US" w:eastAsia="zh-CN"/>
              </w:rPr>
              <w:t>、</w:t>
            </w:r>
            <w:r>
              <w:rPr>
                <w:rFonts w:hint="default" w:cs="Times New Roman"/>
                <w:color w:val="auto"/>
                <w:highlight w:val="none"/>
                <w:lang w:val="en-US" w:eastAsia="zh-CN"/>
              </w:rPr>
              <w:t>Harmolands Capital</w:t>
            </w:r>
            <w:r>
              <w:rPr>
                <w:rFonts w:hint="eastAsia" w:cs="Times New Roman"/>
                <w:color w:val="auto"/>
                <w:highlight w:val="none"/>
                <w:lang w:val="en-US" w:eastAsia="zh-CN"/>
              </w:rPr>
              <w:t>、</w:t>
            </w:r>
            <w:r>
              <w:rPr>
                <w:rFonts w:hint="default" w:cs="Times New Roman"/>
                <w:color w:val="auto"/>
                <w:highlight w:val="none"/>
                <w:lang w:val="en-US" w:eastAsia="zh-CN"/>
              </w:rPr>
              <w:t>WT Capital</w:t>
            </w:r>
            <w:r>
              <w:rPr>
                <w:rFonts w:hint="eastAsia" w:cs="Times New Roman"/>
                <w:color w:val="auto"/>
                <w:highlight w:val="none"/>
                <w:lang w:val="en-US" w:eastAsia="zh-CN"/>
              </w:rPr>
              <w:t>、</w:t>
            </w:r>
            <w:r>
              <w:rPr>
                <w:rFonts w:hint="default" w:cs="Times New Roman"/>
                <w:color w:val="auto"/>
                <w:highlight w:val="none"/>
                <w:lang w:val="en-US" w:eastAsia="zh-CN"/>
              </w:rPr>
              <w:t>Polymer</w:t>
            </w:r>
            <w:r>
              <w:rPr>
                <w:rFonts w:hint="eastAsia" w:cs="Times New Roman"/>
                <w:color w:val="auto"/>
                <w:highlight w:val="none"/>
                <w:lang w:val="en-US" w:eastAsia="zh-CN"/>
              </w:rPr>
              <w:t xml:space="preserve"> </w:t>
            </w:r>
            <w:r>
              <w:rPr>
                <w:rFonts w:hint="default" w:cs="Times New Roman"/>
                <w:color w:val="auto"/>
                <w:highlight w:val="none"/>
                <w:lang w:val="en-US" w:eastAsia="zh-CN"/>
              </w:rPr>
              <w:t>Capital</w:t>
            </w:r>
            <w:r>
              <w:rPr>
                <w:rFonts w:hint="eastAsia" w:cs="Times New Roman"/>
                <w:color w:val="auto"/>
                <w:highlight w:val="none"/>
                <w:lang w:val="en-US" w:eastAsia="zh-CN"/>
              </w:rPr>
              <w:t>、</w:t>
            </w:r>
            <w:r>
              <w:rPr>
                <w:rFonts w:hint="default" w:cs="Times New Roman"/>
                <w:color w:val="auto"/>
                <w:highlight w:val="none"/>
                <w:lang w:val="en-US" w:eastAsia="zh-CN"/>
              </w:rPr>
              <w:t>HSBC Global Asset Management</w:t>
            </w:r>
            <w:r>
              <w:rPr>
                <w:rFonts w:hint="eastAsia" w:cs="Times New Roman"/>
                <w:color w:val="auto"/>
                <w:highlight w:val="none"/>
                <w:lang w:val="en-US" w:eastAsia="zh-CN"/>
              </w:rPr>
              <w:t>、</w:t>
            </w:r>
            <w:r>
              <w:rPr>
                <w:rFonts w:hint="default" w:cs="Times New Roman"/>
                <w:color w:val="auto"/>
                <w:highlight w:val="none"/>
                <w:lang w:val="en-US" w:eastAsia="zh-CN"/>
              </w:rPr>
              <w:t>China Alpha Fund</w:t>
            </w:r>
            <w:r>
              <w:rPr>
                <w:rFonts w:hint="eastAsia" w:cs="Times New Roman"/>
                <w:color w:val="auto"/>
                <w:highlight w:val="none"/>
                <w:lang w:val="en-US" w:eastAsia="zh-CN"/>
              </w:rPr>
              <w:t>、</w:t>
            </w:r>
            <w:r>
              <w:rPr>
                <w:rFonts w:hint="default" w:cs="Times New Roman"/>
                <w:color w:val="auto"/>
                <w:highlight w:val="none"/>
                <w:lang w:val="en-US" w:eastAsia="zh-CN"/>
              </w:rPr>
              <w:t>Dymon Asia Capital</w:t>
            </w:r>
            <w:r>
              <w:rPr>
                <w:rFonts w:hint="eastAsia" w:cs="Times New Roman"/>
                <w:color w:val="auto"/>
                <w:highlight w:val="none"/>
                <w:lang w:val="en-US" w:eastAsia="zh-CN"/>
              </w:rPr>
              <w:t>、</w:t>
            </w:r>
            <w:r>
              <w:rPr>
                <w:rFonts w:hint="default" w:cs="Times New Roman"/>
                <w:color w:val="auto"/>
                <w:highlight w:val="none"/>
                <w:lang w:val="en-US" w:eastAsia="zh-CN"/>
              </w:rPr>
              <w:t>Pinpoint Asset Management</w:t>
            </w:r>
            <w:r>
              <w:rPr>
                <w:rFonts w:hint="eastAsia" w:cs="Times New Roman"/>
                <w:color w:val="auto"/>
                <w:highlight w:val="none"/>
                <w:lang w:val="en-US" w:eastAsia="zh-CN"/>
              </w:rPr>
              <w:t>、</w:t>
            </w:r>
            <w:r>
              <w:rPr>
                <w:rFonts w:hint="default" w:cs="Times New Roman"/>
                <w:color w:val="auto"/>
                <w:highlight w:val="none"/>
                <w:lang w:val="en-US" w:eastAsia="zh-CN"/>
              </w:rPr>
              <w:t>Rays Capital</w:t>
            </w:r>
          </w:p>
        </w:tc>
      </w:tr>
      <w:tr w14:paraId="144A9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5F5842F4">
            <w:pPr>
              <w:keepNext w:val="0"/>
              <w:keepLines w:val="0"/>
              <w:suppressLineNumbers w:val="0"/>
              <w:spacing w:before="0" w:beforeAutospacing="0" w:after="0" w:afterAutospacing="0"/>
              <w:ind w:left="0" w:right="0" w:firstLine="0" w:firstLineChars="0"/>
              <w:jc w:val="center"/>
              <w:rPr>
                <w:rFonts w:hint="default" w:ascii="Times New Roman" w:hAnsi="Times New Roman" w:eastAsia="宋体" w:cs="Times New Roman"/>
                <w:color w:val="auto"/>
              </w:rPr>
            </w:pPr>
            <w:r>
              <w:rPr>
                <w:rFonts w:hint="default" w:ascii="Times New Roman" w:hAnsi="Times New Roman" w:eastAsia="宋体" w:cs="Times New Roman"/>
                <w:color w:val="auto"/>
              </w:rPr>
              <w:t>时间</w:t>
            </w:r>
          </w:p>
        </w:tc>
        <w:tc>
          <w:tcPr>
            <w:tcW w:w="7370" w:type="dxa"/>
            <w:tcBorders>
              <w:top w:val="single" w:color="auto" w:sz="4" w:space="0"/>
              <w:left w:val="single" w:color="auto" w:sz="4" w:space="0"/>
              <w:bottom w:val="single" w:color="auto" w:sz="4" w:space="0"/>
              <w:right w:val="single" w:color="auto" w:sz="4" w:space="0"/>
            </w:tcBorders>
            <w:shd w:val="clear" w:color="auto" w:fill="auto"/>
            <w:vAlign w:val="center"/>
          </w:tcPr>
          <w:p w14:paraId="580D60E2">
            <w:pPr>
              <w:keepNext w:val="0"/>
              <w:keepLines w:val="0"/>
              <w:suppressLineNumbers w:val="0"/>
              <w:spacing w:before="0" w:beforeAutospacing="0" w:after="0" w:afterAutospacing="0"/>
              <w:ind w:left="0" w:right="0" w:firstLine="480"/>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202</w:t>
            </w:r>
            <w:r>
              <w:rPr>
                <w:rFonts w:hint="eastAsia" w:ascii="Times New Roman" w:hAnsi="Times New Roman" w:eastAsia="宋体" w:cs="Times New Roman"/>
                <w:color w:val="auto"/>
                <w:highlight w:val="none"/>
                <w:lang w:val="en-US" w:eastAsia="zh-CN"/>
              </w:rPr>
              <w:t>5</w:t>
            </w:r>
            <w:r>
              <w:rPr>
                <w:rFonts w:hint="default" w:ascii="Times New Roman" w:hAnsi="Times New Roman" w:eastAsia="宋体" w:cs="Times New Roman"/>
                <w:color w:val="auto"/>
                <w:highlight w:val="none"/>
              </w:rPr>
              <w:t>年</w:t>
            </w:r>
            <w:r>
              <w:rPr>
                <w:rFonts w:hint="default" w:cs="Times New Roman"/>
                <w:color w:val="auto"/>
                <w:highlight w:val="none"/>
                <w:lang w:val="en-US" w:eastAsia="zh-CN"/>
              </w:rPr>
              <w:t>8</w:t>
            </w:r>
            <w:r>
              <w:rPr>
                <w:rFonts w:hint="default" w:ascii="Times New Roman" w:hAnsi="Times New Roman" w:eastAsia="宋体" w:cs="Times New Roman"/>
                <w:color w:val="auto"/>
                <w:highlight w:val="none"/>
              </w:rPr>
              <w:t>月</w:t>
            </w:r>
            <w:r>
              <w:rPr>
                <w:rFonts w:hint="eastAsia" w:cs="Times New Roman"/>
                <w:color w:val="auto"/>
                <w:highlight w:val="none"/>
                <w:lang w:val="en-US" w:eastAsia="zh-CN"/>
              </w:rPr>
              <w:t>27</w:t>
            </w:r>
            <w:r>
              <w:rPr>
                <w:rFonts w:hint="default" w:ascii="Times New Roman" w:hAnsi="Times New Roman" w:eastAsia="宋体" w:cs="Times New Roman"/>
                <w:color w:val="auto"/>
                <w:highlight w:val="none"/>
              </w:rPr>
              <w:t>日</w:t>
            </w:r>
            <w:r>
              <w:rPr>
                <w:rFonts w:hint="eastAsia" w:ascii="Times New Roman" w:hAnsi="Times New Roman" w:eastAsia="宋体" w:cs="Times New Roman"/>
                <w:color w:val="auto"/>
                <w:highlight w:val="none"/>
              </w:rPr>
              <w:t>-</w:t>
            </w:r>
            <w:r>
              <w:rPr>
                <w:rFonts w:hint="eastAsia" w:cs="Times New Roman"/>
                <w:color w:val="auto"/>
                <w:highlight w:val="none"/>
                <w:lang w:val="en-US" w:eastAsia="zh-CN"/>
              </w:rPr>
              <w:t>9</w:t>
            </w:r>
            <w:r>
              <w:rPr>
                <w:rFonts w:hint="eastAsia" w:ascii="Times New Roman" w:hAnsi="Times New Roman" w:eastAsia="宋体" w:cs="Times New Roman"/>
                <w:color w:val="auto"/>
                <w:highlight w:val="none"/>
              </w:rPr>
              <w:t>月</w:t>
            </w:r>
            <w:r>
              <w:rPr>
                <w:rFonts w:hint="eastAsia" w:cs="Times New Roman"/>
                <w:color w:val="auto"/>
                <w:highlight w:val="none"/>
                <w:lang w:val="en-US" w:eastAsia="zh-CN"/>
              </w:rPr>
              <w:t>26</w:t>
            </w:r>
            <w:r>
              <w:rPr>
                <w:rFonts w:hint="eastAsia" w:ascii="Times New Roman" w:hAnsi="Times New Roman" w:eastAsia="宋体" w:cs="Times New Roman"/>
                <w:color w:val="auto"/>
                <w:highlight w:val="none"/>
              </w:rPr>
              <w:t>日</w:t>
            </w:r>
          </w:p>
        </w:tc>
      </w:tr>
      <w:tr w14:paraId="7D687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0D1865B3">
            <w:pPr>
              <w:keepNext w:val="0"/>
              <w:keepLines w:val="0"/>
              <w:suppressLineNumbers w:val="0"/>
              <w:spacing w:before="0" w:beforeAutospacing="0" w:after="0" w:afterAutospacing="0"/>
              <w:ind w:left="0" w:right="0" w:firstLine="0" w:firstLineChars="0"/>
              <w:jc w:val="center"/>
              <w:rPr>
                <w:rFonts w:hint="default" w:ascii="Times New Roman" w:hAnsi="Times New Roman" w:eastAsia="宋体" w:cs="Times New Roman"/>
                <w:color w:val="auto"/>
              </w:rPr>
            </w:pPr>
            <w:r>
              <w:rPr>
                <w:rFonts w:hint="default" w:ascii="Times New Roman" w:hAnsi="Times New Roman" w:eastAsia="宋体" w:cs="Times New Roman"/>
                <w:color w:val="auto"/>
              </w:rPr>
              <w:t>地点</w:t>
            </w:r>
          </w:p>
        </w:tc>
        <w:tc>
          <w:tcPr>
            <w:tcW w:w="7370" w:type="dxa"/>
            <w:tcBorders>
              <w:top w:val="single" w:color="auto" w:sz="4" w:space="0"/>
              <w:left w:val="single" w:color="auto" w:sz="4" w:space="0"/>
              <w:bottom w:val="single" w:color="auto" w:sz="4" w:space="0"/>
              <w:right w:val="single" w:color="auto" w:sz="4" w:space="0"/>
            </w:tcBorders>
            <w:shd w:val="clear" w:color="auto" w:fill="auto"/>
            <w:vAlign w:val="center"/>
          </w:tcPr>
          <w:p w14:paraId="7C024044">
            <w:pPr>
              <w:keepNext w:val="0"/>
              <w:keepLines w:val="0"/>
              <w:suppressLineNumbers w:val="0"/>
              <w:spacing w:before="0" w:beforeAutospacing="0" w:after="0" w:afterAutospacing="0"/>
              <w:ind w:left="0" w:right="0" w:firstLine="480"/>
              <w:jc w:val="left"/>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rPr>
              <w:t>线下</w:t>
            </w:r>
            <w:r>
              <w:rPr>
                <w:rFonts w:hint="eastAsia" w:ascii="Times New Roman" w:hAnsi="Times New Roman" w:eastAsia="宋体" w:cs="Times New Roman"/>
                <w:color w:val="auto"/>
              </w:rPr>
              <w:t>交流</w:t>
            </w:r>
            <w:r>
              <w:rPr>
                <w:rFonts w:hint="eastAsia" w:cs="Times New Roman"/>
                <w:color w:val="auto"/>
                <w:lang w:eastAsia="zh-CN"/>
              </w:rPr>
              <w:t>、</w:t>
            </w:r>
            <w:r>
              <w:rPr>
                <w:rFonts w:hint="eastAsia" w:cs="Times New Roman"/>
                <w:color w:val="auto"/>
                <w:lang w:val="en-US" w:eastAsia="zh-CN"/>
              </w:rPr>
              <w:t>线上交流</w:t>
            </w:r>
          </w:p>
        </w:tc>
      </w:tr>
      <w:tr w14:paraId="00E43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2AF9C371">
            <w:pPr>
              <w:keepNext w:val="0"/>
              <w:keepLines w:val="0"/>
              <w:suppressLineNumbers w:val="0"/>
              <w:spacing w:before="0" w:beforeAutospacing="0" w:after="0" w:afterAutospacing="0"/>
              <w:ind w:left="0" w:right="0" w:firstLine="0" w:firstLineChars="0"/>
              <w:jc w:val="center"/>
              <w:rPr>
                <w:rFonts w:hint="default" w:ascii="Times New Roman" w:hAnsi="Times New Roman" w:eastAsia="宋体" w:cs="Times New Roman"/>
                <w:color w:val="auto"/>
              </w:rPr>
            </w:pPr>
            <w:r>
              <w:rPr>
                <w:rFonts w:hint="default" w:ascii="Times New Roman" w:hAnsi="Times New Roman" w:eastAsia="宋体" w:cs="Times New Roman"/>
                <w:color w:val="auto"/>
              </w:rPr>
              <w:t>上市公司接待人员姓名</w:t>
            </w:r>
          </w:p>
        </w:tc>
        <w:tc>
          <w:tcPr>
            <w:tcW w:w="7370" w:type="dxa"/>
            <w:tcBorders>
              <w:top w:val="single" w:color="auto" w:sz="4" w:space="0"/>
              <w:left w:val="single" w:color="auto" w:sz="4" w:space="0"/>
              <w:bottom w:val="single" w:color="auto" w:sz="4" w:space="0"/>
              <w:right w:val="single" w:color="auto" w:sz="4" w:space="0"/>
            </w:tcBorders>
            <w:shd w:val="clear" w:color="auto" w:fill="auto"/>
            <w:vAlign w:val="center"/>
          </w:tcPr>
          <w:p w14:paraId="4ACBA0CA">
            <w:pPr>
              <w:keepNext w:val="0"/>
              <w:keepLines w:val="0"/>
              <w:suppressLineNumbers w:val="0"/>
              <w:spacing w:before="0" w:beforeAutospacing="0" w:after="0" w:afterAutospacing="0"/>
              <w:ind w:left="0" w:right="0" w:firstLine="480"/>
              <w:jc w:val="left"/>
              <w:rPr>
                <w:rFonts w:hint="default" w:ascii="Times New Roman" w:hAnsi="Times New Roman" w:eastAsia="宋体" w:cs="Times New Roman"/>
                <w:color w:val="auto"/>
                <w:lang w:val="en-US"/>
              </w:rPr>
            </w:pPr>
            <w:r>
              <w:rPr>
                <w:rFonts w:hint="eastAsia" w:cs="Times New Roman"/>
                <w:color w:val="auto"/>
                <w:lang w:val="en-US" w:eastAsia="zh-CN"/>
              </w:rPr>
              <w:t>赵颂恩、黄敏珺</w:t>
            </w:r>
          </w:p>
        </w:tc>
      </w:tr>
      <w:tr w14:paraId="2311E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4F296194">
            <w:pPr>
              <w:keepNext w:val="0"/>
              <w:keepLines w:val="0"/>
              <w:suppressLineNumbers w:val="0"/>
              <w:spacing w:before="0" w:beforeAutospacing="0" w:after="0" w:afterAutospacing="0"/>
              <w:ind w:left="0" w:right="0" w:firstLine="0" w:firstLineChars="0"/>
              <w:jc w:val="center"/>
              <w:rPr>
                <w:rFonts w:hint="default" w:ascii="Times New Roman" w:hAnsi="Times New Roman" w:eastAsia="宋体" w:cs="Times New Roman"/>
                <w:color w:val="auto"/>
              </w:rPr>
            </w:pPr>
            <w:r>
              <w:rPr>
                <w:rFonts w:hint="default" w:ascii="Times New Roman" w:hAnsi="Times New Roman" w:eastAsia="宋体" w:cs="Times New Roman"/>
                <w:color w:val="auto"/>
              </w:rPr>
              <w:t>投资者关系活动主要内容介绍</w:t>
            </w:r>
          </w:p>
          <w:p w14:paraId="01913D7E">
            <w:pPr>
              <w:keepNext w:val="0"/>
              <w:keepLines w:val="0"/>
              <w:suppressLineNumbers w:val="0"/>
              <w:spacing w:before="0" w:beforeAutospacing="0" w:after="0" w:afterAutospacing="0"/>
              <w:ind w:left="0" w:right="0" w:firstLine="480"/>
              <w:rPr>
                <w:rFonts w:hint="default" w:ascii="Times New Roman" w:hAnsi="Times New Roman" w:eastAsia="宋体" w:cs="Times New Roman"/>
                <w:color w:val="auto"/>
              </w:rPr>
            </w:pPr>
          </w:p>
        </w:tc>
        <w:tc>
          <w:tcPr>
            <w:tcW w:w="7370" w:type="dxa"/>
            <w:tcBorders>
              <w:top w:val="single" w:color="auto" w:sz="4" w:space="0"/>
              <w:left w:val="single" w:color="auto" w:sz="4" w:space="0"/>
              <w:bottom w:val="single" w:color="auto" w:sz="4" w:space="0"/>
              <w:right w:val="single" w:color="auto" w:sz="4" w:space="0"/>
            </w:tcBorders>
            <w:shd w:val="clear" w:color="auto" w:fill="auto"/>
            <w:vAlign w:val="center"/>
          </w:tcPr>
          <w:p w14:paraId="3BF0B7BB">
            <w:pPr>
              <w:keepNext w:val="0"/>
              <w:keepLines w:val="0"/>
              <w:suppressLineNumbers w:val="0"/>
              <w:spacing w:before="0" w:beforeAutospacing="0" w:after="0" w:afterAutospacing="0"/>
              <w:ind w:left="0" w:right="0" w:firstLine="482"/>
              <w:rPr>
                <w:rFonts w:hint="default" w:ascii="Times New Roman" w:hAnsi="Times New Roman" w:eastAsia="宋体" w:cs="Times New Roman"/>
                <w:b/>
                <w:bCs/>
                <w:color w:val="auto"/>
              </w:rPr>
            </w:pPr>
            <w:r>
              <w:rPr>
                <w:rFonts w:hint="default" w:ascii="Times New Roman" w:hAnsi="Times New Roman" w:eastAsia="宋体" w:cs="Times New Roman"/>
                <w:b/>
                <w:bCs/>
                <w:color w:val="auto"/>
              </w:rPr>
              <w:t>围绕公司近期的发展情况，公司管理层与投资者进行了充分交流，主要涉及以下方面：</w:t>
            </w:r>
          </w:p>
          <w:p w14:paraId="7ADD8CF7">
            <w:pPr>
              <w:pStyle w:val="2"/>
              <w:suppressLineNumbers w:val="0"/>
              <w:spacing w:before="0" w:beforeAutospacing="0" w:after="0" w:afterAutospacing="0" w:line="360" w:lineRule="auto"/>
              <w:ind w:left="480" w:leftChars="200" w:right="0" w:firstLine="0" w:firstLineChars="0"/>
              <w:rPr>
                <w:rFonts w:hint="eastAsia" w:ascii="Times New Roman" w:hAnsi="Times New Roman" w:eastAsia="宋体" w:cs="Times New Roman"/>
                <w:b/>
                <w:bCs/>
                <w:color w:val="auto"/>
                <w:sz w:val="24"/>
                <w:szCs w:val="24"/>
              </w:rPr>
            </w:pPr>
            <w:r>
              <w:rPr>
                <w:rFonts w:hint="eastAsia" w:ascii="Times New Roman" w:hAnsi="Times New Roman" w:eastAsia="宋体" w:cs="Times New Roman"/>
                <w:b/>
                <w:bCs/>
                <w:color w:val="auto"/>
                <w:sz w:val="24"/>
                <w:szCs w:val="24"/>
              </w:rPr>
              <w:t>1、公司如何看待目前手机CIS市场趋势？</w:t>
            </w:r>
          </w:p>
          <w:p w14:paraId="4A0EA4D8">
            <w:pPr>
              <w:keepNext w:val="0"/>
              <w:keepLines w:val="0"/>
              <w:suppressLineNumbers w:val="0"/>
              <w:spacing w:before="0" w:beforeAutospacing="0" w:after="0" w:afterAutospacing="0"/>
              <w:ind w:left="0" w:right="0" w:firstLine="480"/>
              <w:rPr>
                <w:rFonts w:hint="eastAsia" w:ascii="Times New Roman" w:hAnsi="Times New Roman" w:eastAsia="宋体"/>
                <w:color w:val="auto"/>
              </w:rPr>
            </w:pPr>
            <w:r>
              <w:rPr>
                <w:rFonts w:hint="eastAsia" w:ascii="Times New Roman" w:hAnsi="Times New Roman" w:eastAsia="宋体"/>
                <w:color w:val="auto"/>
              </w:rPr>
              <w:t>答：据YOLE预测数据显示，全球CIS市场预计将以4.4%的年均复合增长率从2024年的232亿美元增长到2030年的301亿美元，智能手机仍为目前市场最大的下游应用。手机厂商对影像性能的持续投入推动CIS市场发展，消费者对手机拍照、视频拍摄质量的要求不断提高，促进智能手机CIS技术不断升级。</w:t>
            </w:r>
          </w:p>
          <w:p w14:paraId="1B1A3F26">
            <w:pPr>
              <w:keepNext w:val="0"/>
              <w:keepLines w:val="0"/>
              <w:suppressLineNumbers w:val="0"/>
              <w:spacing w:before="0" w:beforeAutospacing="0" w:after="0" w:afterAutospacing="0"/>
              <w:ind w:left="0" w:right="0" w:firstLine="480"/>
              <w:rPr>
                <w:rFonts w:hint="eastAsia" w:ascii="Times New Roman" w:hAnsi="Times New Roman" w:eastAsia="宋体"/>
                <w:b/>
                <w:bCs/>
                <w:color w:val="auto"/>
              </w:rPr>
            </w:pPr>
            <w:r>
              <w:rPr>
                <w:rFonts w:hint="eastAsia" w:ascii="Times New Roman" w:hAnsi="Times New Roman" w:eastAsia="宋体"/>
                <w:b/>
                <w:bCs/>
                <w:color w:val="auto"/>
              </w:rPr>
              <w:t>2、自媒体时代短视频的兴起，移动影像对视频拍摄需求的提升，公司在LOFIC技术上有哪些优势？</w:t>
            </w:r>
          </w:p>
          <w:p w14:paraId="4E1C144B">
            <w:pPr>
              <w:keepNext w:val="0"/>
              <w:keepLines w:val="0"/>
              <w:suppressLineNumbers w:val="0"/>
              <w:spacing w:before="0" w:beforeAutospacing="0" w:after="0" w:afterAutospacing="0"/>
              <w:ind w:left="0" w:right="0" w:firstLine="480"/>
              <w:rPr>
                <w:rFonts w:hint="eastAsia" w:ascii="Times New Roman" w:hAnsi="Times New Roman" w:eastAsia="宋体"/>
                <w:color w:val="auto"/>
              </w:rPr>
            </w:pPr>
            <w:r>
              <w:rPr>
                <w:rFonts w:hint="eastAsia" w:ascii="Times New Roman" w:hAnsi="Times New Roman" w:eastAsia="宋体"/>
                <w:color w:val="auto"/>
              </w:rPr>
              <w:t>答：公司创新研发推出Lofic HDR</w:t>
            </w:r>
            <w:r>
              <w:rPr>
                <w:rFonts w:hint="eastAsia" w:ascii="Times New Roman" w:hAnsi="Times New Roman" w:eastAsia="宋体"/>
                <w:color w:val="auto"/>
                <w:vertAlign w:val="superscript"/>
              </w:rPr>
              <w:t>®</w:t>
            </w:r>
            <w:r>
              <w:rPr>
                <w:rFonts w:hint="eastAsia"/>
                <w:color w:val="auto"/>
                <w:vertAlign w:val="superscript"/>
                <w:lang w:val="en-US" w:eastAsia="zh-CN"/>
              </w:rPr>
              <w:t xml:space="preserve"> </w:t>
            </w:r>
            <w:r>
              <w:rPr>
                <w:rFonts w:hint="eastAsia" w:ascii="Times New Roman" w:hAnsi="Times New Roman" w:eastAsia="宋体"/>
                <w:color w:val="auto"/>
              </w:rPr>
              <w:t>2.0</w:t>
            </w:r>
            <w:r>
              <w:rPr>
                <w:rFonts w:hint="eastAsia"/>
                <w:color w:val="auto"/>
                <w:lang w:val="en-US" w:eastAsia="zh-CN"/>
              </w:rPr>
              <w:t xml:space="preserve">技术 </w:t>
            </w:r>
            <w:r>
              <w:rPr>
                <w:rFonts w:hint="eastAsia" w:ascii="Times New Roman" w:hAnsi="Times New Roman" w:eastAsia="宋体"/>
                <w:color w:val="auto"/>
              </w:rPr>
              <w:t>（原SuperPixGain HDR™</w:t>
            </w:r>
            <w:r>
              <w:rPr>
                <w:rFonts w:hint="eastAsia"/>
                <w:color w:val="auto"/>
                <w:lang w:eastAsia="zh-CN"/>
              </w:rPr>
              <w:t>，</w:t>
            </w:r>
            <w:r>
              <w:rPr>
                <w:rFonts w:hint="eastAsia"/>
                <w:color w:val="auto"/>
                <w:lang w:val="en-US" w:eastAsia="zh-CN"/>
              </w:rPr>
              <w:t>即LOFIC第三代高动态技术</w:t>
            </w:r>
            <w:r>
              <w:rPr>
                <w:rFonts w:hint="eastAsia" w:ascii="Times New Roman" w:hAnsi="Times New Roman" w:eastAsia="宋体"/>
                <w:color w:val="auto"/>
              </w:rPr>
              <w:t>），即利用单次曝光下实现LOFIC/LCG/HCG三帧融合，能够保障超高动态范围，有效解决逆光、局部强光、明暗交织等传统痛点场景的拍摄难题，还能够抑制运动伪影的产生，让拍摄高速运动物体时的照片与视频画面清晰无拖尾。公司将持续创新、不断升级核心技术，通过不断提升产品的动态范围、帧率，降低噪声，优化功耗等性能，为智能影像系统带来出色的成像表现。</w:t>
            </w:r>
          </w:p>
          <w:p w14:paraId="3DF11ED7">
            <w:pPr>
              <w:keepNext w:val="0"/>
              <w:keepLines w:val="0"/>
              <w:suppressLineNumbers w:val="0"/>
              <w:spacing w:before="0" w:beforeAutospacing="0" w:after="0" w:afterAutospacing="0"/>
              <w:ind w:left="0" w:right="0" w:firstLine="480"/>
              <w:rPr>
                <w:rFonts w:hint="eastAsia" w:ascii="Times New Roman" w:hAnsi="Times New Roman" w:eastAsia="宋体"/>
                <w:b/>
                <w:bCs/>
                <w:color w:val="auto"/>
              </w:rPr>
            </w:pPr>
            <w:r>
              <w:rPr>
                <w:rFonts w:hint="eastAsia" w:ascii="Times New Roman" w:hAnsi="Times New Roman" w:eastAsia="宋体"/>
                <w:b/>
                <w:bCs/>
                <w:color w:val="auto"/>
              </w:rPr>
              <w:t xml:space="preserve">3、公司在智能手机领域5000万像素产品有怎样的布局？ </w:t>
            </w:r>
          </w:p>
          <w:p w14:paraId="27355BCC">
            <w:pPr>
              <w:keepNext w:val="0"/>
              <w:keepLines w:val="0"/>
              <w:suppressLineNumbers w:val="0"/>
              <w:spacing w:before="0" w:beforeAutospacing="0" w:after="0" w:afterAutospacing="0"/>
              <w:ind w:left="0" w:right="0" w:firstLine="480"/>
              <w:rPr>
                <w:rFonts w:hint="eastAsia" w:ascii="Times New Roman" w:hAnsi="Times New Roman" w:eastAsia="宋体"/>
                <w:color w:val="auto"/>
              </w:rPr>
            </w:pPr>
            <w:r>
              <w:rPr>
                <w:rFonts w:hint="eastAsia" w:ascii="Times New Roman" w:hAnsi="Times New Roman" w:eastAsia="宋体"/>
                <w:color w:val="auto"/>
              </w:rPr>
              <w:t>答：公司智能手机业务目前已成为公司营业收入增长的重要增长极，与多家客户的合作全面加深、产品满足更多的应用需求。公司针对智能手机领域5000万像素市场推出了符合不同</w:t>
            </w:r>
            <w:r>
              <w:rPr>
                <w:rFonts w:hint="eastAsia"/>
                <w:color w:val="auto"/>
                <w:lang w:val="en-US" w:eastAsia="zh-CN"/>
              </w:rPr>
              <w:t>场景</w:t>
            </w:r>
            <w:r>
              <w:rPr>
                <w:rFonts w:hint="eastAsia" w:ascii="Times New Roman" w:hAnsi="Times New Roman" w:eastAsia="宋体"/>
                <w:color w:val="auto"/>
              </w:rPr>
              <w:t>需求的多矩阵产品：针对高阶旗舰手机，公司已推出应用于旗舰手机主摄、广角、长焦和前摄镜头多颗5000万像素手机应用CMOS图像传感器产品，能够赋予旗舰智能手机光影生动、画质卓越的专业级影像能力，显著提升手机高动态视频拍摄效果；基于国产Stacked BSI平台，公司推出</w:t>
            </w:r>
            <w:r>
              <w:rPr>
                <w:rFonts w:hint="eastAsia"/>
                <w:color w:val="auto"/>
                <w:lang w:val="en-US" w:eastAsia="zh-CN"/>
              </w:rPr>
              <w:t>多款5000万像素</w:t>
            </w:r>
            <w:r>
              <w:rPr>
                <w:rFonts w:hint="eastAsia" w:ascii="Times New Roman" w:hAnsi="Times New Roman" w:eastAsia="宋体"/>
                <w:color w:val="auto"/>
              </w:rPr>
              <w:t>手机应用CMOS图像传感器产品</w:t>
            </w:r>
            <w:r>
              <w:rPr>
                <w:rFonts w:hint="eastAsia"/>
                <w:color w:val="auto"/>
                <w:lang w:eastAsia="zh-CN"/>
              </w:rPr>
              <w:t>，</w:t>
            </w:r>
            <w:r>
              <w:rPr>
                <w:rFonts w:hint="eastAsia"/>
                <w:color w:val="auto"/>
                <w:lang w:val="en-US" w:eastAsia="zh-CN"/>
              </w:rPr>
              <w:t>不断丰富</w:t>
            </w:r>
            <w:r>
              <w:rPr>
                <w:rFonts w:hint="eastAsia" w:ascii="Times New Roman" w:hAnsi="Times New Roman" w:eastAsia="宋体"/>
                <w:color w:val="auto"/>
              </w:rPr>
              <w:t>国产高性能系列化CIS产品</w:t>
            </w:r>
            <w:r>
              <w:rPr>
                <w:rFonts w:hint="eastAsia"/>
                <w:color w:val="auto"/>
                <w:lang w:val="en-US" w:eastAsia="zh-CN"/>
              </w:rPr>
              <w:t>矩阵</w:t>
            </w:r>
            <w:r>
              <w:rPr>
                <w:rFonts w:hint="eastAsia" w:ascii="Times New Roman" w:hAnsi="Times New Roman" w:eastAsia="宋体"/>
                <w:color w:val="auto"/>
              </w:rPr>
              <w:t>，</w:t>
            </w:r>
            <w:r>
              <w:rPr>
                <w:rFonts w:hint="eastAsia"/>
                <w:color w:val="auto"/>
                <w:lang w:val="en-US" w:eastAsia="zh-CN"/>
              </w:rPr>
              <w:t>可提供</w:t>
            </w:r>
            <w:r>
              <w:rPr>
                <w:rFonts w:hint="eastAsia" w:ascii="Times New Roman" w:hAnsi="Times New Roman" w:eastAsia="宋体"/>
                <w:color w:val="auto"/>
              </w:rPr>
              <w:t>手机摄像头CIS全套解决方案，</w:t>
            </w:r>
            <w:r>
              <w:rPr>
                <w:rFonts w:hint="eastAsia"/>
                <w:color w:val="auto"/>
                <w:lang w:val="en-US" w:eastAsia="zh-CN"/>
              </w:rPr>
              <w:t>相较单芯片产品，具备了</w:t>
            </w:r>
            <w:r>
              <w:rPr>
                <w:rFonts w:hint="eastAsia" w:ascii="Times New Roman" w:hAnsi="Times New Roman" w:eastAsia="宋体"/>
                <w:color w:val="auto"/>
              </w:rPr>
              <w:t>性能与成本优势，</w:t>
            </w:r>
            <w:r>
              <w:rPr>
                <w:rFonts w:hint="eastAsia"/>
                <w:color w:val="auto"/>
                <w:lang w:eastAsia="zh-CN"/>
              </w:rPr>
              <w:t>赋予智能手机主摄光影生动、色彩真实、高清细腻的卓越影像质感，</w:t>
            </w:r>
            <w:r>
              <w:rPr>
                <w:rFonts w:hint="eastAsia" w:ascii="Times New Roman" w:hAnsi="Times New Roman" w:eastAsia="宋体"/>
                <w:color w:val="auto"/>
              </w:rPr>
              <w:t>全面提升主流智能手机影像性能；同时公司单芯片集成式5000万像素手机图像传感器产品，同样具备高动态范围、超低噪声、PDAF相位检测对焦、低功耗等优势，为主流智能手机影像系统带来高品质影像捕捉。</w:t>
            </w:r>
          </w:p>
          <w:p w14:paraId="01D99CBD">
            <w:pPr>
              <w:keepNext w:val="0"/>
              <w:keepLines w:val="0"/>
              <w:suppressLineNumbers w:val="0"/>
              <w:spacing w:before="0" w:beforeAutospacing="0" w:after="0" w:afterAutospacing="0"/>
              <w:ind w:left="0" w:right="0" w:firstLine="480"/>
              <w:rPr>
                <w:rFonts w:hint="eastAsia" w:ascii="Times New Roman" w:hAnsi="Times New Roman" w:eastAsia="宋体"/>
                <w:color w:val="auto"/>
                <w:lang w:eastAsia="zh-CN"/>
              </w:rPr>
            </w:pPr>
            <w:r>
              <w:rPr>
                <w:rFonts w:hint="eastAsia" w:ascii="Times New Roman" w:hAnsi="Times New Roman" w:eastAsia="宋体"/>
                <w:color w:val="auto"/>
              </w:rPr>
              <w:t>公司始终坚持“研发一代、量产一代、预研一代”的产品开发理念，保持行业领先的迭代效率，继续深化客户合作，努力提升产品交付能力和产品品质</w:t>
            </w:r>
            <w:r>
              <w:rPr>
                <w:rFonts w:hint="eastAsia"/>
                <w:color w:val="auto"/>
                <w:lang w:eastAsia="zh-CN"/>
              </w:rPr>
              <w:t>。</w:t>
            </w:r>
          </w:p>
          <w:p w14:paraId="538F1576">
            <w:pPr>
              <w:keepNext w:val="0"/>
              <w:keepLines w:val="0"/>
              <w:suppressLineNumbers w:val="0"/>
              <w:spacing w:before="0" w:beforeAutospacing="0" w:after="0" w:afterAutospacing="0"/>
              <w:ind w:left="0" w:right="0" w:firstLine="480"/>
              <w:rPr>
                <w:rFonts w:hint="eastAsia" w:ascii="Times New Roman" w:hAnsi="Times New Roman" w:eastAsia="宋体"/>
                <w:b/>
                <w:bCs/>
                <w:color w:val="auto"/>
              </w:rPr>
            </w:pPr>
            <w:r>
              <w:rPr>
                <w:rFonts w:hint="eastAsia" w:ascii="Times New Roman" w:hAnsi="Times New Roman" w:eastAsia="宋体"/>
                <w:b/>
                <w:bCs/>
                <w:color w:val="auto"/>
              </w:rPr>
              <w:t>4、公司在智慧安防领域深厚的技术积累，对公司汽车电子领域的开拓有哪些助力？</w:t>
            </w:r>
          </w:p>
          <w:p w14:paraId="532DB00A">
            <w:pPr>
              <w:keepNext w:val="0"/>
              <w:keepLines w:val="0"/>
              <w:suppressLineNumbers w:val="0"/>
              <w:spacing w:before="0" w:beforeAutospacing="0" w:after="0" w:afterAutospacing="0"/>
              <w:ind w:left="0" w:right="0" w:firstLine="480"/>
              <w:rPr>
                <w:rFonts w:hint="eastAsia" w:ascii="Times New Roman" w:hAnsi="Times New Roman" w:eastAsia="宋体"/>
                <w:color w:val="auto"/>
              </w:rPr>
            </w:pPr>
            <w:r>
              <w:rPr>
                <w:rFonts w:hint="eastAsia" w:ascii="Times New Roman" w:hAnsi="Times New Roman" w:eastAsia="宋体"/>
                <w:color w:val="auto"/>
              </w:rPr>
              <w:t>答：汽车电子领域相较于智慧安防领域有很多相似之处，例如：良好的夜视成像性能；尽可能的低噪声；应对明暗环境的快速变化，需要高动态范围（HDR）；宽温度范围要求；高标准的冗余设计等。公司在智慧安防领域深厚的技术积累帮助公司迅速切入了汽车电子领域。同时相较安防、消费终端的CIS，车载CIS更需要通过严苛的车规级认证以确保产品的可靠性。因此，自入局车载领域以来，公司始终坚持以安全为基石，在产品设计之初就建立起高质量研发管控体系，以完善的车规级芯片研发与质量管理体系，为车载CIS产品全生命周期的可靠性“保驾护航”。随着汽车智能化趋势和车企智驾平权方案的不断渗透，汽车电子业务也将成为助力公司长期可持续发展的动力源。</w:t>
            </w:r>
          </w:p>
          <w:p w14:paraId="7718AD8C">
            <w:pPr>
              <w:keepNext w:val="0"/>
              <w:keepLines w:val="0"/>
              <w:suppressLineNumbers w:val="0"/>
              <w:spacing w:before="0" w:beforeAutospacing="0" w:after="0" w:afterAutospacing="0"/>
              <w:ind w:left="0" w:right="0" w:firstLine="480"/>
              <w:rPr>
                <w:rFonts w:hint="eastAsia" w:ascii="Times New Roman" w:hAnsi="Times New Roman" w:eastAsia="宋体"/>
                <w:b/>
                <w:bCs/>
                <w:color w:val="auto"/>
              </w:rPr>
            </w:pPr>
            <w:r>
              <w:rPr>
                <w:rFonts w:hint="eastAsia" w:ascii="Times New Roman" w:hAnsi="Times New Roman" w:eastAsia="宋体"/>
                <w:b/>
                <w:bCs/>
                <w:color w:val="auto"/>
              </w:rPr>
              <w:t>5、公司此前和晶合签署了长期深化战略合作协议，有哪些积极影响？</w:t>
            </w:r>
          </w:p>
          <w:p w14:paraId="5FB4CBAA">
            <w:pPr>
              <w:keepNext w:val="0"/>
              <w:keepLines w:val="0"/>
              <w:suppressLineNumbers w:val="0"/>
              <w:spacing w:before="0" w:beforeAutospacing="0" w:after="0" w:afterAutospacing="0"/>
              <w:ind w:left="0" w:right="0" w:firstLine="480"/>
              <w:rPr>
                <w:rFonts w:hint="eastAsia" w:ascii="Times New Roman" w:hAnsi="Times New Roman" w:eastAsia="宋体"/>
                <w:color w:val="auto"/>
              </w:rPr>
            </w:pPr>
            <w:r>
              <w:rPr>
                <w:rFonts w:hint="eastAsia" w:ascii="Times New Roman" w:hAnsi="Times New Roman" w:eastAsia="宋体"/>
                <w:color w:val="auto"/>
              </w:rPr>
              <w:t>答：公司与晶合集成在工艺开发、产品创新、产能供应等方面加大了合作力度，国产Stacked BSI平台已成功量产多款兼顾性能与成本优势的5000万像素手机应用CMOS图像传感器产品</w:t>
            </w:r>
            <w:r>
              <w:rPr>
                <w:rFonts w:hint="eastAsia"/>
                <w:color w:val="auto"/>
                <w:lang w:eastAsia="zh-CN"/>
              </w:rPr>
              <w:t>，</w:t>
            </w:r>
            <w:r>
              <w:rPr>
                <w:rFonts w:hint="eastAsia" w:ascii="Times New Roman" w:hAnsi="Times New Roman" w:eastAsia="宋体"/>
                <w:color w:val="auto"/>
              </w:rPr>
              <w:t>如SC532HS、SC562HS等。未来，公司将继续加强协作，共同推动国产CIS工艺的创新与发展。</w:t>
            </w:r>
          </w:p>
          <w:p w14:paraId="25E30B17">
            <w:pPr>
              <w:keepNext w:val="0"/>
              <w:keepLines w:val="0"/>
              <w:suppressLineNumbers w:val="0"/>
              <w:spacing w:before="0" w:beforeAutospacing="0" w:after="0" w:afterAutospacing="0"/>
              <w:ind w:left="0" w:right="0" w:firstLine="480"/>
              <w:rPr>
                <w:rFonts w:hint="eastAsia" w:ascii="Times New Roman" w:hAnsi="Times New Roman" w:eastAsia="宋体"/>
                <w:b/>
                <w:bCs/>
                <w:color w:val="auto"/>
              </w:rPr>
            </w:pPr>
            <w:r>
              <w:rPr>
                <w:rFonts w:hint="eastAsia" w:ascii="Times New Roman" w:hAnsi="Times New Roman" w:eastAsia="宋体"/>
                <w:b/>
                <w:bCs/>
                <w:color w:val="auto"/>
              </w:rPr>
              <w:t>6、公司新兴机器视觉全局快门技术的优势如何？</w:t>
            </w:r>
          </w:p>
          <w:p w14:paraId="7805B84B">
            <w:pPr>
              <w:keepNext w:val="0"/>
              <w:keepLines w:val="0"/>
              <w:suppressLineNumbers w:val="0"/>
              <w:spacing w:before="0" w:beforeAutospacing="0" w:after="0" w:afterAutospacing="0"/>
              <w:ind w:left="0" w:right="0" w:firstLine="480"/>
              <w:rPr>
                <w:rFonts w:hint="eastAsia" w:ascii="Times New Roman" w:hAnsi="Times New Roman" w:eastAsia="宋体"/>
                <w:color w:val="auto"/>
              </w:rPr>
            </w:pPr>
            <w:r>
              <w:rPr>
                <w:rFonts w:hint="eastAsia" w:ascii="Times New Roman" w:hAnsi="Times New Roman" w:eastAsia="宋体"/>
                <w:color w:val="auto"/>
              </w:rPr>
              <w:t>答：在机器视觉领域，公司是国内最早从事全局快门CIS产品研发的厂家之一，具备单帧HDR功能和超高的快门效率和感光性能。作为机器视觉领域的先行者与引领者，公司的机器视觉产品在全球范围内拥有显著的技术影响力和市场地位，产品已广泛应用于包括以智能制造、智能筛检和智能物流读码等为代表的工业制造及物流领域，以及无人机、扫地机器人、工业和多种形态机器人、刷脸支付、电子词典笔和AR/VR等为代表的新兴应用领域，并与多家头部客户保持着紧密的合作关系。</w:t>
            </w:r>
          </w:p>
        </w:tc>
      </w:tr>
      <w:tr w14:paraId="5E6BC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0080EB60">
            <w:pPr>
              <w:keepNext w:val="0"/>
              <w:keepLines w:val="0"/>
              <w:suppressLineNumbers w:val="0"/>
              <w:spacing w:before="0" w:beforeAutospacing="0" w:after="0" w:afterAutospacing="0"/>
              <w:ind w:left="0" w:right="0" w:firstLine="0" w:firstLineChars="0"/>
              <w:jc w:val="center"/>
              <w:rPr>
                <w:rFonts w:hint="default" w:ascii="Times New Roman" w:hAnsi="Times New Roman" w:eastAsia="宋体" w:cs="Times New Roman"/>
                <w:color w:val="auto"/>
              </w:rPr>
            </w:pPr>
            <w:r>
              <w:rPr>
                <w:rFonts w:hint="default" w:ascii="Times New Roman" w:hAnsi="Times New Roman" w:eastAsia="宋体" w:cs="Times New Roman"/>
                <w:color w:val="auto"/>
              </w:rPr>
              <w:t>附件清单（如有）</w:t>
            </w:r>
          </w:p>
        </w:tc>
        <w:tc>
          <w:tcPr>
            <w:tcW w:w="7370" w:type="dxa"/>
            <w:tcBorders>
              <w:top w:val="single" w:color="auto" w:sz="4" w:space="0"/>
              <w:left w:val="single" w:color="auto" w:sz="4" w:space="0"/>
              <w:bottom w:val="single" w:color="auto" w:sz="4" w:space="0"/>
              <w:right w:val="single" w:color="auto" w:sz="4" w:space="0"/>
            </w:tcBorders>
            <w:shd w:val="clear" w:color="auto" w:fill="auto"/>
            <w:vAlign w:val="center"/>
          </w:tcPr>
          <w:p w14:paraId="6CD264A4">
            <w:pPr>
              <w:keepNext w:val="0"/>
              <w:keepLines w:val="0"/>
              <w:suppressLineNumbers w:val="0"/>
              <w:spacing w:before="0" w:beforeAutospacing="0" w:after="0" w:afterAutospacing="0"/>
              <w:ind w:left="0" w:right="0" w:firstLine="480"/>
              <w:jc w:val="left"/>
              <w:rPr>
                <w:rFonts w:hint="default" w:ascii="Times New Roman" w:hAnsi="Times New Roman" w:eastAsia="宋体" w:cs="Times New Roman"/>
                <w:color w:val="auto"/>
              </w:rPr>
            </w:pPr>
            <w:r>
              <w:rPr>
                <w:rFonts w:hint="default" w:ascii="Times New Roman" w:hAnsi="Times New Roman" w:eastAsia="宋体" w:cs="Times New Roman"/>
                <w:color w:val="auto"/>
              </w:rPr>
              <w:t>无</w:t>
            </w:r>
          </w:p>
        </w:tc>
      </w:tr>
    </w:tbl>
    <w:p w14:paraId="6885F088">
      <w:pPr>
        <w:spacing w:line="240" w:lineRule="auto"/>
        <w:ind w:firstLine="0" w:firstLineChars="0"/>
        <w:rPr>
          <w:rFonts w:ascii="Times New Roman" w:hAnsi="Times New Roman" w:eastAsia="宋体" w:cs="Times New Roman"/>
          <w:color w:val="auto"/>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797" w:bottom="1440" w:left="1797" w:header="737" w:footer="680"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B16DE">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03E64">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CE372">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89930">
    <w:pPr>
      <w:pStyle w:val="9"/>
      <w:pBdr>
        <w:top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51788">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7C265">
    <w:pPr>
      <w:pStyle w:val="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E3NjUxYTg0OWYyYzMyMTZhZDE4NmFlMTMyYjFiMjQifQ=="/>
    <w:docVar w:name="KSO_WPS_MARK_KEY" w:val="0360e051-2f44-4279-881a-3f3c05dfa478"/>
  </w:docVars>
  <w:rsids>
    <w:rsidRoot w:val="00172A27"/>
    <w:rsid w:val="0000630B"/>
    <w:rsid w:val="000808EF"/>
    <w:rsid w:val="00136EE7"/>
    <w:rsid w:val="00172A27"/>
    <w:rsid w:val="00195281"/>
    <w:rsid w:val="001A350C"/>
    <w:rsid w:val="001F66A1"/>
    <w:rsid w:val="00206C41"/>
    <w:rsid w:val="00207F6B"/>
    <w:rsid w:val="00257E96"/>
    <w:rsid w:val="002A110A"/>
    <w:rsid w:val="002A4B18"/>
    <w:rsid w:val="002E5395"/>
    <w:rsid w:val="002F3CA7"/>
    <w:rsid w:val="0034587E"/>
    <w:rsid w:val="003465EA"/>
    <w:rsid w:val="00352D64"/>
    <w:rsid w:val="003712EE"/>
    <w:rsid w:val="00377EDB"/>
    <w:rsid w:val="0041037E"/>
    <w:rsid w:val="00416868"/>
    <w:rsid w:val="004439BD"/>
    <w:rsid w:val="00462C94"/>
    <w:rsid w:val="00464595"/>
    <w:rsid w:val="0047378A"/>
    <w:rsid w:val="00486BF8"/>
    <w:rsid w:val="004F14F5"/>
    <w:rsid w:val="005016F4"/>
    <w:rsid w:val="00546E0A"/>
    <w:rsid w:val="005E50C3"/>
    <w:rsid w:val="005F02F7"/>
    <w:rsid w:val="00642A2F"/>
    <w:rsid w:val="00653938"/>
    <w:rsid w:val="006A62CD"/>
    <w:rsid w:val="006A7259"/>
    <w:rsid w:val="0074092B"/>
    <w:rsid w:val="007722EA"/>
    <w:rsid w:val="007900F5"/>
    <w:rsid w:val="00791969"/>
    <w:rsid w:val="007B64C4"/>
    <w:rsid w:val="007D30D4"/>
    <w:rsid w:val="007E4187"/>
    <w:rsid w:val="00854016"/>
    <w:rsid w:val="008B69F5"/>
    <w:rsid w:val="008D37A1"/>
    <w:rsid w:val="008F52B8"/>
    <w:rsid w:val="008F671E"/>
    <w:rsid w:val="0091766B"/>
    <w:rsid w:val="00953C04"/>
    <w:rsid w:val="00957F7B"/>
    <w:rsid w:val="0097551F"/>
    <w:rsid w:val="009D2555"/>
    <w:rsid w:val="009E3AD8"/>
    <w:rsid w:val="009F5205"/>
    <w:rsid w:val="00A0003E"/>
    <w:rsid w:val="00A009AB"/>
    <w:rsid w:val="00A33951"/>
    <w:rsid w:val="00A44BDC"/>
    <w:rsid w:val="00A637D1"/>
    <w:rsid w:val="00AA5828"/>
    <w:rsid w:val="00AF3A1D"/>
    <w:rsid w:val="00B27D44"/>
    <w:rsid w:val="00B30CCD"/>
    <w:rsid w:val="00B633BF"/>
    <w:rsid w:val="00B76EEB"/>
    <w:rsid w:val="00BD766B"/>
    <w:rsid w:val="00C33E5F"/>
    <w:rsid w:val="00C33E79"/>
    <w:rsid w:val="00C50113"/>
    <w:rsid w:val="00CE085B"/>
    <w:rsid w:val="00CF5B7F"/>
    <w:rsid w:val="00D730C4"/>
    <w:rsid w:val="00D74140"/>
    <w:rsid w:val="00DE5BC2"/>
    <w:rsid w:val="00DF069E"/>
    <w:rsid w:val="00DF65C2"/>
    <w:rsid w:val="00E6548E"/>
    <w:rsid w:val="00E853F2"/>
    <w:rsid w:val="00E936B6"/>
    <w:rsid w:val="00EA4436"/>
    <w:rsid w:val="00EB73BF"/>
    <w:rsid w:val="00F566CC"/>
    <w:rsid w:val="00F56A5E"/>
    <w:rsid w:val="00FE1A5B"/>
    <w:rsid w:val="01084302"/>
    <w:rsid w:val="01097D2F"/>
    <w:rsid w:val="0127306B"/>
    <w:rsid w:val="012D1E11"/>
    <w:rsid w:val="016F12A7"/>
    <w:rsid w:val="017F53E2"/>
    <w:rsid w:val="019112E8"/>
    <w:rsid w:val="01971FDF"/>
    <w:rsid w:val="01BE03FA"/>
    <w:rsid w:val="01C90D81"/>
    <w:rsid w:val="01D53F3A"/>
    <w:rsid w:val="01EA2A0A"/>
    <w:rsid w:val="020874E3"/>
    <w:rsid w:val="02360F21"/>
    <w:rsid w:val="02905D58"/>
    <w:rsid w:val="029106F4"/>
    <w:rsid w:val="029818CA"/>
    <w:rsid w:val="02EE4C62"/>
    <w:rsid w:val="02F4402E"/>
    <w:rsid w:val="03277DFB"/>
    <w:rsid w:val="037E529B"/>
    <w:rsid w:val="039B27EF"/>
    <w:rsid w:val="03E94496"/>
    <w:rsid w:val="04002F45"/>
    <w:rsid w:val="040538FA"/>
    <w:rsid w:val="0406580B"/>
    <w:rsid w:val="040D6491"/>
    <w:rsid w:val="045C2C9C"/>
    <w:rsid w:val="047E5B37"/>
    <w:rsid w:val="04AE315A"/>
    <w:rsid w:val="04BC6261"/>
    <w:rsid w:val="04D106CA"/>
    <w:rsid w:val="051659E7"/>
    <w:rsid w:val="057E12A3"/>
    <w:rsid w:val="05D20391"/>
    <w:rsid w:val="05DD7EB9"/>
    <w:rsid w:val="0612158C"/>
    <w:rsid w:val="065860AE"/>
    <w:rsid w:val="06AD06BA"/>
    <w:rsid w:val="06E87086"/>
    <w:rsid w:val="06F72DD6"/>
    <w:rsid w:val="072867E2"/>
    <w:rsid w:val="072E2ADC"/>
    <w:rsid w:val="07317CAF"/>
    <w:rsid w:val="0756767D"/>
    <w:rsid w:val="0794702E"/>
    <w:rsid w:val="07BB67DE"/>
    <w:rsid w:val="080E48B8"/>
    <w:rsid w:val="081231D7"/>
    <w:rsid w:val="081C06E6"/>
    <w:rsid w:val="0836341F"/>
    <w:rsid w:val="08627F36"/>
    <w:rsid w:val="08910295"/>
    <w:rsid w:val="08CC24B8"/>
    <w:rsid w:val="08FA7CB0"/>
    <w:rsid w:val="09002619"/>
    <w:rsid w:val="0906705B"/>
    <w:rsid w:val="09182359"/>
    <w:rsid w:val="093D5C37"/>
    <w:rsid w:val="09496C5F"/>
    <w:rsid w:val="096A7170"/>
    <w:rsid w:val="09795AA3"/>
    <w:rsid w:val="097F1BAB"/>
    <w:rsid w:val="09B6706F"/>
    <w:rsid w:val="09BD386C"/>
    <w:rsid w:val="09BF4B21"/>
    <w:rsid w:val="09C1704B"/>
    <w:rsid w:val="09FF3E17"/>
    <w:rsid w:val="0A3A0625"/>
    <w:rsid w:val="0A456833"/>
    <w:rsid w:val="0A6A38DF"/>
    <w:rsid w:val="0A784893"/>
    <w:rsid w:val="0AA478EC"/>
    <w:rsid w:val="0AA54D4A"/>
    <w:rsid w:val="0AA63B68"/>
    <w:rsid w:val="0AE8271A"/>
    <w:rsid w:val="0B2F6E81"/>
    <w:rsid w:val="0B336B81"/>
    <w:rsid w:val="0B3F5786"/>
    <w:rsid w:val="0B574A70"/>
    <w:rsid w:val="0B754EBD"/>
    <w:rsid w:val="0BA7170A"/>
    <w:rsid w:val="0BB23954"/>
    <w:rsid w:val="0BF91A69"/>
    <w:rsid w:val="0C2B2B5F"/>
    <w:rsid w:val="0C3E5D0A"/>
    <w:rsid w:val="0C3F255B"/>
    <w:rsid w:val="0C4777CB"/>
    <w:rsid w:val="0C5429BA"/>
    <w:rsid w:val="0CAC4948"/>
    <w:rsid w:val="0CB2393F"/>
    <w:rsid w:val="0CB73BC8"/>
    <w:rsid w:val="0CFC65C2"/>
    <w:rsid w:val="0D331D41"/>
    <w:rsid w:val="0D3C1E4A"/>
    <w:rsid w:val="0D4977A2"/>
    <w:rsid w:val="0D586092"/>
    <w:rsid w:val="0D8E04F1"/>
    <w:rsid w:val="0DAE1F38"/>
    <w:rsid w:val="0DB577F2"/>
    <w:rsid w:val="0DC61A39"/>
    <w:rsid w:val="0DED25F6"/>
    <w:rsid w:val="0E0768A1"/>
    <w:rsid w:val="0E1C5F0A"/>
    <w:rsid w:val="0E20764D"/>
    <w:rsid w:val="0E450D1D"/>
    <w:rsid w:val="0E63197E"/>
    <w:rsid w:val="0EA81E8D"/>
    <w:rsid w:val="0EA838C6"/>
    <w:rsid w:val="0EC477BD"/>
    <w:rsid w:val="0ED95D35"/>
    <w:rsid w:val="0F16079E"/>
    <w:rsid w:val="0F446E2A"/>
    <w:rsid w:val="0F466EC3"/>
    <w:rsid w:val="0F6B49B8"/>
    <w:rsid w:val="0F7F326D"/>
    <w:rsid w:val="0F902AC2"/>
    <w:rsid w:val="0FB01864"/>
    <w:rsid w:val="0FBC7D09"/>
    <w:rsid w:val="0FF65E4F"/>
    <w:rsid w:val="101C71B4"/>
    <w:rsid w:val="10271A54"/>
    <w:rsid w:val="10404D5C"/>
    <w:rsid w:val="106E6955"/>
    <w:rsid w:val="108863D4"/>
    <w:rsid w:val="114747BB"/>
    <w:rsid w:val="11782BE2"/>
    <w:rsid w:val="12060CAE"/>
    <w:rsid w:val="122A220C"/>
    <w:rsid w:val="1233013E"/>
    <w:rsid w:val="12B00948"/>
    <w:rsid w:val="12FF1A40"/>
    <w:rsid w:val="13054B8A"/>
    <w:rsid w:val="13596EAB"/>
    <w:rsid w:val="13BA0B3A"/>
    <w:rsid w:val="13C65C0F"/>
    <w:rsid w:val="143626A0"/>
    <w:rsid w:val="143D06DE"/>
    <w:rsid w:val="143E66F8"/>
    <w:rsid w:val="14706BA3"/>
    <w:rsid w:val="1527455E"/>
    <w:rsid w:val="152C2AC9"/>
    <w:rsid w:val="153E0A4F"/>
    <w:rsid w:val="155344FA"/>
    <w:rsid w:val="15881C1F"/>
    <w:rsid w:val="15B2419C"/>
    <w:rsid w:val="15D47E60"/>
    <w:rsid w:val="15EA5925"/>
    <w:rsid w:val="16207F87"/>
    <w:rsid w:val="16281FDB"/>
    <w:rsid w:val="16413ED4"/>
    <w:rsid w:val="16766603"/>
    <w:rsid w:val="168D7F00"/>
    <w:rsid w:val="16A44284"/>
    <w:rsid w:val="16AF622D"/>
    <w:rsid w:val="16CB4BDB"/>
    <w:rsid w:val="16E47BF8"/>
    <w:rsid w:val="16F91AAB"/>
    <w:rsid w:val="173040BF"/>
    <w:rsid w:val="17352151"/>
    <w:rsid w:val="1753255E"/>
    <w:rsid w:val="176E3905"/>
    <w:rsid w:val="17900C69"/>
    <w:rsid w:val="1797464F"/>
    <w:rsid w:val="17E165B7"/>
    <w:rsid w:val="180429C4"/>
    <w:rsid w:val="18266D3F"/>
    <w:rsid w:val="1833416F"/>
    <w:rsid w:val="18493212"/>
    <w:rsid w:val="184E6707"/>
    <w:rsid w:val="188655E3"/>
    <w:rsid w:val="18BF3D42"/>
    <w:rsid w:val="18D8177E"/>
    <w:rsid w:val="18E72C92"/>
    <w:rsid w:val="19165065"/>
    <w:rsid w:val="19481100"/>
    <w:rsid w:val="19A60BA5"/>
    <w:rsid w:val="19B5395B"/>
    <w:rsid w:val="19BD6544"/>
    <w:rsid w:val="19C06599"/>
    <w:rsid w:val="19EE73F5"/>
    <w:rsid w:val="1A6E681F"/>
    <w:rsid w:val="1AA37116"/>
    <w:rsid w:val="1AB119E7"/>
    <w:rsid w:val="1AB453AC"/>
    <w:rsid w:val="1AC84D7B"/>
    <w:rsid w:val="1B0E67CD"/>
    <w:rsid w:val="1B5B4FF0"/>
    <w:rsid w:val="1B6A4A2E"/>
    <w:rsid w:val="1B896827"/>
    <w:rsid w:val="1BAB478B"/>
    <w:rsid w:val="1BB24CF2"/>
    <w:rsid w:val="1BF34408"/>
    <w:rsid w:val="1C4D6134"/>
    <w:rsid w:val="1C6B12C5"/>
    <w:rsid w:val="1C91298B"/>
    <w:rsid w:val="1C924347"/>
    <w:rsid w:val="1CB87F47"/>
    <w:rsid w:val="1CD502D3"/>
    <w:rsid w:val="1D095663"/>
    <w:rsid w:val="1D0B3F3C"/>
    <w:rsid w:val="1D0F7C93"/>
    <w:rsid w:val="1D325D89"/>
    <w:rsid w:val="1D832054"/>
    <w:rsid w:val="1D86415E"/>
    <w:rsid w:val="1DBE19B0"/>
    <w:rsid w:val="1DE94972"/>
    <w:rsid w:val="1E0B467D"/>
    <w:rsid w:val="1E31403C"/>
    <w:rsid w:val="1E5E5E89"/>
    <w:rsid w:val="1E93432D"/>
    <w:rsid w:val="1EA36E2C"/>
    <w:rsid w:val="1F2E644A"/>
    <w:rsid w:val="1F5A3B6E"/>
    <w:rsid w:val="1F8B3B8B"/>
    <w:rsid w:val="1FA136BE"/>
    <w:rsid w:val="1FB56853"/>
    <w:rsid w:val="1FBD2E0F"/>
    <w:rsid w:val="1FD030D3"/>
    <w:rsid w:val="1FD433BB"/>
    <w:rsid w:val="1FE4501E"/>
    <w:rsid w:val="20C5141C"/>
    <w:rsid w:val="20DD502F"/>
    <w:rsid w:val="20FB77F4"/>
    <w:rsid w:val="210B273E"/>
    <w:rsid w:val="215F73EA"/>
    <w:rsid w:val="21B46C7A"/>
    <w:rsid w:val="21D553E7"/>
    <w:rsid w:val="21E37E67"/>
    <w:rsid w:val="21F43ABB"/>
    <w:rsid w:val="21FB3F4F"/>
    <w:rsid w:val="22184D77"/>
    <w:rsid w:val="229976A0"/>
    <w:rsid w:val="22A3585D"/>
    <w:rsid w:val="231F144B"/>
    <w:rsid w:val="23237091"/>
    <w:rsid w:val="2350612F"/>
    <w:rsid w:val="237F25CE"/>
    <w:rsid w:val="238528F8"/>
    <w:rsid w:val="23F724F4"/>
    <w:rsid w:val="243D7F13"/>
    <w:rsid w:val="24520DD9"/>
    <w:rsid w:val="245A71CF"/>
    <w:rsid w:val="24691587"/>
    <w:rsid w:val="247A4D13"/>
    <w:rsid w:val="24893FAB"/>
    <w:rsid w:val="24952A74"/>
    <w:rsid w:val="249B154A"/>
    <w:rsid w:val="24BB4B12"/>
    <w:rsid w:val="24D20BF3"/>
    <w:rsid w:val="24D27FF5"/>
    <w:rsid w:val="25216C5B"/>
    <w:rsid w:val="25971C42"/>
    <w:rsid w:val="25AE2D68"/>
    <w:rsid w:val="25C05428"/>
    <w:rsid w:val="25C26F45"/>
    <w:rsid w:val="260B27E7"/>
    <w:rsid w:val="261F3B09"/>
    <w:rsid w:val="26733D00"/>
    <w:rsid w:val="26A8572F"/>
    <w:rsid w:val="26C83CEF"/>
    <w:rsid w:val="26FC458B"/>
    <w:rsid w:val="26FC7CDF"/>
    <w:rsid w:val="27201DB5"/>
    <w:rsid w:val="27521DE6"/>
    <w:rsid w:val="277F3214"/>
    <w:rsid w:val="279544FE"/>
    <w:rsid w:val="27B25A4E"/>
    <w:rsid w:val="27B931BF"/>
    <w:rsid w:val="27BC6F8B"/>
    <w:rsid w:val="27C732C3"/>
    <w:rsid w:val="27EA0D51"/>
    <w:rsid w:val="27EA4CD2"/>
    <w:rsid w:val="281737E8"/>
    <w:rsid w:val="284C2082"/>
    <w:rsid w:val="284C7467"/>
    <w:rsid w:val="286D7A74"/>
    <w:rsid w:val="28754585"/>
    <w:rsid w:val="28CA1B43"/>
    <w:rsid w:val="28CF79BA"/>
    <w:rsid w:val="28D81C9F"/>
    <w:rsid w:val="28DE3326"/>
    <w:rsid w:val="291B0D03"/>
    <w:rsid w:val="29287CE8"/>
    <w:rsid w:val="29607747"/>
    <w:rsid w:val="29A266C5"/>
    <w:rsid w:val="29B939E7"/>
    <w:rsid w:val="29D3130E"/>
    <w:rsid w:val="29D502FB"/>
    <w:rsid w:val="2A096496"/>
    <w:rsid w:val="2A8D1131"/>
    <w:rsid w:val="2A9F1E29"/>
    <w:rsid w:val="2AB83EBA"/>
    <w:rsid w:val="2AF6047A"/>
    <w:rsid w:val="2B436740"/>
    <w:rsid w:val="2B4F6601"/>
    <w:rsid w:val="2B5D3F67"/>
    <w:rsid w:val="2B6B0458"/>
    <w:rsid w:val="2BAC62BA"/>
    <w:rsid w:val="2BB21D6B"/>
    <w:rsid w:val="2BC419C2"/>
    <w:rsid w:val="2BF47D7B"/>
    <w:rsid w:val="2BF732F3"/>
    <w:rsid w:val="2C3167C0"/>
    <w:rsid w:val="2C7C5209"/>
    <w:rsid w:val="2C9B5E00"/>
    <w:rsid w:val="2CE12625"/>
    <w:rsid w:val="2D362A2D"/>
    <w:rsid w:val="2D6745FE"/>
    <w:rsid w:val="2D941716"/>
    <w:rsid w:val="2DBD14A3"/>
    <w:rsid w:val="2DCC7F41"/>
    <w:rsid w:val="2DE84511"/>
    <w:rsid w:val="2E077CEB"/>
    <w:rsid w:val="2E354F40"/>
    <w:rsid w:val="2E5844D8"/>
    <w:rsid w:val="2E8D2504"/>
    <w:rsid w:val="2EB55486"/>
    <w:rsid w:val="2EB72749"/>
    <w:rsid w:val="2EC2095F"/>
    <w:rsid w:val="2F052B98"/>
    <w:rsid w:val="2F3C3A3F"/>
    <w:rsid w:val="2F7767B0"/>
    <w:rsid w:val="2FB219C5"/>
    <w:rsid w:val="2FB51FE9"/>
    <w:rsid w:val="2FC13AAC"/>
    <w:rsid w:val="2FDE6C75"/>
    <w:rsid w:val="2FF93EEC"/>
    <w:rsid w:val="2FFF68C3"/>
    <w:rsid w:val="30085F1C"/>
    <w:rsid w:val="300928A1"/>
    <w:rsid w:val="301A0EFB"/>
    <w:rsid w:val="303314BA"/>
    <w:rsid w:val="304E19C1"/>
    <w:rsid w:val="30783642"/>
    <w:rsid w:val="30841275"/>
    <w:rsid w:val="30AF49FD"/>
    <w:rsid w:val="30F23CA2"/>
    <w:rsid w:val="3199238B"/>
    <w:rsid w:val="31C928BC"/>
    <w:rsid w:val="328274A7"/>
    <w:rsid w:val="329C72F8"/>
    <w:rsid w:val="32AD69FB"/>
    <w:rsid w:val="32C43257"/>
    <w:rsid w:val="32C6518A"/>
    <w:rsid w:val="32D465EB"/>
    <w:rsid w:val="32F34A2C"/>
    <w:rsid w:val="33086AB8"/>
    <w:rsid w:val="331A47FA"/>
    <w:rsid w:val="33227143"/>
    <w:rsid w:val="334B6EA6"/>
    <w:rsid w:val="33771904"/>
    <w:rsid w:val="33980D28"/>
    <w:rsid w:val="33C024F3"/>
    <w:rsid w:val="33FA7744"/>
    <w:rsid w:val="341229B0"/>
    <w:rsid w:val="341D3605"/>
    <w:rsid w:val="34391335"/>
    <w:rsid w:val="345433FB"/>
    <w:rsid w:val="345674A5"/>
    <w:rsid w:val="346F0A38"/>
    <w:rsid w:val="347041D5"/>
    <w:rsid w:val="34977F25"/>
    <w:rsid w:val="351E63DD"/>
    <w:rsid w:val="359262DF"/>
    <w:rsid w:val="35A67C61"/>
    <w:rsid w:val="361E2E7C"/>
    <w:rsid w:val="365D24F5"/>
    <w:rsid w:val="36B91204"/>
    <w:rsid w:val="36DB66FA"/>
    <w:rsid w:val="36EE7787"/>
    <w:rsid w:val="36F72464"/>
    <w:rsid w:val="37025AC8"/>
    <w:rsid w:val="37A77D2B"/>
    <w:rsid w:val="37C511DD"/>
    <w:rsid w:val="37D20756"/>
    <w:rsid w:val="37E95E38"/>
    <w:rsid w:val="37F478B7"/>
    <w:rsid w:val="381C0842"/>
    <w:rsid w:val="38374BBE"/>
    <w:rsid w:val="383D7513"/>
    <w:rsid w:val="38451629"/>
    <w:rsid w:val="3889027D"/>
    <w:rsid w:val="389318CB"/>
    <w:rsid w:val="38C46C41"/>
    <w:rsid w:val="38DD5D05"/>
    <w:rsid w:val="38F3765B"/>
    <w:rsid w:val="38FA38FD"/>
    <w:rsid w:val="39540B2A"/>
    <w:rsid w:val="39562851"/>
    <w:rsid w:val="397565A0"/>
    <w:rsid w:val="39965751"/>
    <w:rsid w:val="39A2249A"/>
    <w:rsid w:val="39C944DB"/>
    <w:rsid w:val="39D81656"/>
    <w:rsid w:val="3A0D1B30"/>
    <w:rsid w:val="3A2B64BA"/>
    <w:rsid w:val="3A426A4C"/>
    <w:rsid w:val="3A6E266D"/>
    <w:rsid w:val="3A7E1793"/>
    <w:rsid w:val="3AB624C5"/>
    <w:rsid w:val="3AF771DF"/>
    <w:rsid w:val="3B0A3891"/>
    <w:rsid w:val="3B18052B"/>
    <w:rsid w:val="3B3B0E06"/>
    <w:rsid w:val="3B991A77"/>
    <w:rsid w:val="3BB02D7C"/>
    <w:rsid w:val="3C112F8A"/>
    <w:rsid w:val="3C2A743B"/>
    <w:rsid w:val="3C3B5B95"/>
    <w:rsid w:val="3C9B0DA5"/>
    <w:rsid w:val="3CA05E05"/>
    <w:rsid w:val="3CB674C6"/>
    <w:rsid w:val="3CF10852"/>
    <w:rsid w:val="3CF36FB5"/>
    <w:rsid w:val="3D23275A"/>
    <w:rsid w:val="3D2E17CA"/>
    <w:rsid w:val="3D7D7E5B"/>
    <w:rsid w:val="3D960B78"/>
    <w:rsid w:val="3DC845EF"/>
    <w:rsid w:val="3DD47EFF"/>
    <w:rsid w:val="3DF655D4"/>
    <w:rsid w:val="3E465893"/>
    <w:rsid w:val="3EB65F9B"/>
    <w:rsid w:val="3EBD5B05"/>
    <w:rsid w:val="3EC22781"/>
    <w:rsid w:val="3EC263EA"/>
    <w:rsid w:val="3ECD3C6B"/>
    <w:rsid w:val="3ED94745"/>
    <w:rsid w:val="3F690FFA"/>
    <w:rsid w:val="3F9E42D8"/>
    <w:rsid w:val="3FC84AEB"/>
    <w:rsid w:val="3FCA0289"/>
    <w:rsid w:val="3FEA0E78"/>
    <w:rsid w:val="3FF752C3"/>
    <w:rsid w:val="3FFE3277"/>
    <w:rsid w:val="402569B7"/>
    <w:rsid w:val="40364FF9"/>
    <w:rsid w:val="40642A31"/>
    <w:rsid w:val="409235F9"/>
    <w:rsid w:val="40A753BD"/>
    <w:rsid w:val="40DE6ABE"/>
    <w:rsid w:val="410C7C85"/>
    <w:rsid w:val="411B4039"/>
    <w:rsid w:val="41230F76"/>
    <w:rsid w:val="413D1A37"/>
    <w:rsid w:val="41531602"/>
    <w:rsid w:val="417A3802"/>
    <w:rsid w:val="419E5136"/>
    <w:rsid w:val="4251418C"/>
    <w:rsid w:val="42587410"/>
    <w:rsid w:val="428D0B18"/>
    <w:rsid w:val="429D75A2"/>
    <w:rsid w:val="42AD18FE"/>
    <w:rsid w:val="42B91D52"/>
    <w:rsid w:val="42BF7305"/>
    <w:rsid w:val="42EA799C"/>
    <w:rsid w:val="43313FFC"/>
    <w:rsid w:val="4379364E"/>
    <w:rsid w:val="43884ABF"/>
    <w:rsid w:val="43A56DFA"/>
    <w:rsid w:val="441E42EE"/>
    <w:rsid w:val="44631639"/>
    <w:rsid w:val="446D706D"/>
    <w:rsid w:val="44BF161D"/>
    <w:rsid w:val="44DF2D95"/>
    <w:rsid w:val="450E2C45"/>
    <w:rsid w:val="45216368"/>
    <w:rsid w:val="45236AD0"/>
    <w:rsid w:val="452454F2"/>
    <w:rsid w:val="45507883"/>
    <w:rsid w:val="459715A6"/>
    <w:rsid w:val="45A02594"/>
    <w:rsid w:val="45CF5DC3"/>
    <w:rsid w:val="45D10C67"/>
    <w:rsid w:val="45D46B6F"/>
    <w:rsid w:val="466409ED"/>
    <w:rsid w:val="467E7FA4"/>
    <w:rsid w:val="46CE1383"/>
    <w:rsid w:val="46F25714"/>
    <w:rsid w:val="472265C3"/>
    <w:rsid w:val="475A7970"/>
    <w:rsid w:val="47755530"/>
    <w:rsid w:val="477D598D"/>
    <w:rsid w:val="47861873"/>
    <w:rsid w:val="47906BA6"/>
    <w:rsid w:val="47F97F94"/>
    <w:rsid w:val="4830555C"/>
    <w:rsid w:val="4883614D"/>
    <w:rsid w:val="48906A69"/>
    <w:rsid w:val="48B6041B"/>
    <w:rsid w:val="48B66823"/>
    <w:rsid w:val="48BC3476"/>
    <w:rsid w:val="48EB3EFE"/>
    <w:rsid w:val="491935CB"/>
    <w:rsid w:val="49394074"/>
    <w:rsid w:val="493A2DE2"/>
    <w:rsid w:val="496C0998"/>
    <w:rsid w:val="49722352"/>
    <w:rsid w:val="49AE56CA"/>
    <w:rsid w:val="49E503E1"/>
    <w:rsid w:val="4A2125C5"/>
    <w:rsid w:val="4A262B85"/>
    <w:rsid w:val="4A2F7392"/>
    <w:rsid w:val="4A6E1D21"/>
    <w:rsid w:val="4AA23A8D"/>
    <w:rsid w:val="4AF61407"/>
    <w:rsid w:val="4B80387A"/>
    <w:rsid w:val="4B9279F9"/>
    <w:rsid w:val="4B9A53A5"/>
    <w:rsid w:val="4BDD7B44"/>
    <w:rsid w:val="4BDE7713"/>
    <w:rsid w:val="4BEF2F92"/>
    <w:rsid w:val="4C04478B"/>
    <w:rsid w:val="4C162E58"/>
    <w:rsid w:val="4C3D113C"/>
    <w:rsid w:val="4C9219BB"/>
    <w:rsid w:val="4CF20821"/>
    <w:rsid w:val="4D02503D"/>
    <w:rsid w:val="4D0B0C3B"/>
    <w:rsid w:val="4D4F0B2E"/>
    <w:rsid w:val="4D5E7958"/>
    <w:rsid w:val="4D603578"/>
    <w:rsid w:val="4D70170E"/>
    <w:rsid w:val="4DD51332"/>
    <w:rsid w:val="4DDB439D"/>
    <w:rsid w:val="4DEF56FA"/>
    <w:rsid w:val="4E1A4EAE"/>
    <w:rsid w:val="4E2770E9"/>
    <w:rsid w:val="4E3C5083"/>
    <w:rsid w:val="4E5C624D"/>
    <w:rsid w:val="4E8C4B6A"/>
    <w:rsid w:val="4E910A3A"/>
    <w:rsid w:val="4EA467B9"/>
    <w:rsid w:val="4EC46E05"/>
    <w:rsid w:val="4EFC22AE"/>
    <w:rsid w:val="4F0A685C"/>
    <w:rsid w:val="4F375AAF"/>
    <w:rsid w:val="4FB64544"/>
    <w:rsid w:val="4FCA7E3C"/>
    <w:rsid w:val="4FD125B9"/>
    <w:rsid w:val="4FF0088A"/>
    <w:rsid w:val="50216C63"/>
    <w:rsid w:val="506D6C17"/>
    <w:rsid w:val="50CD6207"/>
    <w:rsid w:val="50CF3D2E"/>
    <w:rsid w:val="50D36B7A"/>
    <w:rsid w:val="50E27A87"/>
    <w:rsid w:val="515D7B14"/>
    <w:rsid w:val="517A42F9"/>
    <w:rsid w:val="518A79B5"/>
    <w:rsid w:val="51CD3C78"/>
    <w:rsid w:val="5252635E"/>
    <w:rsid w:val="52A83B56"/>
    <w:rsid w:val="52C330FB"/>
    <w:rsid w:val="52CF2970"/>
    <w:rsid w:val="53010005"/>
    <w:rsid w:val="531A2133"/>
    <w:rsid w:val="53392DD0"/>
    <w:rsid w:val="53534E78"/>
    <w:rsid w:val="53630C7E"/>
    <w:rsid w:val="538A34C1"/>
    <w:rsid w:val="538A4FA6"/>
    <w:rsid w:val="53AC321C"/>
    <w:rsid w:val="53B11D6B"/>
    <w:rsid w:val="53C96A6C"/>
    <w:rsid w:val="53E21FCA"/>
    <w:rsid w:val="54A1075C"/>
    <w:rsid w:val="54A56C51"/>
    <w:rsid w:val="54E61131"/>
    <w:rsid w:val="55120101"/>
    <w:rsid w:val="55707574"/>
    <w:rsid w:val="55B6789C"/>
    <w:rsid w:val="56376902"/>
    <w:rsid w:val="56382375"/>
    <w:rsid w:val="565D0A3A"/>
    <w:rsid w:val="567A13BB"/>
    <w:rsid w:val="568B315E"/>
    <w:rsid w:val="56B319F7"/>
    <w:rsid w:val="56D36A1E"/>
    <w:rsid w:val="56DC513F"/>
    <w:rsid w:val="56E117CD"/>
    <w:rsid w:val="56F93DF6"/>
    <w:rsid w:val="572D0377"/>
    <w:rsid w:val="573F1679"/>
    <w:rsid w:val="5781168A"/>
    <w:rsid w:val="578A1A6E"/>
    <w:rsid w:val="57B45B67"/>
    <w:rsid w:val="57B4790F"/>
    <w:rsid w:val="57D3787C"/>
    <w:rsid w:val="57FD4B40"/>
    <w:rsid w:val="581C244A"/>
    <w:rsid w:val="58CD3867"/>
    <w:rsid w:val="58DC42A6"/>
    <w:rsid w:val="58E27B71"/>
    <w:rsid w:val="58E67486"/>
    <w:rsid w:val="58F610D5"/>
    <w:rsid w:val="58FF0BAB"/>
    <w:rsid w:val="593067C0"/>
    <w:rsid w:val="593E7DE4"/>
    <w:rsid w:val="59794D43"/>
    <w:rsid w:val="598242B3"/>
    <w:rsid w:val="5995211C"/>
    <w:rsid w:val="59A467EA"/>
    <w:rsid w:val="59B5540F"/>
    <w:rsid w:val="59C000C1"/>
    <w:rsid w:val="59C24FC3"/>
    <w:rsid w:val="5A137381"/>
    <w:rsid w:val="5ADD7786"/>
    <w:rsid w:val="5B073F40"/>
    <w:rsid w:val="5B734753"/>
    <w:rsid w:val="5BA97E2D"/>
    <w:rsid w:val="5BFC534A"/>
    <w:rsid w:val="5C01066C"/>
    <w:rsid w:val="5C0F29E5"/>
    <w:rsid w:val="5C1B21B5"/>
    <w:rsid w:val="5C4F16CC"/>
    <w:rsid w:val="5C980D28"/>
    <w:rsid w:val="5CAA12E7"/>
    <w:rsid w:val="5CB36E99"/>
    <w:rsid w:val="5CF32170"/>
    <w:rsid w:val="5D035418"/>
    <w:rsid w:val="5D0F745E"/>
    <w:rsid w:val="5D5E00ED"/>
    <w:rsid w:val="5D8E5F10"/>
    <w:rsid w:val="5DA01A68"/>
    <w:rsid w:val="5DF943F4"/>
    <w:rsid w:val="5E1B78BB"/>
    <w:rsid w:val="5E2336EC"/>
    <w:rsid w:val="5E5628E3"/>
    <w:rsid w:val="5EBC62A8"/>
    <w:rsid w:val="5EBF3633"/>
    <w:rsid w:val="5ED32523"/>
    <w:rsid w:val="5F021399"/>
    <w:rsid w:val="5F1E5F5B"/>
    <w:rsid w:val="5F714FF4"/>
    <w:rsid w:val="5FAD7930"/>
    <w:rsid w:val="5FB55714"/>
    <w:rsid w:val="5FE16947"/>
    <w:rsid w:val="601F3F2F"/>
    <w:rsid w:val="603B4F3C"/>
    <w:rsid w:val="6073279B"/>
    <w:rsid w:val="609D0F90"/>
    <w:rsid w:val="60DD03E1"/>
    <w:rsid w:val="60E730EB"/>
    <w:rsid w:val="61262235"/>
    <w:rsid w:val="612C2AD6"/>
    <w:rsid w:val="61474730"/>
    <w:rsid w:val="61515168"/>
    <w:rsid w:val="61615E08"/>
    <w:rsid w:val="616B7B5D"/>
    <w:rsid w:val="61722BDF"/>
    <w:rsid w:val="618D6401"/>
    <w:rsid w:val="61AE7BC4"/>
    <w:rsid w:val="61E57855"/>
    <w:rsid w:val="61E72BEC"/>
    <w:rsid w:val="625D0F94"/>
    <w:rsid w:val="625E7EBB"/>
    <w:rsid w:val="628C4DBB"/>
    <w:rsid w:val="62B93C55"/>
    <w:rsid w:val="62C85D66"/>
    <w:rsid w:val="62CC35EB"/>
    <w:rsid w:val="62EE2739"/>
    <w:rsid w:val="63037A20"/>
    <w:rsid w:val="63163A3E"/>
    <w:rsid w:val="634113E9"/>
    <w:rsid w:val="63615055"/>
    <w:rsid w:val="63750D66"/>
    <w:rsid w:val="63905096"/>
    <w:rsid w:val="6399627F"/>
    <w:rsid w:val="63AA4459"/>
    <w:rsid w:val="63D954D3"/>
    <w:rsid w:val="63E0695A"/>
    <w:rsid w:val="63E957B8"/>
    <w:rsid w:val="63F21B73"/>
    <w:rsid w:val="6400087E"/>
    <w:rsid w:val="64153CF6"/>
    <w:rsid w:val="641E0FD7"/>
    <w:rsid w:val="64471F6E"/>
    <w:rsid w:val="6473010E"/>
    <w:rsid w:val="648A46E4"/>
    <w:rsid w:val="64B42794"/>
    <w:rsid w:val="64D52CDD"/>
    <w:rsid w:val="64DA2A98"/>
    <w:rsid w:val="64EC202D"/>
    <w:rsid w:val="650F4BE9"/>
    <w:rsid w:val="65262EAA"/>
    <w:rsid w:val="654D50D6"/>
    <w:rsid w:val="65900F76"/>
    <w:rsid w:val="65BB1D5E"/>
    <w:rsid w:val="65D25593"/>
    <w:rsid w:val="662446C4"/>
    <w:rsid w:val="66283729"/>
    <w:rsid w:val="6659611C"/>
    <w:rsid w:val="66636AB9"/>
    <w:rsid w:val="667800BA"/>
    <w:rsid w:val="66D529D1"/>
    <w:rsid w:val="66E33816"/>
    <w:rsid w:val="66E53109"/>
    <w:rsid w:val="670D3288"/>
    <w:rsid w:val="6731162E"/>
    <w:rsid w:val="67317420"/>
    <w:rsid w:val="67536467"/>
    <w:rsid w:val="675D5DBC"/>
    <w:rsid w:val="676D324D"/>
    <w:rsid w:val="67820FA5"/>
    <w:rsid w:val="67891494"/>
    <w:rsid w:val="679118E5"/>
    <w:rsid w:val="680B25B6"/>
    <w:rsid w:val="68352AF9"/>
    <w:rsid w:val="68376930"/>
    <w:rsid w:val="683975EA"/>
    <w:rsid w:val="685C2EAD"/>
    <w:rsid w:val="68663B55"/>
    <w:rsid w:val="686723EB"/>
    <w:rsid w:val="686E0E64"/>
    <w:rsid w:val="6874094F"/>
    <w:rsid w:val="68943AAC"/>
    <w:rsid w:val="68C5210E"/>
    <w:rsid w:val="68CE3643"/>
    <w:rsid w:val="68EA14B1"/>
    <w:rsid w:val="690D48A3"/>
    <w:rsid w:val="69230C63"/>
    <w:rsid w:val="69453654"/>
    <w:rsid w:val="696434DB"/>
    <w:rsid w:val="699252C4"/>
    <w:rsid w:val="69964E94"/>
    <w:rsid w:val="6A1074F7"/>
    <w:rsid w:val="6A1526D6"/>
    <w:rsid w:val="6A4C5023"/>
    <w:rsid w:val="6A5F3B4B"/>
    <w:rsid w:val="6A8C7A20"/>
    <w:rsid w:val="6AA83A17"/>
    <w:rsid w:val="6AC20063"/>
    <w:rsid w:val="6AC431C7"/>
    <w:rsid w:val="6AD07963"/>
    <w:rsid w:val="6B1F6996"/>
    <w:rsid w:val="6B582042"/>
    <w:rsid w:val="6B8C1C30"/>
    <w:rsid w:val="6B9F3A1B"/>
    <w:rsid w:val="6BB653F0"/>
    <w:rsid w:val="6BB713A0"/>
    <w:rsid w:val="6BB804D0"/>
    <w:rsid w:val="6C0C15EF"/>
    <w:rsid w:val="6C113BB4"/>
    <w:rsid w:val="6D0609E6"/>
    <w:rsid w:val="6D2A0812"/>
    <w:rsid w:val="6D405B13"/>
    <w:rsid w:val="6D577AA5"/>
    <w:rsid w:val="6D632980"/>
    <w:rsid w:val="6DFF4322"/>
    <w:rsid w:val="6E0F5BD9"/>
    <w:rsid w:val="6E533D98"/>
    <w:rsid w:val="6E5F461D"/>
    <w:rsid w:val="6E732015"/>
    <w:rsid w:val="6E7A184A"/>
    <w:rsid w:val="6EF634B7"/>
    <w:rsid w:val="6F0F7267"/>
    <w:rsid w:val="6F5953DE"/>
    <w:rsid w:val="6F7A6D8C"/>
    <w:rsid w:val="6F8A1A3C"/>
    <w:rsid w:val="6FE07671"/>
    <w:rsid w:val="6FE91028"/>
    <w:rsid w:val="70150E0D"/>
    <w:rsid w:val="70151979"/>
    <w:rsid w:val="706C3987"/>
    <w:rsid w:val="70A41DEC"/>
    <w:rsid w:val="70B0488B"/>
    <w:rsid w:val="70C65160"/>
    <w:rsid w:val="70DD36C8"/>
    <w:rsid w:val="70FC294E"/>
    <w:rsid w:val="710169EE"/>
    <w:rsid w:val="710669AC"/>
    <w:rsid w:val="710C5236"/>
    <w:rsid w:val="713A39CC"/>
    <w:rsid w:val="71837A19"/>
    <w:rsid w:val="720542C3"/>
    <w:rsid w:val="722317DB"/>
    <w:rsid w:val="729A3A51"/>
    <w:rsid w:val="72C0166C"/>
    <w:rsid w:val="72CC4119"/>
    <w:rsid w:val="730C2D14"/>
    <w:rsid w:val="73165749"/>
    <w:rsid w:val="73244795"/>
    <w:rsid w:val="73275EED"/>
    <w:rsid w:val="73A77DB9"/>
    <w:rsid w:val="73AF42AF"/>
    <w:rsid w:val="73F53C66"/>
    <w:rsid w:val="741F3448"/>
    <w:rsid w:val="743A19BF"/>
    <w:rsid w:val="74564C98"/>
    <w:rsid w:val="746D4602"/>
    <w:rsid w:val="74811FAE"/>
    <w:rsid w:val="7497789D"/>
    <w:rsid w:val="74AF0266"/>
    <w:rsid w:val="74D36D42"/>
    <w:rsid w:val="74DE12C2"/>
    <w:rsid w:val="74E21280"/>
    <w:rsid w:val="755F5223"/>
    <w:rsid w:val="75731DE4"/>
    <w:rsid w:val="75875DBF"/>
    <w:rsid w:val="75AC4A24"/>
    <w:rsid w:val="75EB6071"/>
    <w:rsid w:val="76B830FE"/>
    <w:rsid w:val="76BA7633"/>
    <w:rsid w:val="76DC560E"/>
    <w:rsid w:val="76E3071E"/>
    <w:rsid w:val="76FD5F03"/>
    <w:rsid w:val="770844AD"/>
    <w:rsid w:val="774C3E15"/>
    <w:rsid w:val="77530D68"/>
    <w:rsid w:val="776D5B51"/>
    <w:rsid w:val="77EA67B1"/>
    <w:rsid w:val="77F552C1"/>
    <w:rsid w:val="77FA6C84"/>
    <w:rsid w:val="7860333A"/>
    <w:rsid w:val="788E2A53"/>
    <w:rsid w:val="78A9306A"/>
    <w:rsid w:val="78BB7F7E"/>
    <w:rsid w:val="78D57A23"/>
    <w:rsid w:val="791126FA"/>
    <w:rsid w:val="795356E8"/>
    <w:rsid w:val="795A36B5"/>
    <w:rsid w:val="79BE4704"/>
    <w:rsid w:val="79C16919"/>
    <w:rsid w:val="79C918A3"/>
    <w:rsid w:val="79CE218D"/>
    <w:rsid w:val="79F33066"/>
    <w:rsid w:val="7A0D42E5"/>
    <w:rsid w:val="7A14231D"/>
    <w:rsid w:val="7A516564"/>
    <w:rsid w:val="7A7A2AED"/>
    <w:rsid w:val="7A8C77A7"/>
    <w:rsid w:val="7A9B605F"/>
    <w:rsid w:val="7AC0780A"/>
    <w:rsid w:val="7AC8069F"/>
    <w:rsid w:val="7ADB1CC6"/>
    <w:rsid w:val="7ADF39A8"/>
    <w:rsid w:val="7AEA338E"/>
    <w:rsid w:val="7AFF0B90"/>
    <w:rsid w:val="7B2E2AF6"/>
    <w:rsid w:val="7B3A054B"/>
    <w:rsid w:val="7B4F4292"/>
    <w:rsid w:val="7B801174"/>
    <w:rsid w:val="7B894049"/>
    <w:rsid w:val="7BD03867"/>
    <w:rsid w:val="7BFC7DE1"/>
    <w:rsid w:val="7C021FA7"/>
    <w:rsid w:val="7C257CE7"/>
    <w:rsid w:val="7C486BBE"/>
    <w:rsid w:val="7C503D93"/>
    <w:rsid w:val="7C526289"/>
    <w:rsid w:val="7C597158"/>
    <w:rsid w:val="7D245671"/>
    <w:rsid w:val="7D3D633F"/>
    <w:rsid w:val="7D440915"/>
    <w:rsid w:val="7D4B62EB"/>
    <w:rsid w:val="7D8E5D5D"/>
    <w:rsid w:val="7D902DBD"/>
    <w:rsid w:val="7DA46C49"/>
    <w:rsid w:val="7E2B3A18"/>
    <w:rsid w:val="7E5D2521"/>
    <w:rsid w:val="7E7C4C45"/>
    <w:rsid w:val="7E92342D"/>
    <w:rsid w:val="7EEE6FF3"/>
    <w:rsid w:val="7EFD6E22"/>
    <w:rsid w:val="7F4C0ABC"/>
    <w:rsid w:val="7F4C286A"/>
    <w:rsid w:val="7F6932A9"/>
    <w:rsid w:val="7F791185"/>
    <w:rsid w:val="7F904193"/>
    <w:rsid w:val="7FA25DA6"/>
    <w:rsid w:val="7FB039CB"/>
    <w:rsid w:val="7FC93EBA"/>
    <w:rsid w:val="7FD937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styleId="2">
    <w:name w:val="heading 2"/>
    <w:basedOn w:val="1"/>
    <w:next w:val="1"/>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21"/>
    <w:autoRedefine/>
    <w:semiHidden/>
    <w:unhideWhenUsed/>
    <w:qFormat/>
    <w:uiPriority w:val="0"/>
    <w:pPr>
      <w:keepNext/>
      <w:keepLines/>
      <w:spacing w:before="260" w:after="260" w:line="416" w:lineRule="auto"/>
      <w:outlineLvl w:val="2"/>
    </w:pPr>
    <w:rPr>
      <w:b/>
      <w:bCs/>
      <w:sz w:val="32"/>
      <w:szCs w:val="32"/>
    </w:rPr>
  </w:style>
  <w:style w:type="paragraph" w:styleId="4">
    <w:name w:val="heading 4"/>
    <w:basedOn w:val="1"/>
    <w:next w:val="1"/>
    <w:autoRedefine/>
    <w:semiHidden/>
    <w:unhideWhenUsed/>
    <w:qFormat/>
    <w:uiPriority w:val="0"/>
    <w:pPr>
      <w:keepNext/>
      <w:keepLines/>
      <w:spacing w:before="280" w:after="290" w:line="372" w:lineRule="auto"/>
      <w:outlineLvl w:val="3"/>
    </w:pPr>
    <w:rPr>
      <w:rFonts w:ascii="Arial" w:hAnsi="Arial"/>
      <w:b/>
      <w:sz w:val="28"/>
    </w:rPr>
  </w:style>
  <w:style w:type="paragraph" w:styleId="5">
    <w:name w:val="heading 5"/>
    <w:basedOn w:val="1"/>
    <w:next w:val="1"/>
    <w:autoRedefine/>
    <w:semiHidden/>
    <w:unhideWhenUsed/>
    <w:qFormat/>
    <w:uiPriority w:val="0"/>
    <w:pPr>
      <w:keepNext/>
      <w:keepLines/>
      <w:spacing w:before="280" w:after="290" w:line="372" w:lineRule="auto"/>
      <w:outlineLvl w:val="4"/>
    </w:pPr>
    <w:rPr>
      <w:rFonts w:asciiTheme="minorHAnsi" w:hAnsiTheme="minorHAnsi"/>
      <w:b/>
    </w:rPr>
  </w:style>
  <w:style w:type="character" w:default="1" w:styleId="12">
    <w:name w:val="Default Paragraph Font"/>
    <w:semiHidden/>
    <w:unhideWhenUsed/>
    <w:qFormat/>
    <w:uiPriority w:val="1"/>
  </w:style>
  <w:style w:type="table" w:default="1" w:styleId="1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1"/>
      <w:szCs w:val="21"/>
    </w:rPr>
    <w:tblPr>
      <w:tblCellMar>
        <w:top w:w="0" w:type="dxa"/>
        <w:left w:w="108" w:type="dxa"/>
        <w:bottom w:w="0" w:type="dxa"/>
        <w:right w:w="108" w:type="dxa"/>
      </w:tblCellMar>
    </w:tblPr>
  </w:style>
  <w:style w:type="paragraph" w:styleId="6">
    <w:name w:val="annotation text"/>
    <w:basedOn w:val="1"/>
    <w:link w:val="17"/>
    <w:autoRedefine/>
    <w:qFormat/>
    <w:uiPriority w:val="0"/>
    <w:pPr>
      <w:jc w:val="left"/>
    </w:pPr>
  </w:style>
  <w:style w:type="paragraph" w:styleId="7">
    <w:name w:val="Balloon Text"/>
    <w:basedOn w:val="1"/>
    <w:link w:val="19"/>
    <w:autoRedefine/>
    <w:qFormat/>
    <w:uiPriority w:val="0"/>
    <w:pPr>
      <w:spacing w:line="240" w:lineRule="auto"/>
    </w:pPr>
    <w:rPr>
      <w:sz w:val="18"/>
      <w:szCs w:val="18"/>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annotation subject"/>
    <w:basedOn w:val="6"/>
    <w:next w:val="6"/>
    <w:link w:val="18"/>
    <w:autoRedefine/>
    <w:qFormat/>
    <w:uiPriority w:val="0"/>
    <w:rPr>
      <w:b/>
      <w:bCs/>
    </w:rPr>
  </w:style>
  <w:style w:type="character" w:styleId="13">
    <w:name w:val="Strong"/>
    <w:basedOn w:val="12"/>
    <w:autoRedefine/>
    <w:qFormat/>
    <w:uiPriority w:val="22"/>
    <w:rPr>
      <w:b/>
      <w:bCs/>
    </w:rPr>
  </w:style>
  <w:style w:type="character" w:styleId="14">
    <w:name w:val="Emphasis"/>
    <w:basedOn w:val="12"/>
    <w:autoRedefine/>
    <w:qFormat/>
    <w:uiPriority w:val="20"/>
    <w:rPr>
      <w:i/>
      <w:iCs/>
    </w:rPr>
  </w:style>
  <w:style w:type="character" w:styleId="15">
    <w:name w:val="Hyperlink"/>
    <w:basedOn w:val="12"/>
    <w:autoRedefine/>
    <w:qFormat/>
    <w:uiPriority w:val="0"/>
    <w:rPr>
      <w:color w:val="0000FF"/>
      <w:u w:val="single"/>
    </w:rPr>
  </w:style>
  <w:style w:type="character" w:styleId="16">
    <w:name w:val="annotation reference"/>
    <w:basedOn w:val="12"/>
    <w:autoRedefine/>
    <w:qFormat/>
    <w:uiPriority w:val="0"/>
    <w:rPr>
      <w:sz w:val="21"/>
      <w:szCs w:val="21"/>
    </w:rPr>
  </w:style>
  <w:style w:type="character" w:customStyle="1" w:styleId="17">
    <w:name w:val="批注文字 字符"/>
    <w:basedOn w:val="12"/>
    <w:link w:val="6"/>
    <w:autoRedefine/>
    <w:qFormat/>
    <w:uiPriority w:val="0"/>
    <w:rPr>
      <w:kern w:val="2"/>
      <w:sz w:val="24"/>
      <w:szCs w:val="24"/>
    </w:rPr>
  </w:style>
  <w:style w:type="character" w:customStyle="1" w:styleId="18">
    <w:name w:val="批注主题 字符"/>
    <w:basedOn w:val="17"/>
    <w:link w:val="10"/>
    <w:autoRedefine/>
    <w:qFormat/>
    <w:uiPriority w:val="0"/>
    <w:rPr>
      <w:b/>
      <w:bCs/>
      <w:kern w:val="2"/>
      <w:sz w:val="24"/>
      <w:szCs w:val="24"/>
    </w:rPr>
  </w:style>
  <w:style w:type="character" w:customStyle="1" w:styleId="19">
    <w:name w:val="批注框文本 字符"/>
    <w:basedOn w:val="12"/>
    <w:link w:val="7"/>
    <w:autoRedefine/>
    <w:qFormat/>
    <w:uiPriority w:val="0"/>
    <w:rPr>
      <w:kern w:val="2"/>
      <w:sz w:val="18"/>
      <w:szCs w:val="18"/>
    </w:rPr>
  </w:style>
  <w:style w:type="paragraph" w:customStyle="1" w:styleId="20">
    <w:name w:val="修订1"/>
    <w:autoRedefine/>
    <w:hidden/>
    <w:semiHidden/>
    <w:qFormat/>
    <w:uiPriority w:val="99"/>
    <w:rPr>
      <w:rFonts w:ascii="Times New Roman" w:hAnsi="Times New Roman" w:eastAsia="宋体" w:cs="Times New Roman"/>
      <w:kern w:val="2"/>
      <w:sz w:val="24"/>
      <w:szCs w:val="24"/>
      <w:lang w:val="en-US" w:eastAsia="zh-CN" w:bidi="ar-SA"/>
    </w:rPr>
  </w:style>
  <w:style w:type="character" w:customStyle="1" w:styleId="21">
    <w:name w:val="标题 3 字符"/>
    <w:basedOn w:val="12"/>
    <w:link w:val="3"/>
    <w:autoRedefine/>
    <w:semiHidden/>
    <w:qFormat/>
    <w:uiPriority w:val="0"/>
    <w:rPr>
      <w:b/>
      <w:bCs/>
      <w:kern w:val="2"/>
      <w:sz w:val="32"/>
      <w:szCs w:val="32"/>
    </w:rPr>
  </w:style>
  <w:style w:type="paragraph" w:customStyle="1" w:styleId="22">
    <w:name w:val="修订2"/>
    <w:hidden/>
    <w:unhideWhenUsed/>
    <w:qFormat/>
    <w:uiPriority w:val="99"/>
    <w:rPr>
      <w:rFonts w:ascii="Times New Roman" w:hAnsi="Times New Roman" w:eastAsia="宋体" w:cs="Times New Roman"/>
      <w:kern w:val="2"/>
      <w:sz w:val="24"/>
      <w:szCs w:val="24"/>
      <w:lang w:val="en-US" w:eastAsia="zh-CN" w:bidi="ar-SA"/>
    </w:rPr>
  </w:style>
  <w:style w:type="paragraph" w:customStyle="1" w:styleId="23">
    <w:name w:val="Revision"/>
    <w:hidden/>
    <w:unhideWhenUsed/>
    <w:qFormat/>
    <w:uiPriority w:val="99"/>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2239</Words>
  <Characters>2947</Characters>
  <Lines>383</Lines>
  <Paragraphs>125</Paragraphs>
  <TotalTime>40</TotalTime>
  <ScaleCrop>false</ScaleCrop>
  <LinksUpToDate>false</LinksUpToDate>
  <CharactersWithSpaces>3070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2023-03-28T07:16:00Z</dcterms:created>
  <dc:creator>砚</dc:creator>
  <cp:lastModifiedBy>Smartsens</cp:lastModifiedBy>
  <dcterms:modified xsi:type="dcterms:W3CDTF">2025-09-29T07:24:16Z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FD4015DEC6804FFB8E769C79D6B58D80_13</vt:lpwstr>
  </property>
  <property fmtid="{D5CDD505-2E9C-101B-9397-08002B2CF9AE}" pid="4" name="KSOTemplateDocerSaveRecord">
    <vt:lpwstr>eyJoZGlkIjoiZTE3NjUxYTg0OWYyYzMyMTZhZDE4NmFlMTMyYjFiMjQiLCJ1c2VySWQiOiI3MjgwODk1MTYifQ==</vt:lpwstr>
  </property>
</Properties>
</file>