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1D38B">
      <w:pPr>
        <w:widowControl/>
        <w:spacing w:line="460" w:lineRule="exact"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山西华阳新材料股份有限公司</w:t>
      </w:r>
    </w:p>
    <w:p w14:paraId="364B5547">
      <w:pPr>
        <w:widowControl/>
        <w:spacing w:line="460" w:lineRule="exact"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投资者关系活动记录表</w:t>
      </w:r>
    </w:p>
    <w:p w14:paraId="7DBCA933">
      <w:pPr>
        <w:adjustRightInd w:val="0"/>
        <w:snapToGrid w:val="0"/>
        <w:spacing w:line="560" w:lineRule="exact"/>
        <w:jc w:val="center"/>
        <w:rPr>
          <w:rFonts w:ascii="黑体" w:hAnsi="黑体" w:eastAsia="黑体" w:cs="仿宋_GB2312"/>
          <w:b/>
          <w:bCs/>
          <w:sz w:val="32"/>
          <w:szCs w:val="32"/>
        </w:rPr>
      </w:pPr>
    </w:p>
    <w:p w14:paraId="2CCC05F7">
      <w:pPr>
        <w:widowControl/>
        <w:spacing w:line="460" w:lineRule="exact"/>
        <w:rPr>
          <w:rFonts w:hint="default" w:ascii="Times New Roman" w:hAnsi="Times New Roman" w:eastAsia="方正书宋简体" w:cs="Times New Roman"/>
          <w:kern w:val="0"/>
          <w:sz w:val="24"/>
          <w:lang w:val="en-US" w:eastAsia="zh-CN"/>
        </w:rPr>
      </w:pPr>
      <w:r>
        <w:rPr>
          <w:rFonts w:hint="eastAsia" w:ascii="Times New Roman" w:hAnsi="Times New Roman" w:eastAsia="方正书宋简体" w:cs="Times New Roman"/>
          <w:kern w:val="0"/>
          <w:sz w:val="24"/>
        </w:rPr>
        <w:t xml:space="preserve">  股票名称：华阳新材     </w:t>
      </w:r>
      <w:r>
        <w:rPr>
          <w:rFonts w:hint="eastAsia" w:ascii="Times New Roman" w:hAnsi="Times New Roman" w:eastAsia="方正书宋简体" w:cs="Times New Roman"/>
          <w:kern w:val="0"/>
          <w:sz w:val="24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书宋简体" w:cs="Times New Roman"/>
          <w:kern w:val="0"/>
          <w:sz w:val="24"/>
        </w:rPr>
        <w:t xml:space="preserve">  股票代码：600281           </w:t>
      </w:r>
    </w:p>
    <w:tbl>
      <w:tblPr>
        <w:tblStyle w:val="4"/>
        <w:tblW w:w="8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1"/>
        <w:gridCol w:w="6155"/>
      </w:tblGrid>
      <w:tr w14:paraId="60D7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81" w:type="dxa"/>
            <w:noWrap w:val="0"/>
            <w:vAlign w:val="center"/>
          </w:tcPr>
          <w:p w14:paraId="241A7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Times New Roman" w:hAnsi="Times New Roman" w:eastAsia="方正书宋简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书宋简体" w:cs="Times New Roman"/>
                <w:kern w:val="0"/>
                <w:sz w:val="24"/>
              </w:rPr>
              <w:t>投资者关系活动类别</w:t>
            </w:r>
          </w:p>
        </w:tc>
        <w:tc>
          <w:tcPr>
            <w:tcW w:w="6155" w:type="dxa"/>
            <w:noWrap w:val="0"/>
            <w:vAlign w:val="center"/>
          </w:tcPr>
          <w:p w14:paraId="378026D6">
            <w:pPr>
              <w:keepNext w:val="0"/>
              <w:keepLines w:val="0"/>
              <w:pageBreakBefore w:val="0"/>
              <w:widowControl/>
              <w:tabs>
                <w:tab w:val="left" w:pos="34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jc w:val="both"/>
              <w:textAlignment w:val="auto"/>
              <w:rPr>
                <w:rFonts w:ascii="Times New Roman" w:hAnsi="Times New Roman" w:eastAsia="方正书宋简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书宋简体" w:cs="Times New Roman"/>
                <w:kern w:val="0"/>
                <w:sz w:val="24"/>
              </w:rPr>
              <w:t>特定对象            分析师会议</w:t>
            </w:r>
          </w:p>
          <w:p w14:paraId="772F9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书宋简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书宋简体" w:cs="Times New Roman"/>
                <w:kern w:val="0"/>
                <w:sz w:val="24"/>
              </w:rPr>
              <w:t xml:space="preserve">媒体采访            业绩说明会              </w:t>
            </w:r>
          </w:p>
          <w:p w14:paraId="6E84C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jc w:val="both"/>
              <w:textAlignment w:val="auto"/>
              <w:rPr>
                <w:rFonts w:ascii="Times New Roman" w:hAnsi="Times New Roman" w:eastAsia="方正书宋简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书宋简体" w:cs="Times New Roman"/>
                <w:kern w:val="0"/>
                <w:sz w:val="24"/>
              </w:rPr>
              <w:t xml:space="preserve">新闻发布会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hint="eastAsia" w:ascii="Times New Roman" w:hAnsi="Times New Roman" w:eastAsia="方正书宋简体" w:cs="Times New Roman"/>
                <w:kern w:val="0"/>
                <w:sz w:val="24"/>
              </w:rPr>
              <w:t>现场参观</w:t>
            </w:r>
          </w:p>
          <w:p w14:paraId="1AA52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jc w:val="both"/>
              <w:textAlignment w:val="auto"/>
              <w:rPr>
                <w:rFonts w:ascii="Times New Roman" w:hAnsi="Times New Roman" w:eastAsia="方正书宋简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书宋简体" w:cs="Times New Roman"/>
                <w:kern w:val="0"/>
                <w:sz w:val="24"/>
              </w:rPr>
              <w:t>其他</w:t>
            </w:r>
          </w:p>
        </w:tc>
      </w:tr>
      <w:tr w14:paraId="0319A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  <w:jc w:val="center"/>
        </w:trPr>
        <w:tc>
          <w:tcPr>
            <w:tcW w:w="2481" w:type="dxa"/>
            <w:noWrap w:val="0"/>
            <w:vAlign w:val="center"/>
          </w:tcPr>
          <w:p w14:paraId="09623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Times New Roman" w:hAnsi="Times New Roman" w:eastAsia="方正书宋简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书宋简体" w:cs="Times New Roman"/>
                <w:kern w:val="0"/>
                <w:sz w:val="24"/>
              </w:rPr>
              <w:t>参与单位名称</w:t>
            </w:r>
          </w:p>
        </w:tc>
        <w:tc>
          <w:tcPr>
            <w:tcW w:w="6155" w:type="dxa"/>
            <w:shd w:val="clear" w:color="auto" w:fill="auto"/>
            <w:noWrap w:val="0"/>
            <w:vAlign w:val="center"/>
          </w:tcPr>
          <w:p w14:paraId="35BFD70A">
            <w:pPr>
              <w:keepNext w:val="0"/>
              <w:keepLines w:val="0"/>
              <w:pageBreakBefore w:val="0"/>
              <w:widowControl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银河证券</w:t>
            </w:r>
          </w:p>
        </w:tc>
      </w:tr>
      <w:tr w14:paraId="45404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81" w:type="dxa"/>
            <w:noWrap w:val="0"/>
            <w:vAlign w:val="center"/>
          </w:tcPr>
          <w:p w14:paraId="0C86A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Times New Roman" w:hAnsi="Times New Roman" w:eastAsia="方正书宋简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书宋简体" w:cs="Times New Roman"/>
                <w:kern w:val="0"/>
                <w:sz w:val="24"/>
              </w:rPr>
              <w:t>时间</w:t>
            </w:r>
          </w:p>
        </w:tc>
        <w:tc>
          <w:tcPr>
            <w:tcW w:w="6155" w:type="dxa"/>
            <w:shd w:val="clear" w:color="auto" w:fill="auto"/>
            <w:noWrap w:val="0"/>
            <w:vAlign w:val="center"/>
          </w:tcPr>
          <w:p w14:paraId="79DC0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Calibri" w:hAnsi="Calibri" w:eastAsia="宋体" w:cs="Times New Roman"/>
                <w:bCs/>
                <w:i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2025年9月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 xml:space="preserve">日 </w:t>
            </w:r>
          </w:p>
        </w:tc>
      </w:tr>
      <w:tr w14:paraId="5BB03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481" w:type="dxa"/>
            <w:noWrap w:val="0"/>
            <w:vAlign w:val="center"/>
          </w:tcPr>
          <w:p w14:paraId="1E043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Times New Roman" w:hAnsi="Times New Roman" w:eastAsia="方正书宋简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书宋简体" w:cs="Times New Roman"/>
                <w:kern w:val="0"/>
                <w:sz w:val="24"/>
              </w:rPr>
              <w:t>地点</w:t>
            </w:r>
          </w:p>
        </w:tc>
        <w:tc>
          <w:tcPr>
            <w:tcW w:w="6155" w:type="dxa"/>
            <w:shd w:val="clear" w:color="auto" w:fill="auto"/>
            <w:noWrap w:val="0"/>
            <w:vAlign w:val="center"/>
          </w:tcPr>
          <w:p w14:paraId="778A7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default" w:ascii="Calibri" w:hAnsi="Calibri" w:eastAsia="宋体" w:cs="Times New Roman"/>
                <w:bCs/>
                <w:i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现场、线下会议</w:t>
            </w:r>
          </w:p>
        </w:tc>
      </w:tr>
      <w:tr w14:paraId="2BEA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81" w:type="dxa"/>
            <w:noWrap w:val="0"/>
            <w:vAlign w:val="center"/>
          </w:tcPr>
          <w:p w14:paraId="6B665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Times New Roman" w:hAnsi="Times New Roman" w:eastAsia="方正书宋简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书宋简体" w:cs="Times New Roman"/>
                <w:kern w:val="0"/>
                <w:sz w:val="24"/>
              </w:rPr>
              <w:t>公司接待人员姓名</w:t>
            </w:r>
          </w:p>
        </w:tc>
        <w:tc>
          <w:tcPr>
            <w:tcW w:w="6155" w:type="dxa"/>
            <w:noWrap w:val="0"/>
            <w:vAlign w:val="center"/>
          </w:tcPr>
          <w:p w14:paraId="409A9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default" w:ascii="仿宋_GB2312" w:hAnsi="仿宋_GB2312" w:eastAsia="宋体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董事会秘书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、证券事务代表、证券部工作人员</w:t>
            </w:r>
          </w:p>
        </w:tc>
      </w:tr>
      <w:tr w14:paraId="20CDC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481" w:type="dxa"/>
            <w:noWrap w:val="0"/>
            <w:vAlign w:val="center"/>
          </w:tcPr>
          <w:p w14:paraId="69D84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Times New Roman" w:hAnsi="Times New Roman" w:eastAsia="方正书宋简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书宋简体" w:cs="Times New Roman"/>
                <w:kern w:val="0"/>
                <w:sz w:val="24"/>
              </w:rPr>
              <w:t>投资者关系活动主要内容介绍</w:t>
            </w:r>
          </w:p>
        </w:tc>
        <w:tc>
          <w:tcPr>
            <w:tcW w:w="6155" w:type="dxa"/>
            <w:noWrap w:val="0"/>
            <w:vAlign w:val="center"/>
          </w:tcPr>
          <w:p w14:paraId="3BCC57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方正书宋简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书宋简体" w:cs="Times New Roman"/>
                <w:b/>
                <w:bCs/>
                <w:kern w:val="0"/>
                <w:sz w:val="24"/>
                <w:lang w:val="en-US" w:eastAsia="zh-CN"/>
              </w:rPr>
              <w:t>1、请问公司对未来五年的业务结构优化有何规划？</w:t>
            </w:r>
          </w:p>
          <w:p w14:paraId="7CABDA9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书宋简体" w:cs="Times New Roman"/>
                <w:kern w:val="0"/>
                <w:sz w:val="24"/>
                <w:lang w:val="en-US" w:eastAsia="zh-CN"/>
              </w:rPr>
              <w:t>答：公司将以“高效、创新、绿色、安全、幸福”为目标，开拓思路，精准聚焦，持续提高公司质量和治理效能，不断提升公司市值和价值创造能力。在此基础上，公司将深耕贵金属回收加工产业，增强竞争能力；做实生物降解新材料业务，实现业绩突破；延伸充电桩产业，抢占市场份额。</w:t>
            </w:r>
          </w:p>
          <w:p w14:paraId="792C347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spacing w:val="0"/>
                <w:sz w:val="22"/>
                <w:szCs w:val="22"/>
                <w:shd w:val="clear" w:fill="FCFCFC"/>
                <w:lang w:val="en-US" w:eastAsia="zh-CN"/>
              </w:rPr>
              <w:t>2、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2"/>
                <w:szCs w:val="22"/>
                <w:shd w:val="clear" w:fill="FCFCFC"/>
              </w:rPr>
              <w:t>面</w:t>
            </w:r>
            <w:r>
              <w:rPr>
                <w:rFonts w:hint="eastAsia" w:ascii="Times New Roman" w:hAnsi="Times New Roman" w:eastAsia="方正书宋简体" w:cs="Times New Roman"/>
                <w:b/>
                <w:bCs/>
                <w:kern w:val="0"/>
                <w:sz w:val="24"/>
                <w:lang w:val="en-US" w:eastAsia="zh-CN"/>
              </w:rPr>
              <w:t>对行业竞争加剧的局面，公司目前贵金属产业是何情况？</w:t>
            </w:r>
          </w:p>
          <w:p w14:paraId="3C4C9D0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方正书宋简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书宋简体" w:cs="Times New Roman"/>
                <w:kern w:val="0"/>
                <w:sz w:val="24"/>
                <w:lang w:val="en-US" w:eastAsia="zh-CN"/>
              </w:rPr>
              <w:t>答：公司贵金属加工业务，具有铂网产品2500kg的年生产能力；废催化剂的回收处置业务，具有年处置1000t含贵金属废催化剂的能力；贵金属化合物业务，依托原料优势与技术基础，延伸产业链，丰富产品种类，现具备生产氯化钯、硝酸钯的能力。报告期内，贵金属回收产业，固本拓新，推进技改提升，完成铂网加工产量866.90kg，同比提升20%，回收铂钯32.88kg，完成贵金属化合物108.5kg。4项实用新型专利、4项发明专利全部受理，其中1项发明专利已获得授权。</w:t>
            </w:r>
          </w:p>
          <w:p w14:paraId="27508D9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Chars="0"/>
              <w:jc w:val="left"/>
              <w:textAlignment w:val="auto"/>
              <w:rPr>
                <w:rFonts w:hint="eastAsia" w:ascii="Times New Roman" w:hAnsi="Times New Roman" w:eastAsia="方正书宋简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书宋简体" w:cs="Times New Roman"/>
                <w:b/>
                <w:bCs/>
                <w:kern w:val="0"/>
                <w:sz w:val="24"/>
                <w:lang w:val="en-US" w:eastAsia="zh-CN"/>
              </w:rPr>
              <w:t>3、公司对下半年行业趋势的判断是什么？公司会采取哪些措施应对？</w:t>
            </w:r>
          </w:p>
          <w:p w14:paraId="7902877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Chars="0"/>
              <w:jc w:val="left"/>
              <w:textAlignment w:val="auto"/>
              <w:rPr>
                <w:rFonts w:hint="eastAsia" w:ascii="Times New Roman" w:hAnsi="Times New Roman" w:eastAsia="方正书宋简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书宋简体" w:cs="Times New Roman"/>
                <w:b w:val="0"/>
                <w:bCs w:val="0"/>
                <w:kern w:val="0"/>
                <w:sz w:val="24"/>
                <w:lang w:val="en-US" w:eastAsia="zh-CN"/>
              </w:rPr>
              <w:t>答：随着汽车和电子等产业的发展，对贵金属的需求不断上升，促进了贵金属回收的必要性和市场需求。政府政策、税收优惠和立法支持等措施进一步推动贵金属回收市场的增长，《中国制造2025》重点领域技术路线图明确将贵金属功能材料列为关键战略材料，财政补贴政策向贵金属化合物回收技术研发倾斜，2025年国内贵金属二次资源回收率目标提升至50%以上。贵金属化合物作为新能源及电子产业的关键原材料，随着全球能源结构</w:t>
            </w:r>
            <w:bookmarkStart w:id="0" w:name="_GoBack"/>
            <w:bookmarkEnd w:id="0"/>
            <w:r>
              <w:rPr>
                <w:rFonts w:hint="eastAsia" w:ascii="Times New Roman" w:hAnsi="Times New Roman" w:eastAsia="方正书宋简体" w:cs="Times New Roman"/>
                <w:b w:val="0"/>
                <w:bCs w:val="0"/>
                <w:kern w:val="0"/>
                <w:sz w:val="24"/>
                <w:lang w:val="en-US" w:eastAsia="zh-CN"/>
              </w:rPr>
              <w:t>转型加速，光伏、储能、氢能等清洁能源产业对贵金属化合物的需求形成规模性支撑。依据上海黄金交易所和金川集团贵金属每日现货报价，2025年上半年由供需失衡、工业需求爆发及投资热潮共同推动，铂金价格狂飙47%，钯金价格上涨29%。公司将发挥贵金属的金融属性，不断探索对冲市场风险手段、方法，进行工艺革新、发掘产能，丰富产品线，开拓贵金属二次资源回收业务和贵金属化合物业务。</w:t>
            </w:r>
          </w:p>
        </w:tc>
      </w:tr>
      <w:tr w14:paraId="1E4A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81" w:type="dxa"/>
            <w:noWrap w:val="0"/>
            <w:vAlign w:val="center"/>
          </w:tcPr>
          <w:p w14:paraId="75C84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Times New Roman" w:hAnsi="Times New Roman" w:eastAsia="方正书宋简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书宋简体" w:cs="Times New Roman"/>
                <w:kern w:val="0"/>
                <w:sz w:val="24"/>
              </w:rPr>
              <w:t>附件清单（如有）</w:t>
            </w:r>
          </w:p>
        </w:tc>
        <w:tc>
          <w:tcPr>
            <w:tcW w:w="6155" w:type="dxa"/>
            <w:noWrap w:val="0"/>
            <w:vAlign w:val="center"/>
          </w:tcPr>
          <w:p w14:paraId="0B0A9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书宋简体" w:cs="Times New Roman"/>
                <w:kern w:val="0"/>
                <w:sz w:val="24"/>
                <w:lang w:val="en-US" w:eastAsia="zh-CN"/>
              </w:rPr>
              <w:t>无</w:t>
            </w:r>
          </w:p>
        </w:tc>
      </w:tr>
    </w:tbl>
    <w:p w14:paraId="6404482B"/>
    <w:p w14:paraId="475B270D">
      <w:pPr>
        <w:widowControl/>
        <w:spacing w:line="460" w:lineRule="exact"/>
        <w:ind w:firstLine="480" w:firstLineChars="200"/>
        <w:jc w:val="left"/>
        <w:rPr>
          <w:rFonts w:hint="eastAsia" w:ascii="Times New Roman" w:hAnsi="Times New Roman" w:eastAsia="方正书宋简体" w:cs="Times New Roman"/>
          <w:kern w:val="0"/>
          <w:sz w:val="24"/>
        </w:rPr>
      </w:pPr>
    </w:p>
    <w:p w14:paraId="210C3899">
      <w:pPr>
        <w:widowControl/>
        <w:spacing w:line="460" w:lineRule="exact"/>
        <w:ind w:firstLine="480" w:firstLineChars="200"/>
        <w:jc w:val="left"/>
        <w:rPr>
          <w:rFonts w:hint="eastAsia" w:ascii="Times New Roman" w:hAnsi="Times New Roman" w:eastAsia="方正书宋简体" w:cs="Times New Roman"/>
          <w:kern w:val="0"/>
          <w:sz w:val="24"/>
        </w:rPr>
      </w:pPr>
    </w:p>
    <w:p w14:paraId="43DB02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02A7B5-9A7D-433F-BCBC-E7D0CC9C2E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31111CF-5F6A-4B6E-9AC3-FF03C4DE6B8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58188EC-711A-4701-8E3F-3F87DFF510B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A312535-DAD9-40A5-B45D-473C520A5F02}"/>
  </w:font>
  <w:font w:name="方正书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4C3EA58C-6374-483C-8BAE-98574AE35BC2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6" w:fontKey="{2BB43845-EE97-4A71-A153-42C019844B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436E5"/>
    <w:rsid w:val="11A472C7"/>
    <w:rsid w:val="1E8F639F"/>
    <w:rsid w:val="1F973F5E"/>
    <w:rsid w:val="216335F1"/>
    <w:rsid w:val="47461028"/>
    <w:rsid w:val="4DA25B6E"/>
    <w:rsid w:val="744932D3"/>
    <w:rsid w:val="7E64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639</Words>
  <Characters>678</Characters>
  <Lines>0</Lines>
  <Paragraphs>0</Paragraphs>
  <TotalTime>13</TotalTime>
  <ScaleCrop>false</ScaleCrop>
  <LinksUpToDate>false</LinksUpToDate>
  <CharactersWithSpaces>767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2025-09-28T06:55:00Z</dcterms:created>
  <dc:creator>Sunshine</dc:creator>
  <cp:lastModifiedBy>猪猪哥</cp:lastModifiedBy>
  <cp:lastPrinted>2025-09-28T08:38:31Z</cp:lastPrinted>
  <dcterms:modified xsi:type="dcterms:W3CDTF">2025-09-28T08:40:59Z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CD2AB30DF29547A3AF7E333071831FDB_13</vt:lpwstr>
  </property>
  <property fmtid="{D5CDD505-2E9C-101B-9397-08002B2CF9AE}" pid="4" name="KSOTemplateDocerSaveRecord">
    <vt:lpwstr>eyJoZGlkIjoiNDQ2ZTM5NTVmOGEzZjc0NjVmNWU4ZDliZmE2NGRmMTkiLCJ1c2VySWQiOiI2MzYzMDQ1NTQifQ==</vt:lpwstr>
  </property>
</Properties>
</file>