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613C6">
      <w:pPr>
        <w:rPr>
          <w:rFonts w:hint="default" w:ascii="Times New Roman" w:hAnsi="Times New Roman" w:eastAsia="宋体" w:cs="Times New Roman"/>
          <w:sz w:val="24"/>
          <w:szCs w:val="28"/>
        </w:rPr>
      </w:pPr>
      <w:r>
        <w:rPr>
          <w:rFonts w:hint="default" w:ascii="Times New Roman" w:hAnsi="Times New Roman" w:eastAsia="宋体" w:cs="Times New Roman"/>
          <w:sz w:val="24"/>
          <w:szCs w:val="28"/>
        </w:rPr>
        <w:t>证券代码：601126                                   证券简称：四方股份</w:t>
      </w:r>
    </w:p>
    <w:p w14:paraId="35C93993">
      <w:pPr>
        <w:spacing w:before="312" w:beforeLines="100"/>
        <w:jc w:val="center"/>
        <w:rPr>
          <w:rFonts w:hint="default" w:ascii="Times New Roman" w:hAnsi="Times New Roman" w:eastAsia="宋体" w:cs="Times New Roman"/>
          <w:sz w:val="28"/>
          <w:szCs w:val="28"/>
        </w:rPr>
      </w:pPr>
      <w:r>
        <w:rPr>
          <w:rFonts w:hint="default" w:ascii="Times New Roman" w:hAnsi="Times New Roman" w:eastAsia="宋体" w:cs="Times New Roman"/>
          <w:b/>
          <w:bCs/>
          <w:sz w:val="32"/>
          <w:szCs w:val="32"/>
        </w:rPr>
        <w:t>北京四方继保自动化股份有限公司</w:t>
      </w:r>
    </w:p>
    <w:p w14:paraId="49432DD4">
      <w:pPr>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投资者关系活动记录表</w:t>
      </w:r>
    </w:p>
    <w:p w14:paraId="382FE754">
      <w:pPr>
        <w:spacing w:after="156" w:afterLines="50"/>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（2025年</w:t>
      </w:r>
      <w:r>
        <w:rPr>
          <w:rFonts w:hint="eastAsia" w:ascii="Times New Roman" w:hAnsi="Times New Roman" w:eastAsia="宋体" w:cs="Times New Roman"/>
          <w:b/>
          <w:bCs/>
          <w:sz w:val="32"/>
          <w:szCs w:val="32"/>
          <w:lang w:val="en-US" w:eastAsia="zh-CN"/>
        </w:rPr>
        <w:t>9</w:t>
      </w:r>
      <w:r>
        <w:rPr>
          <w:rFonts w:hint="default" w:ascii="Times New Roman" w:hAnsi="Times New Roman" w:eastAsia="宋体" w:cs="Times New Roman"/>
          <w:b/>
          <w:bCs/>
          <w:sz w:val="32"/>
          <w:szCs w:val="32"/>
        </w:rPr>
        <w:t>月）</w:t>
      </w:r>
    </w:p>
    <w:p w14:paraId="030525EB">
      <w:pPr>
        <w:spacing w:before="156" w:beforeLines="50" w:after="156" w:afterLines="50"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北京四方继保自动化股份有限公司于近期与投资者、券商分析师等就公司生产经营情况进行交流，现将投资者关系活动的主要情况汇总发布如下：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14:paraId="4570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7FC24183">
            <w:pPr>
              <w:spacing w:before="156" w:beforeLines="50" w:after="156" w:afterLines="50" w:line="300" w:lineRule="auto"/>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投资者关系活动类别</w:t>
            </w:r>
          </w:p>
        </w:tc>
        <w:tc>
          <w:tcPr>
            <w:tcW w:w="6741" w:type="dxa"/>
            <w:vAlign w:val="center"/>
          </w:tcPr>
          <w:p w14:paraId="63A6FB9A">
            <w:pPr>
              <w:spacing w:before="156" w:beforeLines="50" w:after="156" w:afterLines="50" w:line="300" w:lineRule="auto"/>
              <w:rPr>
                <w:rFonts w:ascii="Times New Roman" w:hAnsi="Times New Roman" w:eastAsia="宋体" w:cs="Times New Roman"/>
                <w:color w:val="auto"/>
                <w:sz w:val="24"/>
                <w:szCs w:val="24"/>
              </w:rPr>
            </w:pP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 xml:space="preserve">特定对象调研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 xml:space="preserve">分析师会议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 xml:space="preserve">媒体采访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 xml:space="preserve">业绩解读会 </w:t>
            </w: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 xml:space="preserve">券商策略会  </w:t>
            </w: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 xml:space="preserve">路演活动  </w:t>
            </w: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 xml:space="preserve">现场参观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其他</w:t>
            </w:r>
          </w:p>
        </w:tc>
      </w:tr>
      <w:tr w14:paraId="28AC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55" w:type="dxa"/>
            <w:vAlign w:val="center"/>
          </w:tcPr>
          <w:p w14:paraId="608C6EB1">
            <w:pPr>
              <w:spacing w:before="156" w:beforeLines="50" w:after="156" w:afterLines="50" w:line="30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参与机构</w:t>
            </w:r>
          </w:p>
        </w:tc>
        <w:tc>
          <w:tcPr>
            <w:tcW w:w="6741" w:type="dxa"/>
            <w:vAlign w:val="center"/>
          </w:tcPr>
          <w:p w14:paraId="193BDBF4">
            <w:pPr>
              <w:spacing w:before="156" w:beforeLines="50" w:after="156" w:afterLines="50" w:line="300" w:lineRule="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国泰海通证券、中信证券、西部证券、南方基金、广发基金、海富通基金、新华基金、国联基金、英大保险、人保资产、国寿养老、中英人寿、Wasatch Advisors</w:t>
            </w:r>
            <w:r>
              <w:rPr>
                <w:rFonts w:hint="default" w:ascii="Times New Roman" w:hAnsi="Times New Roman" w:eastAsia="宋体" w:cs="Times New Roman"/>
                <w:color w:val="auto"/>
                <w:sz w:val="24"/>
                <w:szCs w:val="24"/>
              </w:rPr>
              <w:t>等</w:t>
            </w:r>
            <w:r>
              <w:rPr>
                <w:rFonts w:hint="eastAsia"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rPr>
              <w:t>+家机构/券商</w:t>
            </w:r>
          </w:p>
        </w:tc>
      </w:tr>
      <w:tr w14:paraId="52F5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4387C089">
            <w:pPr>
              <w:spacing w:before="156" w:beforeLines="50" w:after="156" w:afterLines="50" w:line="30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地点</w:t>
            </w:r>
          </w:p>
        </w:tc>
        <w:tc>
          <w:tcPr>
            <w:tcW w:w="6741" w:type="dxa"/>
            <w:vAlign w:val="center"/>
          </w:tcPr>
          <w:p w14:paraId="580081B4">
            <w:pPr>
              <w:spacing w:before="156" w:beforeLines="50" w:after="156" w:afterLines="50" w:line="30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策略会现场、公司会议室等</w:t>
            </w:r>
          </w:p>
        </w:tc>
      </w:tr>
      <w:tr w14:paraId="7BAB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55" w:type="dxa"/>
            <w:vAlign w:val="center"/>
          </w:tcPr>
          <w:p w14:paraId="4AA25E08">
            <w:pPr>
              <w:spacing w:before="156" w:beforeLines="50" w:after="156" w:afterLines="50" w:line="30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上市公司接待人员</w:t>
            </w:r>
          </w:p>
        </w:tc>
        <w:tc>
          <w:tcPr>
            <w:tcW w:w="6741" w:type="dxa"/>
            <w:vAlign w:val="center"/>
          </w:tcPr>
          <w:p w14:paraId="529D33CD">
            <w:pPr>
              <w:spacing w:before="156" w:beforeLines="50" w:after="156" w:afterLines="50" w:line="30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董事会秘书、</w:t>
            </w:r>
            <w:r>
              <w:rPr>
                <w:rFonts w:hint="default" w:ascii="Times New Roman" w:hAnsi="Times New Roman" w:eastAsia="宋体" w:cs="Times New Roman"/>
                <w:color w:val="auto"/>
                <w:sz w:val="24"/>
                <w:szCs w:val="24"/>
                <w:woUserID w:val="1"/>
              </w:rPr>
              <w:t>业务领导、</w:t>
            </w:r>
            <w:r>
              <w:rPr>
                <w:rFonts w:hint="default" w:ascii="Times New Roman" w:hAnsi="Times New Roman" w:eastAsia="宋体" w:cs="Times New Roman"/>
                <w:color w:val="auto"/>
                <w:sz w:val="24"/>
                <w:szCs w:val="24"/>
              </w:rPr>
              <w:t>证券事务代表</w:t>
            </w:r>
          </w:p>
        </w:tc>
      </w:tr>
      <w:tr w14:paraId="3D44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5294A014">
            <w:pPr>
              <w:spacing w:before="156" w:beforeLines="50" w:after="156" w:afterLines="50" w:line="30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投资者关系活动主要内容介绍</w:t>
            </w:r>
          </w:p>
        </w:tc>
        <w:tc>
          <w:tcPr>
            <w:tcW w:w="6741" w:type="dxa"/>
            <w:vAlign w:val="center"/>
          </w:tcPr>
          <w:p w14:paraId="7E229B0A">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Q1：</w:t>
            </w:r>
            <w:r>
              <w:rPr>
                <w:rFonts w:hint="default" w:ascii="Times New Roman" w:hAnsi="Times New Roman" w:eastAsia="宋体" w:cs="Times New Roman"/>
                <w:b/>
                <w:color w:val="auto"/>
                <w:sz w:val="24"/>
                <w:szCs w:val="24"/>
              </w:rPr>
              <w:t>公司</w:t>
            </w:r>
            <w:r>
              <w:rPr>
                <w:rFonts w:hint="eastAsia" w:ascii="Times New Roman" w:hAnsi="Times New Roman" w:eastAsia="宋体" w:cs="Times New Roman"/>
                <w:b/>
                <w:color w:val="auto"/>
                <w:sz w:val="24"/>
                <w:szCs w:val="24"/>
                <w:lang w:val="en-US" w:eastAsia="zh-CN"/>
              </w:rPr>
              <w:t>数据中心固态变压器（SST）的核心技术优势是什么，目前有何进展</w:t>
            </w:r>
            <w:r>
              <w:rPr>
                <w:rFonts w:hint="default" w:ascii="Times New Roman" w:hAnsi="Times New Roman" w:eastAsia="宋体" w:cs="Times New Roman"/>
                <w:b/>
                <w:color w:val="auto"/>
                <w:sz w:val="24"/>
                <w:szCs w:val="24"/>
              </w:rPr>
              <w:t>？</w:t>
            </w:r>
          </w:p>
          <w:p w14:paraId="112D0E64">
            <w:pPr>
              <w:spacing w:line="360" w:lineRule="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bCs/>
                <w:color w:val="auto"/>
                <w:sz w:val="24"/>
                <w:szCs w:val="24"/>
              </w:rPr>
              <w:t>A：</w:t>
            </w:r>
            <w:r>
              <w:rPr>
                <w:rFonts w:hint="default" w:ascii="Times New Roman" w:hAnsi="Times New Roman" w:eastAsia="宋体" w:cs="Times New Roman"/>
                <w:b w:val="0"/>
                <w:bCs/>
                <w:color w:val="auto"/>
                <w:sz w:val="24"/>
                <w:szCs w:val="24"/>
                <w:lang w:val="en-US" w:eastAsia="zh-CN"/>
              </w:rPr>
              <w:t>固态变压器由电力电子变换器、高频变压器及半导体器件构成，通过高频开关实现电压转换与高效传输，可以将中高压交、直流转为低压直流，省去传统多级转换，效率显著提升。公司依托在电力行业的长期技术积累，创新推出SST新一代数据中心供电方案。该方案采用无工频变压器设计，可实现中压AC直转低压DC，能源转换效率最高可达98%，显著提升了能量利用效率。公司提供交流10kV～35kV、直流20kV～60kV接入，240V～800V直流输出的SST系列产品，具备高效率、高可靠性、多段直流接入、高集成易安装等优势，全面适配下一代数据中心800V直流供电架构的需求。凭借全自研的硬件设备、保护系统与能量管理平台，公司可为数据中心提供一二次电气设备的全套解决方案，是国内少数能提供数据中心交直流配电系统全套关键设备及解决方案的厂家，参与东莞巷尾多站合一直流微电网示范工程、宁波慈溪氢电耦合直流微网示范工程、城市配电网柔性互联关键设备技术示范工程等多个国家级示范项目，积累了丰富经验。</w:t>
            </w:r>
          </w:p>
          <w:p w14:paraId="163DD05A">
            <w:pPr>
              <w:spacing w:line="360" w:lineRule="auto"/>
              <w:rPr>
                <w:rFonts w:hint="default" w:ascii="Times New Roman" w:hAnsi="Times New Roman" w:eastAsia="宋体" w:cs="Times New Roman"/>
                <w:color w:val="auto"/>
                <w:sz w:val="24"/>
                <w:szCs w:val="24"/>
              </w:rPr>
            </w:pPr>
          </w:p>
          <w:p w14:paraId="301C34E1">
            <w:pPr>
              <w:spacing w:line="360" w:lineRule="auto"/>
              <w:rPr>
                <w:rFonts w:hint="default" w:ascii="Times New Roman" w:hAnsi="Times New Roman" w:eastAsia="宋体" w:cs="Times New Roman"/>
                <w:b/>
                <w:bCs/>
                <w:color w:val="auto"/>
                <w:sz w:val="24"/>
                <w:szCs w:val="24"/>
                <w:woUserID w:val="1"/>
              </w:rPr>
            </w:pPr>
            <w:r>
              <w:rPr>
                <w:rFonts w:hint="default" w:ascii="Times New Roman" w:hAnsi="Times New Roman" w:eastAsia="宋体" w:cs="Times New Roman"/>
                <w:b/>
                <w:bCs/>
                <w:color w:val="auto"/>
                <w:sz w:val="24"/>
                <w:szCs w:val="24"/>
              </w:rPr>
              <w:t>Q</w:t>
            </w: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woUserID w:val="1"/>
              </w:rPr>
              <w:t>公司在数据中心领域有什么产品应用？</w:t>
            </w:r>
          </w:p>
          <w:p w14:paraId="23401DEA">
            <w:pPr>
              <w:spacing w:line="360" w:lineRule="auto"/>
              <w:rPr>
                <w:rFonts w:hint="default" w:ascii="Times New Roman" w:hAnsi="Times New Roman" w:eastAsia="宋体" w:cs="Times New Roman"/>
                <w:b w:val="0"/>
                <w:bCs/>
                <w:color w:val="auto"/>
                <w:sz w:val="24"/>
                <w:szCs w:val="24"/>
                <w:lang w:eastAsia="zh-CN"/>
                <w:woUserID w:val="0"/>
              </w:rPr>
            </w:pPr>
            <w:r>
              <w:rPr>
                <w:rFonts w:hint="default" w:ascii="Times New Roman" w:hAnsi="Times New Roman" w:eastAsia="宋体" w:cs="Times New Roman"/>
                <w:b/>
                <w:bCs w:val="0"/>
                <w:color w:val="auto"/>
                <w:sz w:val="24"/>
                <w:szCs w:val="24"/>
                <w:woUserID w:val="0"/>
              </w:rPr>
              <w:t>A</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Cs/>
                <w:color w:val="auto"/>
                <w:sz w:val="24"/>
                <w:szCs w:val="24"/>
              </w:rPr>
              <w:t>公司聚焦数据中心领域，推出了绿色算力整体解决方案。该方案提供从新能源发电到算力中心用电的全链路核心装备，构建起端到端的低碳闭环。方案拥有完整的供配电体系，以AI赋能的绿色算力协调控制系统作为核心引擎，通过</w:t>
            </w:r>
            <w:r>
              <w:rPr>
                <w:rFonts w:hint="eastAsia" w:ascii="宋体" w:hAnsi="宋体" w:eastAsia="宋体" w:cs="宋体"/>
                <w:bCs/>
                <w:color w:val="auto"/>
                <w:sz w:val="24"/>
                <w:szCs w:val="24"/>
              </w:rPr>
              <w:t>“</w:t>
            </w:r>
            <w:r>
              <w:rPr>
                <w:rFonts w:hint="default" w:ascii="Times New Roman" w:hAnsi="Times New Roman" w:eastAsia="宋体" w:cs="Times New Roman"/>
                <w:bCs/>
                <w:color w:val="auto"/>
                <w:sz w:val="24"/>
                <w:szCs w:val="24"/>
              </w:rPr>
              <w:t>源-网-荷-储”多维资源的动态协调，实现对算力中心供电系统的优化控制，促进供需精准匹配，提高绿电利用率，满足算力中心绿色化、智能化转型的核心需求。同时，公司依托在电力行业长期积累的技术，推出SST新一代数据中心供电方案</w:t>
            </w:r>
            <w:r>
              <w:rPr>
                <w:rFonts w:hint="default" w:ascii="Times New Roman" w:hAnsi="Times New Roman" w:eastAsia="宋体" w:cs="Times New Roman"/>
                <w:bCs/>
                <w:color w:val="auto"/>
                <w:sz w:val="24"/>
                <w:szCs w:val="24"/>
                <w:lang w:eastAsia="zh-CN"/>
              </w:rPr>
              <w:t>。</w:t>
            </w:r>
          </w:p>
          <w:p w14:paraId="1110AEC1">
            <w:pPr>
              <w:spacing w:line="360" w:lineRule="auto"/>
              <w:rPr>
                <w:rFonts w:hint="default" w:ascii="Times New Roman" w:hAnsi="Times New Roman" w:eastAsia="宋体" w:cs="Times New Roman"/>
                <w:b w:val="0"/>
                <w:bCs/>
                <w:color w:val="auto"/>
                <w:sz w:val="24"/>
                <w:szCs w:val="24"/>
                <w:woUserID w:val="0"/>
              </w:rPr>
            </w:pPr>
          </w:p>
          <w:p w14:paraId="0A7ACE91">
            <w:pPr>
              <w:spacing w:line="360" w:lineRule="auto"/>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woUserID w:val="1"/>
              </w:rPr>
              <w:t>Q3:</w:t>
            </w:r>
            <w:r>
              <w:rPr>
                <w:rFonts w:hint="default" w:ascii="Times New Roman" w:hAnsi="Times New Roman" w:eastAsia="宋体" w:cs="Times New Roman"/>
                <w:b/>
                <w:color w:val="auto"/>
                <w:sz w:val="24"/>
                <w:szCs w:val="24"/>
              </w:rPr>
              <w:t>公</w:t>
            </w:r>
            <w:r>
              <w:rPr>
                <w:rFonts w:hint="default" w:ascii="Times New Roman" w:hAnsi="Times New Roman" w:eastAsia="宋体" w:cs="Times New Roman"/>
                <w:b/>
                <w:color w:val="auto"/>
                <w:sz w:val="24"/>
                <w:szCs w:val="24"/>
                <w:lang w:val="en-US" w:eastAsia="zh-CN"/>
              </w:rPr>
              <w:t>司新能源领域中调相机等新解决方案及产品的市场需求持续增长，能否详细介绍一下公司在调相机领域的技术优势和应用案例？</w:t>
            </w:r>
          </w:p>
          <w:p w14:paraId="31E04A89">
            <w:pPr>
              <w:spacing w:line="360" w:lineRule="auto"/>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A</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val="0"/>
                <w:bCs/>
                <w:color w:val="auto"/>
                <w:sz w:val="24"/>
                <w:szCs w:val="24"/>
                <w:lang w:val="en-US" w:eastAsia="zh-CN"/>
              </w:rPr>
              <w:t>公司提供调相机成套电控系统解决方案，目前已形成完整的技术体系与产品布局。公司研发和生产的分布式调相机成套电控系统（涵盖SFC启动装置、励磁系统、DCS控制系统、保护装置及低压开关等核心模块）已实现规模化应用，并成功承接内蒙突泉等多个标志性成套工程。同时公司自主研发的基于电力电子设备和构网型技术的静止同步调相机已在多个新能源项目得到应用，形成了35kV电压等级10Mvar-100Mvar系列化产品，相关产品通过了产品鉴定，整体技术水平处于国际领先水平。</w:t>
            </w:r>
          </w:p>
          <w:p w14:paraId="5E3A1621">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Q</w:t>
            </w:r>
            <w:r>
              <w:rPr>
                <w:rFonts w:hint="default" w:ascii="Times New Roman" w:hAnsi="Times New Roman" w:eastAsia="宋体" w:cs="Times New Roman"/>
                <w:b/>
                <w:bCs/>
                <w:color w:val="auto"/>
                <w:sz w:val="24"/>
                <w:szCs w:val="24"/>
                <w:woUserID w:val="1"/>
              </w:rPr>
              <w:t>4</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国家发展改革委、国家能源局近日印发了《关于推进</w:t>
            </w:r>
            <w:r>
              <w:rPr>
                <w:rFonts w:hint="eastAsia" w:ascii="宋体" w:hAnsi="宋体" w:eastAsia="宋体" w:cs="宋体"/>
                <w:b/>
                <w:bCs/>
                <w:color w:val="auto"/>
                <w:sz w:val="24"/>
                <w:szCs w:val="24"/>
                <w:lang w:val="en-US" w:eastAsia="zh-CN"/>
              </w:rPr>
              <w:t>“</w:t>
            </w:r>
            <w:r>
              <w:rPr>
                <w:rFonts w:hint="default" w:ascii="Times New Roman" w:hAnsi="Times New Roman" w:eastAsia="宋体" w:cs="Times New Roman"/>
                <w:b/>
                <w:bCs/>
                <w:color w:val="auto"/>
                <w:sz w:val="24"/>
                <w:szCs w:val="24"/>
                <w:lang w:val="en-US" w:eastAsia="zh-CN"/>
              </w:rPr>
              <w:t>人工智能+”能源高质量发展的实施意见》，提出能源领域人工智能发展的分阶段目标。请问公司在人工智能及机器人方面目前进展如何？</w:t>
            </w:r>
          </w:p>
          <w:p w14:paraId="6D82BD7D">
            <w:pPr>
              <w:spacing w:line="360" w:lineRule="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bCs/>
                <w:color w:val="auto"/>
                <w:sz w:val="24"/>
                <w:szCs w:val="24"/>
              </w:rPr>
              <w:t>A：</w:t>
            </w:r>
            <w:r>
              <w:rPr>
                <w:rFonts w:hint="default" w:ascii="Times New Roman" w:hAnsi="Times New Roman" w:eastAsia="宋体" w:cs="Times New Roman"/>
                <w:b w:val="0"/>
                <w:bCs w:val="0"/>
                <w:color w:val="auto"/>
                <w:sz w:val="24"/>
                <w:szCs w:val="24"/>
              </w:rPr>
              <w:t>公司积极开展人工智能技术在电力系统中的应用研究</w:t>
            </w:r>
            <w:r>
              <w:rPr>
                <w:rFonts w:hint="default"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rPr>
              <w:t>研发了覆盖电力领域多业务场景的四方AI大模型矩阵，目前已成功应用于特高压智能巡视、负荷预测与调度优化、运检智能助手等场景，推动人工智能技术在电力行业的深度融合和应用。同时，公司研究机器人在运维、服务等领域的应用场景及可行性，并探索机器人在新业务需求中的应用及开发。2025年上半年，公司中标变电室内巡检机器人近200套。未来，公司将持续加大对AI技术的研发投入，探索机器学习、深度学习等先进技术在电网智能运行、能源高效管理中的创新应用，推动智能产品与新技术的实际落地与迭代升级。</w:t>
            </w:r>
          </w:p>
          <w:p w14:paraId="2E54AB62">
            <w:pPr>
              <w:spacing w:line="360" w:lineRule="auto"/>
              <w:rPr>
                <w:rFonts w:hint="default" w:ascii="Times New Roman" w:hAnsi="Times New Roman" w:eastAsia="宋体" w:cs="Times New Roman"/>
                <w:b w:val="0"/>
                <w:bCs w:val="0"/>
                <w:color w:val="auto"/>
                <w:sz w:val="24"/>
                <w:szCs w:val="24"/>
              </w:rPr>
            </w:pPr>
          </w:p>
          <w:p w14:paraId="3958E896">
            <w:pPr>
              <w:spacing w:line="360" w:lineRule="auto"/>
              <w:rPr>
                <w:rFonts w:hint="default" w:ascii="Times New Roman" w:hAnsi="Times New Roman" w:eastAsia="宋体" w:cs="Times New Roman"/>
                <w:b/>
                <w:bCs/>
                <w:color w:val="0070C0"/>
                <w:sz w:val="24"/>
                <w:szCs w:val="24"/>
                <w:lang w:val="en-US" w:eastAsia="zh-CN"/>
              </w:rPr>
            </w:pPr>
            <w:r>
              <w:rPr>
                <w:rFonts w:hint="default" w:ascii="Times New Roman" w:hAnsi="Times New Roman" w:eastAsia="宋体" w:cs="Times New Roman"/>
                <w:b/>
                <w:bCs/>
                <w:color w:val="auto"/>
                <w:sz w:val="24"/>
                <w:szCs w:val="24"/>
              </w:rPr>
              <w:t>Q</w:t>
            </w:r>
            <w:r>
              <w:rPr>
                <w:rFonts w:hint="default" w:ascii="Times New Roman" w:hAnsi="Times New Roman" w:eastAsia="宋体" w:cs="Times New Roman"/>
                <w:b/>
                <w:bCs/>
                <w:color w:val="auto"/>
                <w:sz w:val="24"/>
                <w:szCs w:val="24"/>
                <w:lang w:val="en-US" w:eastAsia="zh-CN"/>
                <w:woUserID w:val="1"/>
              </w:rPr>
              <w:t>5</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woUserID w:val="2"/>
              </w:rPr>
              <w:t>在各种政策驱动下，</w:t>
            </w:r>
            <w:r>
              <w:rPr>
                <w:rFonts w:hint="default" w:ascii="Times New Roman" w:hAnsi="Times New Roman" w:eastAsia="宋体" w:cs="Times New Roman"/>
                <w:b/>
                <w:bCs/>
                <w:color w:val="auto"/>
                <w:sz w:val="24"/>
                <w:szCs w:val="24"/>
                <w:lang w:val="en-US" w:eastAsia="zh-CN"/>
              </w:rPr>
              <w:t>公司</w:t>
            </w:r>
            <w:r>
              <w:rPr>
                <w:rFonts w:hint="default" w:ascii="Times New Roman" w:hAnsi="Times New Roman" w:eastAsia="宋体" w:cs="Times New Roman"/>
                <w:b/>
                <w:bCs/>
                <w:color w:val="auto"/>
                <w:sz w:val="24"/>
                <w:szCs w:val="24"/>
                <w:lang w:eastAsia="zh-CN"/>
                <w:woUserID w:val="2"/>
              </w:rPr>
              <w:t>的</w:t>
            </w:r>
            <w:r>
              <w:rPr>
                <w:rFonts w:hint="default" w:ascii="Times New Roman" w:hAnsi="Times New Roman" w:eastAsia="宋体" w:cs="Times New Roman"/>
                <w:b/>
                <w:bCs/>
                <w:color w:val="auto"/>
                <w:sz w:val="24"/>
                <w:szCs w:val="24"/>
                <w:lang w:val="en-US" w:eastAsia="zh-CN"/>
              </w:rPr>
              <w:t>储能业务</w:t>
            </w:r>
            <w:r>
              <w:rPr>
                <w:rFonts w:hint="default" w:ascii="Times New Roman" w:hAnsi="Times New Roman" w:eastAsia="宋体" w:cs="Times New Roman"/>
                <w:b/>
                <w:bCs/>
                <w:color w:val="auto"/>
                <w:sz w:val="24"/>
                <w:szCs w:val="24"/>
                <w:lang w:eastAsia="zh-CN"/>
                <w:woUserID w:val="2"/>
              </w:rPr>
              <w:t>规划有什么变化以及进展怎么样</w:t>
            </w:r>
            <w:r>
              <w:rPr>
                <w:rFonts w:hint="default" w:ascii="Times New Roman" w:hAnsi="Times New Roman" w:eastAsia="宋体" w:cs="Times New Roman"/>
                <w:b/>
                <w:bCs/>
                <w:color w:val="auto"/>
                <w:sz w:val="24"/>
                <w:szCs w:val="24"/>
                <w:lang w:val="en-US" w:eastAsia="zh-CN"/>
              </w:rPr>
              <w:t>？</w:t>
            </w:r>
          </w:p>
          <w:p w14:paraId="21FE9C15">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color w:val="auto"/>
                <w:sz w:val="24"/>
                <w:szCs w:val="24"/>
                <w:lang w:val="en-US" w:eastAsia="zh-CN"/>
              </w:rPr>
              <w:t>A</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val="0"/>
                <w:bCs w:val="0"/>
                <w:color w:val="auto"/>
                <w:sz w:val="24"/>
                <w:szCs w:val="24"/>
                <w:lang w:eastAsia="zh-CN"/>
                <w:woUserID w:val="2"/>
              </w:rPr>
              <w:t>随着各类政策陆续出台，进一步推动储能业务的发展，充分发挥其在新型电力系统中的调节作用。公司坚定</w:t>
            </w:r>
            <w:r>
              <w:rPr>
                <w:rFonts w:hint="default" w:ascii="Times New Roman" w:hAnsi="Times New Roman" w:eastAsia="宋体" w:cs="Times New Roman"/>
                <w:b w:val="0"/>
                <w:bCs w:val="0"/>
                <w:color w:val="auto"/>
                <w:sz w:val="24"/>
                <w:szCs w:val="24"/>
                <w:lang w:val="en-US" w:eastAsia="zh-CN"/>
              </w:rPr>
              <w:t>储能业务</w:t>
            </w:r>
            <w:r>
              <w:rPr>
                <w:rFonts w:hint="default" w:ascii="Times New Roman" w:hAnsi="Times New Roman" w:eastAsia="宋体" w:cs="Times New Roman"/>
                <w:b w:val="0"/>
                <w:bCs w:val="0"/>
                <w:color w:val="auto"/>
                <w:sz w:val="24"/>
                <w:szCs w:val="24"/>
                <w:lang w:eastAsia="zh-CN"/>
                <w:woUserID w:val="2"/>
              </w:rPr>
              <w:t>长期发展</w:t>
            </w:r>
            <w:r>
              <w:rPr>
                <w:rFonts w:hint="default" w:ascii="Times New Roman" w:hAnsi="Times New Roman" w:eastAsia="宋体" w:cs="Times New Roman"/>
                <w:b w:val="0"/>
                <w:bCs w:val="0"/>
                <w:color w:val="auto"/>
                <w:sz w:val="24"/>
                <w:szCs w:val="24"/>
                <w:lang w:val="en-US" w:eastAsia="zh-CN"/>
              </w:rPr>
              <w:t>战略</w:t>
            </w:r>
            <w:r>
              <w:rPr>
                <w:rFonts w:hint="default" w:ascii="Times New Roman" w:hAnsi="Times New Roman" w:eastAsia="宋体" w:cs="Times New Roman"/>
                <w:b w:val="0"/>
                <w:bCs w:val="0"/>
                <w:color w:val="auto"/>
                <w:sz w:val="24"/>
                <w:szCs w:val="24"/>
                <w:lang w:eastAsia="zh-CN"/>
                <w:woUserID w:val="2"/>
              </w:rPr>
              <w:t>。</w:t>
            </w:r>
            <w:r>
              <w:rPr>
                <w:rFonts w:hint="default" w:ascii="Times New Roman" w:hAnsi="Times New Roman" w:eastAsia="宋体" w:cs="Times New Roman"/>
                <w:sz w:val="24"/>
                <w:szCs w:val="24"/>
              </w:rPr>
              <w:t>目前</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公司储能产品和解决方案已实现全应用场景覆盖，</w:t>
            </w:r>
            <w:r>
              <w:rPr>
                <w:rFonts w:hint="default" w:ascii="Times New Roman" w:hAnsi="Times New Roman" w:eastAsia="宋体" w:cs="Times New Roman"/>
                <w:sz w:val="24"/>
                <w:szCs w:val="24"/>
                <w:lang w:val="en-US" w:eastAsia="zh-CN"/>
                <w:woUserID w:val="2"/>
              </w:rPr>
              <w:t>在发输配用各个环节有效支撑电网安全稳定运行和电量高效利用</w:t>
            </w:r>
            <w:r>
              <w:rPr>
                <w:rFonts w:hint="default" w:ascii="Times New Roman" w:hAnsi="Times New Roman" w:eastAsia="宋体" w:cs="Times New Roman"/>
                <w:sz w:val="24"/>
                <w:szCs w:val="24"/>
                <w:lang w:eastAsia="zh-CN"/>
                <w:woUserID w:val="2"/>
              </w:rPr>
              <w:t>，</w:t>
            </w:r>
            <w:r>
              <w:rPr>
                <w:rFonts w:hint="default" w:ascii="Times New Roman" w:hAnsi="Times New Roman" w:eastAsia="宋体" w:cs="Times New Roman"/>
                <w:sz w:val="24"/>
                <w:szCs w:val="24"/>
                <w:lang w:val="en-US" w:eastAsia="zh-CN"/>
              </w:rPr>
              <w:t>凭借多年技术</w:t>
            </w:r>
            <w:r>
              <w:rPr>
                <w:rFonts w:hint="default" w:ascii="Times New Roman" w:hAnsi="Times New Roman" w:eastAsia="宋体" w:cs="Times New Roman"/>
                <w:sz w:val="24"/>
                <w:szCs w:val="24"/>
                <w:lang w:eastAsia="zh-CN"/>
                <w:woUserID w:val="2"/>
              </w:rPr>
              <w:t>积淀</w:t>
            </w:r>
            <w:r>
              <w:rPr>
                <w:rFonts w:hint="default" w:ascii="Times New Roman" w:hAnsi="Times New Roman" w:eastAsia="宋体" w:cs="Times New Roman"/>
                <w:sz w:val="24"/>
                <w:szCs w:val="24"/>
                <w:lang w:val="en-US" w:eastAsia="zh-CN"/>
              </w:rPr>
              <w:t>与项目经验，已形成显著优势。</w:t>
            </w:r>
            <w:r>
              <w:rPr>
                <w:rFonts w:hint="default" w:ascii="Times New Roman" w:hAnsi="Times New Roman" w:eastAsia="宋体" w:cs="Times New Roman"/>
                <w:sz w:val="24"/>
                <w:szCs w:val="24"/>
                <w:lang w:eastAsia="zh-CN"/>
                <w:woUserID w:val="2"/>
              </w:rPr>
              <w:t>公司持续加大研发及市场投入，加快技术迭代以及海内外市场拓展。在技术迭代方面，实现了</w:t>
            </w:r>
            <w:r>
              <w:rPr>
                <w:rFonts w:hint="default" w:ascii="Times New Roman" w:hAnsi="Times New Roman" w:eastAsia="宋体" w:cs="Times New Roman"/>
                <w:sz w:val="24"/>
                <w:szCs w:val="24"/>
                <w:lang w:val="en-US" w:eastAsia="zh-CN"/>
              </w:rPr>
              <w:t>构网型储能技术</w:t>
            </w:r>
            <w:r>
              <w:rPr>
                <w:rFonts w:hint="default" w:ascii="Times New Roman" w:hAnsi="Times New Roman" w:eastAsia="宋体" w:cs="Times New Roman"/>
                <w:sz w:val="24"/>
                <w:szCs w:val="24"/>
                <w:lang w:eastAsia="zh-CN"/>
                <w:woUserID w:val="2"/>
              </w:rPr>
              <w:t>在</w:t>
            </w:r>
            <w:r>
              <w:rPr>
                <w:rFonts w:hint="default" w:ascii="Times New Roman" w:hAnsi="Times New Roman" w:eastAsia="宋体" w:cs="Times New Roman"/>
                <w:sz w:val="24"/>
                <w:szCs w:val="24"/>
                <w:lang w:val="en-US" w:eastAsia="zh-CN"/>
              </w:rPr>
              <w:t>国内外多个项目应用；火储联合调频技术完成储能与百万千瓦机组联合调频项目投运；集中式储能变流器技术在电网侧大型独立储能电站的应用规模持续扩大。</w:t>
            </w:r>
            <w:r>
              <w:rPr>
                <w:rFonts w:hint="default" w:ascii="Times New Roman" w:hAnsi="Times New Roman" w:eastAsia="宋体" w:cs="Times New Roman"/>
                <w:sz w:val="24"/>
                <w:szCs w:val="24"/>
                <w:lang w:eastAsia="zh-CN"/>
                <w:woUserID w:val="2"/>
              </w:rPr>
              <w:t>市场拓展方面，进一步推动海</w:t>
            </w:r>
            <w:r>
              <w:rPr>
                <w:rFonts w:hint="default" w:ascii="Times New Roman" w:hAnsi="Times New Roman" w:eastAsia="宋体" w:cs="Times New Roman"/>
                <w:sz w:val="24"/>
                <w:szCs w:val="24"/>
                <w:lang w:val="en-US" w:eastAsia="zh-CN"/>
              </w:rPr>
              <w:t>外市场的应用规模。</w:t>
            </w:r>
          </w:p>
          <w:p w14:paraId="55F1E441">
            <w:pPr>
              <w:spacing w:line="360" w:lineRule="auto"/>
              <w:rPr>
                <w:rFonts w:hint="default" w:ascii="Times New Roman" w:hAnsi="Times New Roman" w:eastAsia="宋体" w:cs="Times New Roman"/>
                <w:sz w:val="24"/>
                <w:szCs w:val="24"/>
                <w:lang w:val="en-US" w:eastAsia="zh-CN"/>
              </w:rPr>
            </w:pPr>
          </w:p>
          <w:p w14:paraId="1F2CCC4F">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rPr>
              <w:t>Q</w:t>
            </w:r>
            <w:r>
              <w:rPr>
                <w:rFonts w:hint="default" w:ascii="Times New Roman" w:hAnsi="Times New Roman" w:eastAsia="宋体" w:cs="Times New Roman"/>
                <w:b/>
                <w:bCs/>
                <w:color w:val="auto"/>
                <w:sz w:val="24"/>
                <w:szCs w:val="24"/>
                <w:lang w:val="en-US" w:eastAsia="zh-CN"/>
                <w:woUserID w:val="1"/>
              </w:rPr>
              <w:t>6</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近期公司参加了</w:t>
            </w:r>
            <w:r>
              <w:rPr>
                <w:rFonts w:hint="eastAsia" w:ascii="宋体" w:hAnsi="宋体" w:eastAsia="宋体" w:cs="宋体"/>
                <w:b/>
                <w:bCs/>
                <w:color w:val="auto"/>
                <w:sz w:val="24"/>
                <w:szCs w:val="24"/>
                <w:lang w:val="en-US" w:eastAsia="zh-CN"/>
              </w:rPr>
              <w:t>“</w:t>
            </w:r>
            <w:r>
              <w:rPr>
                <w:rFonts w:hint="default" w:ascii="Times New Roman" w:hAnsi="Times New Roman" w:eastAsia="宋体" w:cs="Times New Roman"/>
                <w:b/>
                <w:bCs/>
                <w:color w:val="auto"/>
                <w:sz w:val="24"/>
                <w:szCs w:val="24"/>
              </w:rPr>
              <w:t>2025金砖国家新工业革命伙伴关系论坛</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此次参会对公司海外业务拓展有哪些积极影响？</w:t>
            </w:r>
          </w:p>
          <w:p w14:paraId="14F0ED7A">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A</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val="0"/>
                <w:bCs w:val="0"/>
                <w:color w:val="auto"/>
                <w:sz w:val="24"/>
                <w:szCs w:val="24"/>
              </w:rPr>
              <w:t>公司受邀参加了由工业和信息化部、福建省人民政府共同主办的2025金砖国家新工业革命伙伴关系论坛。公司储能系统整体解决方案项目凭借其技术先进性、绿色节能特性以及成熟的产业化应用前景，成功入选《面向金砖国家的先进适用技术和解决方案成果汇编》。此次参会不仅是对公司技术创新能力的高度认可，更为公司拓展金砖国家及</w:t>
            </w:r>
            <w:r>
              <w:rPr>
                <w:rFonts w:hint="eastAsia" w:ascii="宋体" w:hAnsi="宋体" w:eastAsia="宋体" w:cs="宋体"/>
                <w:b w:val="0"/>
                <w:bCs w:val="0"/>
                <w:color w:val="auto"/>
                <w:sz w:val="24"/>
                <w:szCs w:val="24"/>
              </w:rPr>
              <w:t>“</w:t>
            </w:r>
            <w:r>
              <w:rPr>
                <w:rFonts w:hint="default" w:ascii="Times New Roman" w:hAnsi="Times New Roman" w:eastAsia="宋体" w:cs="Times New Roman"/>
                <w:b w:val="0"/>
                <w:bCs w:val="0"/>
                <w:color w:val="auto"/>
                <w:sz w:val="24"/>
                <w:szCs w:val="24"/>
              </w:rPr>
              <w:t>金砖+</w:t>
            </w:r>
            <w:r>
              <w:rPr>
                <w:rFonts w:hint="eastAsia" w:ascii="宋体" w:hAnsi="宋体" w:eastAsia="宋体" w:cs="宋体"/>
                <w:b w:val="0"/>
                <w:bCs w:val="0"/>
                <w:color w:val="auto"/>
                <w:sz w:val="24"/>
                <w:szCs w:val="24"/>
              </w:rPr>
              <w:t>”</w:t>
            </w:r>
            <w:r>
              <w:rPr>
                <w:rFonts w:hint="default" w:ascii="Times New Roman" w:hAnsi="Times New Roman" w:eastAsia="宋体" w:cs="Times New Roman"/>
                <w:b w:val="0"/>
                <w:bCs w:val="0"/>
                <w:color w:val="auto"/>
                <w:sz w:val="24"/>
                <w:szCs w:val="24"/>
              </w:rPr>
              <w:t>市场、深化国际产业合作提供了重要契机。公司始终将推进国际化发展战略作为重要发展方向，持续深化重点区域和重点产品的拓展。</w:t>
            </w:r>
          </w:p>
        </w:tc>
      </w:tr>
      <w:tr w14:paraId="0940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5BFE8BA0">
            <w:pPr>
              <w:spacing w:before="156" w:beforeLines="50" w:after="156" w:afterLines="50" w:line="30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时间</w:t>
            </w:r>
          </w:p>
        </w:tc>
        <w:tc>
          <w:tcPr>
            <w:tcW w:w="6741" w:type="dxa"/>
            <w:vAlign w:val="center"/>
          </w:tcPr>
          <w:p w14:paraId="104D4173">
            <w:pPr>
              <w:spacing w:before="156" w:beforeLines="50" w:after="156" w:afterLines="50" w:line="30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2025年</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月1日——2025年</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月3</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日</w:t>
            </w:r>
          </w:p>
        </w:tc>
      </w:tr>
    </w:tbl>
    <w:p w14:paraId="28038246">
      <w:pPr>
        <w:spacing w:before="156" w:beforeLines="50" w:after="156" w:afterLines="50" w:line="300" w:lineRule="auto"/>
        <w:ind w:firstLine="480" w:firstLineChars="200"/>
        <w:rPr>
          <w:rFonts w:ascii="Times New Roman" w:hAnsi="Times New Roman" w:eastAsia="宋体" w:cs="Times New Roman"/>
          <w:sz w:val="24"/>
          <w:szCs w:val="24"/>
        </w:rPr>
      </w:pPr>
      <w:r>
        <w:rPr>
          <w:rFonts w:hint="default" w:ascii="Times New Roman" w:hAnsi="Times New Roman" w:eastAsia="宋体" w:cs="Times New Roman"/>
          <w:color w:val="auto"/>
          <w:sz w:val="24"/>
          <w:szCs w:val="24"/>
        </w:rPr>
        <w:t>特此发布。敬请广大投资者注意投资风险，理性</w:t>
      </w:r>
      <w:r>
        <w:rPr>
          <w:rFonts w:ascii="Times New Roman" w:hAnsi="Times New Roman" w:eastAsia="宋体" w:cs="Times New Roman"/>
          <w:color w:val="auto"/>
          <w:sz w:val="24"/>
          <w:szCs w:val="24"/>
        </w:rPr>
        <w:t>投资。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B1"/>
    <w:rsid w:val="00003A3E"/>
    <w:rsid w:val="00030D8E"/>
    <w:rsid w:val="0004504C"/>
    <w:rsid w:val="00073B14"/>
    <w:rsid w:val="000754C7"/>
    <w:rsid w:val="0008270A"/>
    <w:rsid w:val="000858FF"/>
    <w:rsid w:val="00092E1F"/>
    <w:rsid w:val="00094DAA"/>
    <w:rsid w:val="000A0B27"/>
    <w:rsid w:val="000A7E02"/>
    <w:rsid w:val="000B49BB"/>
    <w:rsid w:val="000C344A"/>
    <w:rsid w:val="000C5723"/>
    <w:rsid w:val="000E2A90"/>
    <w:rsid w:val="000E4F30"/>
    <w:rsid w:val="000F0516"/>
    <w:rsid w:val="000F1971"/>
    <w:rsid w:val="000F340B"/>
    <w:rsid w:val="000F3F8A"/>
    <w:rsid w:val="00105239"/>
    <w:rsid w:val="0011479E"/>
    <w:rsid w:val="0012401E"/>
    <w:rsid w:val="00150C02"/>
    <w:rsid w:val="001572B1"/>
    <w:rsid w:val="00161711"/>
    <w:rsid w:val="00162F87"/>
    <w:rsid w:val="00164332"/>
    <w:rsid w:val="00167C02"/>
    <w:rsid w:val="00170230"/>
    <w:rsid w:val="0017261E"/>
    <w:rsid w:val="00173A8B"/>
    <w:rsid w:val="001801D3"/>
    <w:rsid w:val="00181B5D"/>
    <w:rsid w:val="001851F9"/>
    <w:rsid w:val="00186E49"/>
    <w:rsid w:val="00192255"/>
    <w:rsid w:val="001A5771"/>
    <w:rsid w:val="001A62F9"/>
    <w:rsid w:val="001B589D"/>
    <w:rsid w:val="001B74B0"/>
    <w:rsid w:val="001C0B6C"/>
    <w:rsid w:val="001D1079"/>
    <w:rsid w:val="001D33DA"/>
    <w:rsid w:val="001D657B"/>
    <w:rsid w:val="001E217C"/>
    <w:rsid w:val="001E28B7"/>
    <w:rsid w:val="001F2F71"/>
    <w:rsid w:val="001F688E"/>
    <w:rsid w:val="00206A69"/>
    <w:rsid w:val="00210ACF"/>
    <w:rsid w:val="00210C33"/>
    <w:rsid w:val="00213DA1"/>
    <w:rsid w:val="00215A01"/>
    <w:rsid w:val="0021641F"/>
    <w:rsid w:val="00224D32"/>
    <w:rsid w:val="00225136"/>
    <w:rsid w:val="0022732E"/>
    <w:rsid w:val="002435FD"/>
    <w:rsid w:val="00250C47"/>
    <w:rsid w:val="00252AB7"/>
    <w:rsid w:val="00252C29"/>
    <w:rsid w:val="00254569"/>
    <w:rsid w:val="00256A9A"/>
    <w:rsid w:val="00265DD5"/>
    <w:rsid w:val="00282FB7"/>
    <w:rsid w:val="00290432"/>
    <w:rsid w:val="002963A0"/>
    <w:rsid w:val="002A436A"/>
    <w:rsid w:val="002A4375"/>
    <w:rsid w:val="002B0CCD"/>
    <w:rsid w:val="002B1550"/>
    <w:rsid w:val="002C5CC5"/>
    <w:rsid w:val="002C640A"/>
    <w:rsid w:val="002C7341"/>
    <w:rsid w:val="002D1EB5"/>
    <w:rsid w:val="002D3DBE"/>
    <w:rsid w:val="002D4490"/>
    <w:rsid w:val="002D4A05"/>
    <w:rsid w:val="002D5590"/>
    <w:rsid w:val="002D59B7"/>
    <w:rsid w:val="002D6B52"/>
    <w:rsid w:val="002D7201"/>
    <w:rsid w:val="002D7F4C"/>
    <w:rsid w:val="002E4751"/>
    <w:rsid w:val="003042E3"/>
    <w:rsid w:val="00307CB5"/>
    <w:rsid w:val="003144EE"/>
    <w:rsid w:val="00325176"/>
    <w:rsid w:val="00330698"/>
    <w:rsid w:val="00345C04"/>
    <w:rsid w:val="003478EC"/>
    <w:rsid w:val="003713BC"/>
    <w:rsid w:val="00383462"/>
    <w:rsid w:val="003871A9"/>
    <w:rsid w:val="00390403"/>
    <w:rsid w:val="00391BC1"/>
    <w:rsid w:val="003A0823"/>
    <w:rsid w:val="003A72C4"/>
    <w:rsid w:val="003A7C03"/>
    <w:rsid w:val="003B000A"/>
    <w:rsid w:val="003B098F"/>
    <w:rsid w:val="003B4456"/>
    <w:rsid w:val="003C1992"/>
    <w:rsid w:val="003C2D49"/>
    <w:rsid w:val="003C574F"/>
    <w:rsid w:val="003D3603"/>
    <w:rsid w:val="003D5F3C"/>
    <w:rsid w:val="003D6C9F"/>
    <w:rsid w:val="003E38FC"/>
    <w:rsid w:val="003E429A"/>
    <w:rsid w:val="003E5358"/>
    <w:rsid w:val="003E5B0D"/>
    <w:rsid w:val="003E5E1D"/>
    <w:rsid w:val="003F1E1E"/>
    <w:rsid w:val="003F7890"/>
    <w:rsid w:val="004006A3"/>
    <w:rsid w:val="00401AD3"/>
    <w:rsid w:val="00405B05"/>
    <w:rsid w:val="00406A4A"/>
    <w:rsid w:val="00412C70"/>
    <w:rsid w:val="004131B0"/>
    <w:rsid w:val="00422846"/>
    <w:rsid w:val="00436F5E"/>
    <w:rsid w:val="00470637"/>
    <w:rsid w:val="004735AA"/>
    <w:rsid w:val="0047685D"/>
    <w:rsid w:val="00477CEB"/>
    <w:rsid w:val="00481C00"/>
    <w:rsid w:val="00483C85"/>
    <w:rsid w:val="004972B2"/>
    <w:rsid w:val="004A4F63"/>
    <w:rsid w:val="004A5BFC"/>
    <w:rsid w:val="004A65E7"/>
    <w:rsid w:val="004C62BA"/>
    <w:rsid w:val="004C7D68"/>
    <w:rsid w:val="004E15F7"/>
    <w:rsid w:val="004E651F"/>
    <w:rsid w:val="004F2587"/>
    <w:rsid w:val="00500099"/>
    <w:rsid w:val="005018B8"/>
    <w:rsid w:val="00502CFB"/>
    <w:rsid w:val="005052CE"/>
    <w:rsid w:val="00506DB8"/>
    <w:rsid w:val="0052119A"/>
    <w:rsid w:val="00521FE9"/>
    <w:rsid w:val="00522C10"/>
    <w:rsid w:val="0053049B"/>
    <w:rsid w:val="0053276D"/>
    <w:rsid w:val="0054311A"/>
    <w:rsid w:val="00543B93"/>
    <w:rsid w:val="00544832"/>
    <w:rsid w:val="00550318"/>
    <w:rsid w:val="00563C64"/>
    <w:rsid w:val="00581DC0"/>
    <w:rsid w:val="00590932"/>
    <w:rsid w:val="00592C63"/>
    <w:rsid w:val="00594077"/>
    <w:rsid w:val="00597302"/>
    <w:rsid w:val="005A6927"/>
    <w:rsid w:val="005B3EEB"/>
    <w:rsid w:val="005B4CA9"/>
    <w:rsid w:val="005B7046"/>
    <w:rsid w:val="005C2B90"/>
    <w:rsid w:val="005C395F"/>
    <w:rsid w:val="005D1AE6"/>
    <w:rsid w:val="005D31F5"/>
    <w:rsid w:val="005E4598"/>
    <w:rsid w:val="005F12CF"/>
    <w:rsid w:val="005F3FB8"/>
    <w:rsid w:val="00601767"/>
    <w:rsid w:val="00610261"/>
    <w:rsid w:val="00610D5C"/>
    <w:rsid w:val="00612F3A"/>
    <w:rsid w:val="0061510E"/>
    <w:rsid w:val="00632FB1"/>
    <w:rsid w:val="006432C2"/>
    <w:rsid w:val="0064762F"/>
    <w:rsid w:val="00670D81"/>
    <w:rsid w:val="0068077C"/>
    <w:rsid w:val="0068212A"/>
    <w:rsid w:val="00686819"/>
    <w:rsid w:val="006A1FE1"/>
    <w:rsid w:val="006B030B"/>
    <w:rsid w:val="006B5E5C"/>
    <w:rsid w:val="006C752F"/>
    <w:rsid w:val="006D3564"/>
    <w:rsid w:val="006D7F0B"/>
    <w:rsid w:val="006E0C67"/>
    <w:rsid w:val="006E2F47"/>
    <w:rsid w:val="006F580F"/>
    <w:rsid w:val="0070391F"/>
    <w:rsid w:val="007048DC"/>
    <w:rsid w:val="00705CDD"/>
    <w:rsid w:val="00705FA8"/>
    <w:rsid w:val="0070685E"/>
    <w:rsid w:val="00711674"/>
    <w:rsid w:val="00716495"/>
    <w:rsid w:val="00720BFF"/>
    <w:rsid w:val="00733DD3"/>
    <w:rsid w:val="00737585"/>
    <w:rsid w:val="00744BC8"/>
    <w:rsid w:val="007450D1"/>
    <w:rsid w:val="00746B4F"/>
    <w:rsid w:val="00747117"/>
    <w:rsid w:val="00750B86"/>
    <w:rsid w:val="007542BA"/>
    <w:rsid w:val="00761151"/>
    <w:rsid w:val="00764B40"/>
    <w:rsid w:val="007701C6"/>
    <w:rsid w:val="00773F4C"/>
    <w:rsid w:val="007826FB"/>
    <w:rsid w:val="00784025"/>
    <w:rsid w:val="0079322F"/>
    <w:rsid w:val="00793795"/>
    <w:rsid w:val="00794348"/>
    <w:rsid w:val="00795E2E"/>
    <w:rsid w:val="00797FE5"/>
    <w:rsid w:val="007C453F"/>
    <w:rsid w:val="007C75E2"/>
    <w:rsid w:val="007D03A4"/>
    <w:rsid w:val="007D2E29"/>
    <w:rsid w:val="007E6B57"/>
    <w:rsid w:val="007F139C"/>
    <w:rsid w:val="007F2B99"/>
    <w:rsid w:val="00801FD8"/>
    <w:rsid w:val="0080541B"/>
    <w:rsid w:val="00806F6F"/>
    <w:rsid w:val="00814FDA"/>
    <w:rsid w:val="0081609F"/>
    <w:rsid w:val="008160BF"/>
    <w:rsid w:val="00821CBC"/>
    <w:rsid w:val="008404D7"/>
    <w:rsid w:val="00856D88"/>
    <w:rsid w:val="00867E65"/>
    <w:rsid w:val="00873614"/>
    <w:rsid w:val="00881E8C"/>
    <w:rsid w:val="00882E60"/>
    <w:rsid w:val="00887A4B"/>
    <w:rsid w:val="00894A83"/>
    <w:rsid w:val="00895254"/>
    <w:rsid w:val="008972E2"/>
    <w:rsid w:val="008973B5"/>
    <w:rsid w:val="008A5000"/>
    <w:rsid w:val="008A5480"/>
    <w:rsid w:val="008A5E76"/>
    <w:rsid w:val="008C79DE"/>
    <w:rsid w:val="008D2AAC"/>
    <w:rsid w:val="008D51F7"/>
    <w:rsid w:val="008E2738"/>
    <w:rsid w:val="008E6DBD"/>
    <w:rsid w:val="008E7B0E"/>
    <w:rsid w:val="00904D7A"/>
    <w:rsid w:val="00906AE3"/>
    <w:rsid w:val="009074DD"/>
    <w:rsid w:val="00915448"/>
    <w:rsid w:val="00917D4C"/>
    <w:rsid w:val="00920338"/>
    <w:rsid w:val="00924791"/>
    <w:rsid w:val="00944FF3"/>
    <w:rsid w:val="009528F6"/>
    <w:rsid w:val="00955DB9"/>
    <w:rsid w:val="00961284"/>
    <w:rsid w:val="00964965"/>
    <w:rsid w:val="0097014F"/>
    <w:rsid w:val="0099536A"/>
    <w:rsid w:val="00995851"/>
    <w:rsid w:val="00995BB8"/>
    <w:rsid w:val="009A3819"/>
    <w:rsid w:val="009A446D"/>
    <w:rsid w:val="009A5236"/>
    <w:rsid w:val="009A53B4"/>
    <w:rsid w:val="009A5FE0"/>
    <w:rsid w:val="009A602A"/>
    <w:rsid w:val="009A7F7F"/>
    <w:rsid w:val="009B0CA8"/>
    <w:rsid w:val="009B781F"/>
    <w:rsid w:val="009C2972"/>
    <w:rsid w:val="009C560E"/>
    <w:rsid w:val="009D2020"/>
    <w:rsid w:val="009D7E19"/>
    <w:rsid w:val="009E4899"/>
    <w:rsid w:val="009F4BF6"/>
    <w:rsid w:val="009F7638"/>
    <w:rsid w:val="00A00EFA"/>
    <w:rsid w:val="00A025C8"/>
    <w:rsid w:val="00A05FA4"/>
    <w:rsid w:val="00A06B97"/>
    <w:rsid w:val="00A13043"/>
    <w:rsid w:val="00A175BA"/>
    <w:rsid w:val="00A20863"/>
    <w:rsid w:val="00A209AA"/>
    <w:rsid w:val="00A20DE0"/>
    <w:rsid w:val="00A33BAF"/>
    <w:rsid w:val="00A36AE9"/>
    <w:rsid w:val="00A413BA"/>
    <w:rsid w:val="00A56163"/>
    <w:rsid w:val="00A62B5D"/>
    <w:rsid w:val="00A63871"/>
    <w:rsid w:val="00A82BBA"/>
    <w:rsid w:val="00A857FA"/>
    <w:rsid w:val="00A900F6"/>
    <w:rsid w:val="00A90A58"/>
    <w:rsid w:val="00AA0FC3"/>
    <w:rsid w:val="00AA30BB"/>
    <w:rsid w:val="00AA7F89"/>
    <w:rsid w:val="00AB0C39"/>
    <w:rsid w:val="00AB4DC0"/>
    <w:rsid w:val="00AC0C6F"/>
    <w:rsid w:val="00AC4159"/>
    <w:rsid w:val="00AC5E4E"/>
    <w:rsid w:val="00AC6111"/>
    <w:rsid w:val="00AE3E16"/>
    <w:rsid w:val="00AE56DF"/>
    <w:rsid w:val="00AF23F6"/>
    <w:rsid w:val="00B015BA"/>
    <w:rsid w:val="00B12798"/>
    <w:rsid w:val="00B14E98"/>
    <w:rsid w:val="00B1604F"/>
    <w:rsid w:val="00B1690D"/>
    <w:rsid w:val="00B174DD"/>
    <w:rsid w:val="00B2544D"/>
    <w:rsid w:val="00B25643"/>
    <w:rsid w:val="00B30734"/>
    <w:rsid w:val="00B31F44"/>
    <w:rsid w:val="00B41ACE"/>
    <w:rsid w:val="00B42564"/>
    <w:rsid w:val="00B44777"/>
    <w:rsid w:val="00B53F66"/>
    <w:rsid w:val="00B54444"/>
    <w:rsid w:val="00B54987"/>
    <w:rsid w:val="00B55413"/>
    <w:rsid w:val="00B56BD3"/>
    <w:rsid w:val="00B5747E"/>
    <w:rsid w:val="00B6324E"/>
    <w:rsid w:val="00B654DF"/>
    <w:rsid w:val="00B66386"/>
    <w:rsid w:val="00B66914"/>
    <w:rsid w:val="00B73C50"/>
    <w:rsid w:val="00B73E4C"/>
    <w:rsid w:val="00B74417"/>
    <w:rsid w:val="00B77978"/>
    <w:rsid w:val="00B8007B"/>
    <w:rsid w:val="00B84357"/>
    <w:rsid w:val="00B874F7"/>
    <w:rsid w:val="00B877C3"/>
    <w:rsid w:val="00B91FC1"/>
    <w:rsid w:val="00B95549"/>
    <w:rsid w:val="00BA64AF"/>
    <w:rsid w:val="00BD14B9"/>
    <w:rsid w:val="00BD2F25"/>
    <w:rsid w:val="00BE0B8B"/>
    <w:rsid w:val="00BE2622"/>
    <w:rsid w:val="00BF1F86"/>
    <w:rsid w:val="00C0077D"/>
    <w:rsid w:val="00C10139"/>
    <w:rsid w:val="00C11289"/>
    <w:rsid w:val="00C173E0"/>
    <w:rsid w:val="00C24390"/>
    <w:rsid w:val="00C31E80"/>
    <w:rsid w:val="00C33817"/>
    <w:rsid w:val="00C43F1C"/>
    <w:rsid w:val="00C43F58"/>
    <w:rsid w:val="00C705B1"/>
    <w:rsid w:val="00C70601"/>
    <w:rsid w:val="00C71E18"/>
    <w:rsid w:val="00C80465"/>
    <w:rsid w:val="00C8246A"/>
    <w:rsid w:val="00C95A0C"/>
    <w:rsid w:val="00CB69F1"/>
    <w:rsid w:val="00CB7389"/>
    <w:rsid w:val="00CC0F3A"/>
    <w:rsid w:val="00CC3088"/>
    <w:rsid w:val="00CC616A"/>
    <w:rsid w:val="00CC685E"/>
    <w:rsid w:val="00CD575E"/>
    <w:rsid w:val="00CD5DFE"/>
    <w:rsid w:val="00CD661E"/>
    <w:rsid w:val="00CE04F0"/>
    <w:rsid w:val="00CE2C0F"/>
    <w:rsid w:val="00CE34AD"/>
    <w:rsid w:val="00CF329A"/>
    <w:rsid w:val="00CF3A3A"/>
    <w:rsid w:val="00CF592E"/>
    <w:rsid w:val="00D048C2"/>
    <w:rsid w:val="00D05553"/>
    <w:rsid w:val="00D06460"/>
    <w:rsid w:val="00D06F7B"/>
    <w:rsid w:val="00D272B7"/>
    <w:rsid w:val="00D308CD"/>
    <w:rsid w:val="00D30C73"/>
    <w:rsid w:val="00D355A8"/>
    <w:rsid w:val="00D36D68"/>
    <w:rsid w:val="00D3763A"/>
    <w:rsid w:val="00D547B4"/>
    <w:rsid w:val="00D621C3"/>
    <w:rsid w:val="00D66BCF"/>
    <w:rsid w:val="00D74CBC"/>
    <w:rsid w:val="00D860EE"/>
    <w:rsid w:val="00DA4B0B"/>
    <w:rsid w:val="00DA6CF7"/>
    <w:rsid w:val="00DB0950"/>
    <w:rsid w:val="00DB6148"/>
    <w:rsid w:val="00DD0A0D"/>
    <w:rsid w:val="00DD3067"/>
    <w:rsid w:val="00DE49F7"/>
    <w:rsid w:val="00DE542F"/>
    <w:rsid w:val="00DE68D8"/>
    <w:rsid w:val="00DE7DE3"/>
    <w:rsid w:val="00DF04AE"/>
    <w:rsid w:val="00DF103E"/>
    <w:rsid w:val="00DF1640"/>
    <w:rsid w:val="00DF2DD2"/>
    <w:rsid w:val="00DF6944"/>
    <w:rsid w:val="00E00783"/>
    <w:rsid w:val="00E40424"/>
    <w:rsid w:val="00E43D20"/>
    <w:rsid w:val="00E470ED"/>
    <w:rsid w:val="00E56C5F"/>
    <w:rsid w:val="00E57EB9"/>
    <w:rsid w:val="00E711B5"/>
    <w:rsid w:val="00E7768A"/>
    <w:rsid w:val="00E825B8"/>
    <w:rsid w:val="00E903DE"/>
    <w:rsid w:val="00E9543C"/>
    <w:rsid w:val="00EA058C"/>
    <w:rsid w:val="00EA2E90"/>
    <w:rsid w:val="00EA3116"/>
    <w:rsid w:val="00EA4342"/>
    <w:rsid w:val="00EA5031"/>
    <w:rsid w:val="00EA7879"/>
    <w:rsid w:val="00EB5318"/>
    <w:rsid w:val="00EB536B"/>
    <w:rsid w:val="00ED27D4"/>
    <w:rsid w:val="00ED3800"/>
    <w:rsid w:val="00EE2058"/>
    <w:rsid w:val="00EE693B"/>
    <w:rsid w:val="00EF0D3F"/>
    <w:rsid w:val="00EF10F1"/>
    <w:rsid w:val="00EF21FE"/>
    <w:rsid w:val="00EF6BA0"/>
    <w:rsid w:val="00EF7EFB"/>
    <w:rsid w:val="00F017A3"/>
    <w:rsid w:val="00F047CE"/>
    <w:rsid w:val="00F13E15"/>
    <w:rsid w:val="00F23C67"/>
    <w:rsid w:val="00F2576F"/>
    <w:rsid w:val="00F26B12"/>
    <w:rsid w:val="00F31FEA"/>
    <w:rsid w:val="00F476E8"/>
    <w:rsid w:val="00F5713C"/>
    <w:rsid w:val="00F60647"/>
    <w:rsid w:val="00F704BF"/>
    <w:rsid w:val="00F713B1"/>
    <w:rsid w:val="00F71CD6"/>
    <w:rsid w:val="00F750BE"/>
    <w:rsid w:val="00F75388"/>
    <w:rsid w:val="00F80521"/>
    <w:rsid w:val="00F84D35"/>
    <w:rsid w:val="00F8633B"/>
    <w:rsid w:val="00F9266B"/>
    <w:rsid w:val="00F94756"/>
    <w:rsid w:val="00FA0894"/>
    <w:rsid w:val="00FA090B"/>
    <w:rsid w:val="00FA152D"/>
    <w:rsid w:val="00FA600B"/>
    <w:rsid w:val="00FA6733"/>
    <w:rsid w:val="00FC4BE5"/>
    <w:rsid w:val="00FC7FF4"/>
    <w:rsid w:val="00FD746D"/>
    <w:rsid w:val="00FE37E0"/>
    <w:rsid w:val="00FE5EAF"/>
    <w:rsid w:val="00FE76C8"/>
    <w:rsid w:val="00FE7EEE"/>
    <w:rsid w:val="00FF651C"/>
    <w:rsid w:val="014001AC"/>
    <w:rsid w:val="01E414FF"/>
    <w:rsid w:val="02331F5B"/>
    <w:rsid w:val="028B18FB"/>
    <w:rsid w:val="029E1CF3"/>
    <w:rsid w:val="02EE30B6"/>
    <w:rsid w:val="035E171E"/>
    <w:rsid w:val="03C33AB5"/>
    <w:rsid w:val="040A4E42"/>
    <w:rsid w:val="04411538"/>
    <w:rsid w:val="048615DD"/>
    <w:rsid w:val="060C5547"/>
    <w:rsid w:val="06E42523"/>
    <w:rsid w:val="07283BBC"/>
    <w:rsid w:val="07570DF2"/>
    <w:rsid w:val="07660241"/>
    <w:rsid w:val="07ED3E37"/>
    <w:rsid w:val="082D0D5E"/>
    <w:rsid w:val="082F566E"/>
    <w:rsid w:val="083E4D1A"/>
    <w:rsid w:val="08DF3250"/>
    <w:rsid w:val="09B94F9F"/>
    <w:rsid w:val="09E75808"/>
    <w:rsid w:val="0A252635"/>
    <w:rsid w:val="0A8A693C"/>
    <w:rsid w:val="0B3800B6"/>
    <w:rsid w:val="0B952ADC"/>
    <w:rsid w:val="0BCB4B16"/>
    <w:rsid w:val="0BFBFAAA"/>
    <w:rsid w:val="0CC51EAD"/>
    <w:rsid w:val="0CDD71F7"/>
    <w:rsid w:val="0D574724"/>
    <w:rsid w:val="0D8F2A9B"/>
    <w:rsid w:val="0DF76CF0"/>
    <w:rsid w:val="0E116281"/>
    <w:rsid w:val="0E22674B"/>
    <w:rsid w:val="0E963B01"/>
    <w:rsid w:val="0E9E6512"/>
    <w:rsid w:val="0EAA7385"/>
    <w:rsid w:val="0EB6471F"/>
    <w:rsid w:val="0F7C4064"/>
    <w:rsid w:val="0FEB3B29"/>
    <w:rsid w:val="104135F9"/>
    <w:rsid w:val="111807FE"/>
    <w:rsid w:val="116137C7"/>
    <w:rsid w:val="117E41D3"/>
    <w:rsid w:val="121216F1"/>
    <w:rsid w:val="1246139A"/>
    <w:rsid w:val="130C25E4"/>
    <w:rsid w:val="13650CC2"/>
    <w:rsid w:val="13AB531F"/>
    <w:rsid w:val="13FC4E78"/>
    <w:rsid w:val="13FF4C55"/>
    <w:rsid w:val="14757D15"/>
    <w:rsid w:val="147D4A90"/>
    <w:rsid w:val="1491212E"/>
    <w:rsid w:val="14A14FAE"/>
    <w:rsid w:val="15B80793"/>
    <w:rsid w:val="15D26F32"/>
    <w:rsid w:val="15E215CF"/>
    <w:rsid w:val="16227A29"/>
    <w:rsid w:val="16B201C8"/>
    <w:rsid w:val="16D36F75"/>
    <w:rsid w:val="183E3E7C"/>
    <w:rsid w:val="193463F1"/>
    <w:rsid w:val="19EE2754"/>
    <w:rsid w:val="19FA0EA4"/>
    <w:rsid w:val="1B4F15AB"/>
    <w:rsid w:val="1BB9498B"/>
    <w:rsid w:val="1DFB12EB"/>
    <w:rsid w:val="1E3BF0DA"/>
    <w:rsid w:val="1E420AD8"/>
    <w:rsid w:val="1E71154D"/>
    <w:rsid w:val="1E974C77"/>
    <w:rsid w:val="1EE116A5"/>
    <w:rsid w:val="1F2C2D5F"/>
    <w:rsid w:val="1F8613E5"/>
    <w:rsid w:val="1FA92F69"/>
    <w:rsid w:val="1FC14756"/>
    <w:rsid w:val="20410B4E"/>
    <w:rsid w:val="212A0CF4"/>
    <w:rsid w:val="21965A9B"/>
    <w:rsid w:val="223631D9"/>
    <w:rsid w:val="22932910"/>
    <w:rsid w:val="22BD741F"/>
    <w:rsid w:val="22F10EAE"/>
    <w:rsid w:val="23FA1B4B"/>
    <w:rsid w:val="242B611F"/>
    <w:rsid w:val="24636D9B"/>
    <w:rsid w:val="24857EBF"/>
    <w:rsid w:val="24BA7876"/>
    <w:rsid w:val="26121868"/>
    <w:rsid w:val="26325A66"/>
    <w:rsid w:val="26D07D0F"/>
    <w:rsid w:val="26E12642"/>
    <w:rsid w:val="27585E25"/>
    <w:rsid w:val="2787237C"/>
    <w:rsid w:val="27EC7E96"/>
    <w:rsid w:val="28312838"/>
    <w:rsid w:val="28B31C28"/>
    <w:rsid w:val="29C94933"/>
    <w:rsid w:val="2A500BB0"/>
    <w:rsid w:val="2A9A007E"/>
    <w:rsid w:val="2ABC4498"/>
    <w:rsid w:val="2B5C4CDF"/>
    <w:rsid w:val="2B7F799F"/>
    <w:rsid w:val="2B9238D6"/>
    <w:rsid w:val="2BA47EB6"/>
    <w:rsid w:val="2BD31A99"/>
    <w:rsid w:val="2BE850F4"/>
    <w:rsid w:val="2C807B84"/>
    <w:rsid w:val="2C8A69EB"/>
    <w:rsid w:val="2CB52ADF"/>
    <w:rsid w:val="2CDA0C05"/>
    <w:rsid w:val="2D261455"/>
    <w:rsid w:val="2D9318EA"/>
    <w:rsid w:val="2E292214"/>
    <w:rsid w:val="2EA27501"/>
    <w:rsid w:val="2EEE5640"/>
    <w:rsid w:val="2F531CFD"/>
    <w:rsid w:val="2FAD43CD"/>
    <w:rsid w:val="30F5600E"/>
    <w:rsid w:val="3162469E"/>
    <w:rsid w:val="31D070A7"/>
    <w:rsid w:val="32567224"/>
    <w:rsid w:val="33353039"/>
    <w:rsid w:val="34867D43"/>
    <w:rsid w:val="34DF14AF"/>
    <w:rsid w:val="34FD149E"/>
    <w:rsid w:val="350E3D77"/>
    <w:rsid w:val="359027A9"/>
    <w:rsid w:val="35951B6D"/>
    <w:rsid w:val="359F22BA"/>
    <w:rsid w:val="35A31898"/>
    <w:rsid w:val="35D72DDF"/>
    <w:rsid w:val="36164E43"/>
    <w:rsid w:val="36DBEAD9"/>
    <w:rsid w:val="36EE48AF"/>
    <w:rsid w:val="36F40B16"/>
    <w:rsid w:val="3742355C"/>
    <w:rsid w:val="37E33064"/>
    <w:rsid w:val="38013404"/>
    <w:rsid w:val="380305C9"/>
    <w:rsid w:val="3848400B"/>
    <w:rsid w:val="396E2CC4"/>
    <w:rsid w:val="3982668F"/>
    <w:rsid w:val="3992709D"/>
    <w:rsid w:val="39E92488"/>
    <w:rsid w:val="3A7C154E"/>
    <w:rsid w:val="3AAB3F75"/>
    <w:rsid w:val="3AE315CD"/>
    <w:rsid w:val="3C4A1903"/>
    <w:rsid w:val="3C6F3118"/>
    <w:rsid w:val="3C8039B1"/>
    <w:rsid w:val="3CE358B4"/>
    <w:rsid w:val="3CFD7A6F"/>
    <w:rsid w:val="3D017677"/>
    <w:rsid w:val="3D1D5DB9"/>
    <w:rsid w:val="3D9B33F2"/>
    <w:rsid w:val="3DE6F019"/>
    <w:rsid w:val="3DF3D2C3"/>
    <w:rsid w:val="3DFC98A2"/>
    <w:rsid w:val="3E027FBC"/>
    <w:rsid w:val="3E375EB7"/>
    <w:rsid w:val="3E8F6C46"/>
    <w:rsid w:val="3EED0D19"/>
    <w:rsid w:val="3EFD3EF7"/>
    <w:rsid w:val="3F6105E1"/>
    <w:rsid w:val="3F7A7B84"/>
    <w:rsid w:val="3F7B6278"/>
    <w:rsid w:val="3F7FA137"/>
    <w:rsid w:val="3FBA6341"/>
    <w:rsid w:val="3FDF79FA"/>
    <w:rsid w:val="400E791C"/>
    <w:rsid w:val="402A2B77"/>
    <w:rsid w:val="40933B51"/>
    <w:rsid w:val="40BA6517"/>
    <w:rsid w:val="40C17CBA"/>
    <w:rsid w:val="40C94DC1"/>
    <w:rsid w:val="411422B9"/>
    <w:rsid w:val="4206526C"/>
    <w:rsid w:val="42605623"/>
    <w:rsid w:val="42693F02"/>
    <w:rsid w:val="42695622"/>
    <w:rsid w:val="42980EEF"/>
    <w:rsid w:val="42A71DE3"/>
    <w:rsid w:val="42D73111"/>
    <w:rsid w:val="42E268CE"/>
    <w:rsid w:val="435B43F6"/>
    <w:rsid w:val="4392593E"/>
    <w:rsid w:val="44615A3C"/>
    <w:rsid w:val="455D2936"/>
    <w:rsid w:val="467001B9"/>
    <w:rsid w:val="47D046A0"/>
    <w:rsid w:val="4950607F"/>
    <w:rsid w:val="49E656D2"/>
    <w:rsid w:val="4A1D3A8C"/>
    <w:rsid w:val="4A3774D5"/>
    <w:rsid w:val="4A673C54"/>
    <w:rsid w:val="4A8F776F"/>
    <w:rsid w:val="4AD12446"/>
    <w:rsid w:val="4ADD35DB"/>
    <w:rsid w:val="4B6E218B"/>
    <w:rsid w:val="4B83273C"/>
    <w:rsid w:val="4BE45B54"/>
    <w:rsid w:val="4BED4C7B"/>
    <w:rsid w:val="4CD60B0D"/>
    <w:rsid w:val="4D2A29AE"/>
    <w:rsid w:val="4D5C0978"/>
    <w:rsid w:val="4DFF6959"/>
    <w:rsid w:val="4E08517B"/>
    <w:rsid w:val="4E3A0E3B"/>
    <w:rsid w:val="4E4F2DA9"/>
    <w:rsid w:val="4F887899"/>
    <w:rsid w:val="4FAFE429"/>
    <w:rsid w:val="4FC7696F"/>
    <w:rsid w:val="4FCE762F"/>
    <w:rsid w:val="4FE6773D"/>
    <w:rsid w:val="4FFBAF22"/>
    <w:rsid w:val="50112E5F"/>
    <w:rsid w:val="501E6ED7"/>
    <w:rsid w:val="50391857"/>
    <w:rsid w:val="503C13D0"/>
    <w:rsid w:val="510065DD"/>
    <w:rsid w:val="53964C3B"/>
    <w:rsid w:val="54372316"/>
    <w:rsid w:val="543F3687"/>
    <w:rsid w:val="54DA301B"/>
    <w:rsid w:val="555818F4"/>
    <w:rsid w:val="55F50ABA"/>
    <w:rsid w:val="560F2C6C"/>
    <w:rsid w:val="564B02FA"/>
    <w:rsid w:val="56986138"/>
    <w:rsid w:val="56FF174F"/>
    <w:rsid w:val="57883DC5"/>
    <w:rsid w:val="57A203EE"/>
    <w:rsid w:val="57F124D9"/>
    <w:rsid w:val="58262DCD"/>
    <w:rsid w:val="582D6ECD"/>
    <w:rsid w:val="58433BC3"/>
    <w:rsid w:val="58496B09"/>
    <w:rsid w:val="589D0BB5"/>
    <w:rsid w:val="58B8154B"/>
    <w:rsid w:val="5A3E7F6B"/>
    <w:rsid w:val="5BEE2A2D"/>
    <w:rsid w:val="5BFD4B61"/>
    <w:rsid w:val="5BFEEEB9"/>
    <w:rsid w:val="5C3B496D"/>
    <w:rsid w:val="5C835DA4"/>
    <w:rsid w:val="5C9E03A3"/>
    <w:rsid w:val="5CBC4D5E"/>
    <w:rsid w:val="5DA10786"/>
    <w:rsid w:val="5DBD47E8"/>
    <w:rsid w:val="5DC36436"/>
    <w:rsid w:val="5DD906CC"/>
    <w:rsid w:val="5E510478"/>
    <w:rsid w:val="5E5C6742"/>
    <w:rsid w:val="5E766837"/>
    <w:rsid w:val="5EEA09A8"/>
    <w:rsid w:val="5EF332DD"/>
    <w:rsid w:val="5FA267D3"/>
    <w:rsid w:val="5FB711F3"/>
    <w:rsid w:val="5FD34B2E"/>
    <w:rsid w:val="5FE8720C"/>
    <w:rsid w:val="5FF42F2C"/>
    <w:rsid w:val="604E1113"/>
    <w:rsid w:val="614B1509"/>
    <w:rsid w:val="61696FB2"/>
    <w:rsid w:val="627F48F3"/>
    <w:rsid w:val="62A414BE"/>
    <w:rsid w:val="62A72510"/>
    <w:rsid w:val="62F12D86"/>
    <w:rsid w:val="63442359"/>
    <w:rsid w:val="63A22E71"/>
    <w:rsid w:val="63DD3261"/>
    <w:rsid w:val="64075BDA"/>
    <w:rsid w:val="641D4A50"/>
    <w:rsid w:val="651F307E"/>
    <w:rsid w:val="65827169"/>
    <w:rsid w:val="65E240AB"/>
    <w:rsid w:val="667BB839"/>
    <w:rsid w:val="66F703CC"/>
    <w:rsid w:val="68837508"/>
    <w:rsid w:val="68AD73E4"/>
    <w:rsid w:val="6A52203C"/>
    <w:rsid w:val="6AFF00F2"/>
    <w:rsid w:val="6B4E23EA"/>
    <w:rsid w:val="6B9D2F4E"/>
    <w:rsid w:val="6BA936A1"/>
    <w:rsid w:val="6BFB5EC7"/>
    <w:rsid w:val="6C4F1E88"/>
    <w:rsid w:val="6CFEC4DC"/>
    <w:rsid w:val="6D57537F"/>
    <w:rsid w:val="6DBE68FE"/>
    <w:rsid w:val="6DFF33CD"/>
    <w:rsid w:val="6EC82F51"/>
    <w:rsid w:val="6EE7ADAF"/>
    <w:rsid w:val="6F0118FB"/>
    <w:rsid w:val="6F1F51D8"/>
    <w:rsid w:val="6F2F2072"/>
    <w:rsid w:val="6FB6DD6C"/>
    <w:rsid w:val="6FFE7D34"/>
    <w:rsid w:val="70E77AE2"/>
    <w:rsid w:val="70FE448F"/>
    <w:rsid w:val="71164BAB"/>
    <w:rsid w:val="719F5F35"/>
    <w:rsid w:val="71B2527A"/>
    <w:rsid w:val="71F7E6A0"/>
    <w:rsid w:val="72BF6E30"/>
    <w:rsid w:val="72F86CBC"/>
    <w:rsid w:val="73571C35"/>
    <w:rsid w:val="736F14B1"/>
    <w:rsid w:val="736F2F6C"/>
    <w:rsid w:val="738E51DF"/>
    <w:rsid w:val="73A11102"/>
    <w:rsid w:val="73BFEAD0"/>
    <w:rsid w:val="73FB740F"/>
    <w:rsid w:val="741FC724"/>
    <w:rsid w:val="74546174"/>
    <w:rsid w:val="7479E77C"/>
    <w:rsid w:val="74FF145C"/>
    <w:rsid w:val="74FF42C9"/>
    <w:rsid w:val="757C7081"/>
    <w:rsid w:val="75DF4163"/>
    <w:rsid w:val="76420A34"/>
    <w:rsid w:val="76D96E05"/>
    <w:rsid w:val="76F16235"/>
    <w:rsid w:val="77204A34"/>
    <w:rsid w:val="776C1A27"/>
    <w:rsid w:val="77A4EA1F"/>
    <w:rsid w:val="77D238E5"/>
    <w:rsid w:val="77EE41A8"/>
    <w:rsid w:val="77FCD03E"/>
    <w:rsid w:val="77FFA9B4"/>
    <w:rsid w:val="787F133D"/>
    <w:rsid w:val="78EA00BA"/>
    <w:rsid w:val="78FE1B0C"/>
    <w:rsid w:val="79EE5AD5"/>
    <w:rsid w:val="7A2741E7"/>
    <w:rsid w:val="7A54214E"/>
    <w:rsid w:val="7A6390F1"/>
    <w:rsid w:val="7AB076DD"/>
    <w:rsid w:val="7AF577F4"/>
    <w:rsid w:val="7B8228A1"/>
    <w:rsid w:val="7BB3A749"/>
    <w:rsid w:val="7BD858DD"/>
    <w:rsid w:val="7BDF910D"/>
    <w:rsid w:val="7C0B5CB2"/>
    <w:rsid w:val="7C2A605D"/>
    <w:rsid w:val="7C776B7F"/>
    <w:rsid w:val="7CE612DD"/>
    <w:rsid w:val="7E062060"/>
    <w:rsid w:val="7E283678"/>
    <w:rsid w:val="7EE54B20"/>
    <w:rsid w:val="7F3DFEC3"/>
    <w:rsid w:val="7F7211B1"/>
    <w:rsid w:val="7F8C710A"/>
    <w:rsid w:val="7FBD3767"/>
    <w:rsid w:val="7FDFEE12"/>
    <w:rsid w:val="7FF8DCFF"/>
    <w:rsid w:val="7FFB2D61"/>
    <w:rsid w:val="8F7F6C89"/>
    <w:rsid w:val="9D5B4DCC"/>
    <w:rsid w:val="9E5D5468"/>
    <w:rsid w:val="AECF8EB8"/>
    <w:rsid w:val="AFDB387C"/>
    <w:rsid w:val="B9DFFFCA"/>
    <w:rsid w:val="BFFB478C"/>
    <w:rsid w:val="CBD7EFDC"/>
    <w:rsid w:val="CFFA544B"/>
    <w:rsid w:val="D5CF1924"/>
    <w:rsid w:val="D7E1D983"/>
    <w:rsid w:val="DAB79E35"/>
    <w:rsid w:val="DBFF8918"/>
    <w:rsid w:val="DF5B7DBF"/>
    <w:rsid w:val="DFB7F630"/>
    <w:rsid w:val="DFF3FF19"/>
    <w:rsid w:val="E77F46BC"/>
    <w:rsid w:val="EFD7603F"/>
    <w:rsid w:val="F2FD01AC"/>
    <w:rsid w:val="F5CC22F8"/>
    <w:rsid w:val="F6A1191E"/>
    <w:rsid w:val="F6AFAA41"/>
    <w:rsid w:val="F7E09A21"/>
    <w:rsid w:val="F9FBA920"/>
    <w:rsid w:val="FAF78A88"/>
    <w:rsid w:val="FBAB11D8"/>
    <w:rsid w:val="FBB79D8F"/>
    <w:rsid w:val="FBFFB937"/>
    <w:rsid w:val="FCFED367"/>
    <w:rsid w:val="FD4F8473"/>
    <w:rsid w:val="FDCBB794"/>
    <w:rsid w:val="FDF9C27A"/>
    <w:rsid w:val="FEAD6725"/>
    <w:rsid w:val="FEB20FE4"/>
    <w:rsid w:val="FEFD5DE1"/>
    <w:rsid w:val="FF2E4444"/>
    <w:rsid w:val="FF7D41BC"/>
    <w:rsid w:val="FF976001"/>
    <w:rsid w:val="FFBD98DC"/>
    <w:rsid w:val="FFD719EE"/>
    <w:rsid w:val="FFDF03EA"/>
    <w:rsid w:val="FFEFBEA3"/>
    <w:rsid w:val="FFF7A456"/>
    <w:rsid w:val="FFF93317"/>
    <w:rsid w:val="FFFEAC0E"/>
    <w:rsid w:val="FFFF2E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emailstyle15"/>
    <w:basedOn w:val="11"/>
    <w:qFormat/>
    <w:uiPriority w:val="0"/>
    <w:rPr>
      <w:rFonts w:hint="eastAsia" w:ascii="等线" w:hAnsi="等线" w:eastAsia="等线" w:cs="Times New Roman"/>
      <w:color w:val="auto"/>
      <w:sz w:val="21"/>
      <w:szCs w:val="22"/>
    </w:rPr>
  </w:style>
  <w:style w:type="character" w:customStyle="1" w:styleId="19">
    <w:name w:val="批注文字 字符"/>
    <w:basedOn w:val="11"/>
    <w:link w:val="3"/>
    <w:semiHidden/>
    <w:qFormat/>
    <w:uiPriority w:val="99"/>
    <w:rPr>
      <w:rFonts w:asciiTheme="minorHAnsi" w:hAnsiTheme="minorHAnsi" w:eastAsiaTheme="minorEastAsia" w:cstheme="minorBidi"/>
      <w:kern w:val="2"/>
      <w:sz w:val="21"/>
      <w:szCs w:val="22"/>
    </w:rPr>
  </w:style>
  <w:style w:type="character" w:customStyle="1" w:styleId="20">
    <w:name w:val="批注主题 字符"/>
    <w:basedOn w:val="19"/>
    <w:link w:val="8"/>
    <w:semiHidden/>
    <w:qFormat/>
    <w:uiPriority w:val="99"/>
    <w:rPr>
      <w:rFonts w:asciiTheme="minorHAnsi" w:hAnsiTheme="minorHAnsi" w:eastAsiaTheme="minorEastAsia" w:cstheme="minorBidi"/>
      <w:b/>
      <w:bCs/>
      <w:kern w:val="2"/>
      <w:sz w:val="21"/>
      <w:szCs w:val="22"/>
    </w:rPr>
  </w:style>
  <w:style w:type="character" w:customStyle="1" w:styleId="21">
    <w:name w:val="批注框文本 字符"/>
    <w:basedOn w:val="11"/>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0C04349D-2D2E-4E97-A4A3-18E5A0C7E238}">
  <ds:schemaRefs/>
</ds:datastoreItem>
</file>

<file path=docProps/app.xml><?xml version="1.0" encoding="utf-8"?>
<Properties xmlns="http://schemas.openxmlformats.org/officeDocument/2006/extended-properties" xmlns:vt="http://schemas.openxmlformats.org/officeDocument/2006/docPropsVTypes">
  <Company>P R C</Company>
  <Pages>4</Pages>
  <Words>2180</Words>
  <Characters>2290</Characters>
  <Lines>21</Lines>
  <Paragraphs>5</Paragraphs>
  <TotalTime>0</TotalTime>
  <ScaleCrop>false</ScaleCrop>
  <LinksUpToDate>false</LinksUpToDate>
  <CharactersWithSpaces>2339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2024-04-05T10:13:00Z</dcterms:created>
  <dc:creator>秦誉文</dc:creator>
  <cp:lastModifiedBy>Yu Fan</cp:lastModifiedBy>
  <dcterms:modified xsi:type="dcterms:W3CDTF">2025-09-29T03:56:51Z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eyJoZGlkIjoiOWNhZjVkOGM4MzRkZDQ2Y2IyZjIyODljYjcyOGJhYjciLCJ1c2VySWQiOiIyNTYzMDc2NDQifQ==</vt:lpwstr>
  </property>
  <property fmtid="{D5CDD505-2E9C-101B-9397-08002B2CF9AE}" pid="4" name="ICV">
    <vt:lpwstr>B52BA013761B46F4BB585B9FE29F8397_12</vt:lpwstr>
  </property>
</Properties>
</file>