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AEC5C"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bCs/>
          <w:iCs/>
          <w:color w:val="000000"/>
          <w:sz w:val="24"/>
        </w:rPr>
        <w:t>证券代码：688</w:t>
      </w:r>
      <w:r>
        <w:rPr>
          <w:rFonts w:ascii="宋体" w:hAnsi="宋体" w:eastAsia="宋体"/>
          <w:bCs/>
          <w:iCs/>
          <w:color w:val="000000"/>
          <w:sz w:val="24"/>
        </w:rPr>
        <w:t>717</w:t>
      </w:r>
      <w:r>
        <w:rPr>
          <w:rFonts w:hint="eastAsia" w:ascii="宋体" w:hAnsi="宋体" w:eastAsia="宋体"/>
          <w:bCs/>
          <w:iCs/>
          <w:color w:val="000000"/>
          <w:sz w:val="24"/>
        </w:rPr>
        <w:t xml:space="preserve"> 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</w:t>
      </w:r>
      <w:r>
        <w:rPr>
          <w:rFonts w:hint="eastAsia" w:ascii="宋体" w:hAnsi="宋体" w:eastAsia="宋体"/>
          <w:bCs/>
          <w:iCs/>
          <w:color w:val="000000"/>
          <w:sz w:val="24"/>
        </w:rPr>
        <w:t xml:space="preserve">  证券简称：艾罗能源</w:t>
      </w:r>
    </w:p>
    <w:p w14:paraId="702CA7F1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浙江艾罗网络能源技术股份有限公司</w:t>
      </w:r>
    </w:p>
    <w:p w14:paraId="2E26A963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29B86FE6">
      <w:pPr>
        <w:spacing w:line="400" w:lineRule="exact"/>
        <w:rPr>
          <w:rFonts w:hint="eastAsia" w:ascii="宋体" w:hAnsi="宋体" w:eastAsiaTheme="minorEastAsia"/>
          <w:bCs/>
          <w:iCs/>
          <w:color w:val="000000"/>
          <w:sz w:val="24"/>
          <w:lang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编号：202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Cs/>
          <w:iCs/>
          <w:color w:val="000000"/>
          <w:sz w:val="24"/>
        </w:rPr>
        <w:t>-</w:t>
      </w:r>
      <w:r>
        <w:rPr>
          <w:rFonts w:ascii="宋体" w:hAnsi="宋体"/>
          <w:bCs/>
          <w:iCs/>
          <w:color w:val="000000"/>
          <w:sz w:val="24"/>
        </w:rPr>
        <w:t>00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03DE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B357DEC">
            <w:pPr>
              <w:spacing w:line="480" w:lineRule="atLeast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</w:tcPr>
          <w:p w14:paraId="19D732FD"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分析师会议</w:t>
            </w:r>
          </w:p>
          <w:p w14:paraId="2BC8E4A7"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媒体采访  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业绩说明会</w:t>
            </w:r>
          </w:p>
          <w:p w14:paraId="5E637D8D"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新闻发布会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路演活动</w:t>
            </w:r>
          </w:p>
          <w:p w14:paraId="20D866B8">
            <w:pPr>
              <w:tabs>
                <w:tab w:val="left" w:pos="2690"/>
                <w:tab w:val="center" w:pos="3199"/>
              </w:tabs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现场参观  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电话会议</w:t>
            </w:r>
          </w:p>
          <w:p w14:paraId="423DC6A0"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  <w:t>其他 （请文字说明其他活动内容）</w:t>
            </w:r>
          </w:p>
        </w:tc>
      </w:tr>
      <w:tr w14:paraId="76B7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08" w:type="dxa"/>
            <w:vAlign w:val="center"/>
          </w:tcPr>
          <w:p w14:paraId="3757E0A3">
            <w:pPr>
              <w:spacing w:line="480" w:lineRule="atLeast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参与单位名称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及人员姓名</w:t>
            </w:r>
          </w:p>
        </w:tc>
        <w:tc>
          <w:tcPr>
            <w:tcW w:w="6614" w:type="dxa"/>
            <w:vAlign w:val="center"/>
          </w:tcPr>
          <w:p w14:paraId="059FD7CC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通过上海证券交易所上证路演中心参与公司2025年半年度业绩说明会的投资者</w:t>
            </w:r>
          </w:p>
        </w:tc>
      </w:tr>
      <w:tr w14:paraId="3AAD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908" w:type="dxa"/>
            <w:vAlign w:val="center"/>
          </w:tcPr>
          <w:p w14:paraId="5D386762">
            <w:pPr>
              <w:spacing w:line="480" w:lineRule="atLeast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</w:tcPr>
          <w:p w14:paraId="2A962428">
            <w:pPr>
              <w:spacing w:line="480" w:lineRule="atLeast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星期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午 1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:00-1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:00</w:t>
            </w:r>
          </w:p>
        </w:tc>
      </w:tr>
      <w:tr w14:paraId="0E27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908" w:type="dxa"/>
            <w:vAlign w:val="center"/>
          </w:tcPr>
          <w:p w14:paraId="0CA2294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vAlign w:val="center"/>
          </w:tcPr>
          <w:p w14:paraId="0A2F1C16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上海证券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交易所上证路演中心</w:t>
            </w:r>
          </w:p>
          <w:p w14:paraId="59190B8F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网址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：https://roadshow.sseinfo.com）</w:t>
            </w:r>
          </w:p>
        </w:tc>
      </w:tr>
      <w:tr w14:paraId="5E5A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E56755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上市公司接待</w:t>
            </w:r>
          </w:p>
          <w:p w14:paraId="3526982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614" w:type="dxa"/>
            <w:vAlign w:val="center"/>
          </w:tcPr>
          <w:p w14:paraId="0C92BC9E"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董事长、总经理：李新富先生</w:t>
            </w:r>
          </w:p>
          <w:p w14:paraId="2C5E38F8"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董事会秘书：盛建富先生</w:t>
            </w:r>
          </w:p>
          <w:p w14:paraId="325908D6"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财务总监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闫强先生</w:t>
            </w:r>
          </w:p>
          <w:p w14:paraId="2220D240"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独立董事：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邹盛武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先生</w:t>
            </w:r>
          </w:p>
        </w:tc>
      </w:tr>
      <w:tr w14:paraId="19D3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1339C959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1F586925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14:paraId="75E50047">
            <w:pPr>
              <w:pStyle w:val="14"/>
              <w:spacing w:after="157" w:afterLines="50"/>
              <w:ind w:firstLine="482"/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</w:rPr>
              <w:t>一、</w:t>
            </w:r>
            <w:r>
              <w:rPr>
                <w:rFonts w:hint="eastAsia" w:ascii="宋体" w:hAnsi="宋体" w:cs="宋体"/>
                <w:b/>
                <w:bCs w:val="0"/>
                <w:lang w:val="en-US" w:eastAsia="zh-CN"/>
              </w:rPr>
              <w:t>2025年半年度</w:t>
            </w: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概述</w:t>
            </w:r>
          </w:p>
          <w:p w14:paraId="45CDD0C8">
            <w:pPr>
              <w:pStyle w:val="14"/>
              <w:spacing w:after="157" w:afterLines="50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上半年，公司实现营业收入180,670.49万元，同比增长14.09%；归属于上市公司股东的净利润14,178.36万元，同比增长37.65%；归属于上市公司股东的扣除非经常性损益的净利润10,491.01万元，同比增长59.53%；研发投入31,891.80万元，同比增长34.08%。报告期内，公司毛利率为33.57%，较上年同期减少4.69个百分点。</w:t>
            </w:r>
          </w:p>
          <w:p w14:paraId="6AAA9318">
            <w:pPr>
              <w:pStyle w:val="14"/>
              <w:spacing w:after="157" w:afterLines="50"/>
              <w:ind w:firstLine="482"/>
              <w:rPr>
                <w:rFonts w:ascii="宋体" w:hAnsi="宋体" w:cs="宋体"/>
                <w:b/>
                <w:bCs w:val="0"/>
              </w:rPr>
            </w:pPr>
            <w:r>
              <w:rPr>
                <w:rFonts w:hint="eastAsia" w:ascii="宋体" w:hAnsi="宋体" w:cs="宋体"/>
                <w:b/>
                <w:bCs w:val="0"/>
              </w:rPr>
              <w:t>二、互动交流环节</w:t>
            </w:r>
          </w:p>
          <w:p w14:paraId="6ED84B18">
            <w:pPr>
              <w:pStyle w:val="14"/>
              <w:spacing w:after="157" w:afterLines="50"/>
              <w:ind w:firstLine="482"/>
              <w:rPr>
                <w:rFonts w:ascii="宋体" w:hAnsi="宋体" w:cs="宋体"/>
                <w:b/>
                <w:bCs w:val="0"/>
              </w:rPr>
            </w:pPr>
            <w:r>
              <w:rPr>
                <w:rFonts w:hint="eastAsia" w:ascii="宋体" w:hAnsi="宋体" w:cs="宋体"/>
                <w:b/>
                <w:bCs w:val="0"/>
              </w:rPr>
              <w:t>1：请问公司在固态电池方面有没有研发相关产品的计划？</w:t>
            </w:r>
          </w:p>
          <w:p w14:paraId="6B9BAF2B">
            <w:pPr>
              <w:pStyle w:val="14"/>
              <w:spacing w:after="157" w:afterLines="50"/>
              <w:ind w:firstLine="482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尊敬的投资者您好，公司采用外购电芯和自主研发电池管理系统（BMS）相结合的策略。公司研发会紧跟电池技术发展，密切关注电池技术的发展及应用。感谢您的关注！</w:t>
            </w:r>
          </w:p>
          <w:p w14:paraId="7DA38777">
            <w:pPr>
              <w:pStyle w:val="14"/>
              <w:spacing w:after="157" w:afterLines="50"/>
              <w:ind w:firstLine="482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</w:rPr>
              <w:t>2</w:t>
            </w:r>
            <w:r>
              <w:rPr>
                <w:rFonts w:hint="eastAsia" w:ascii="宋体" w:hAnsi="宋体" w:cs="宋体"/>
                <w:b/>
                <w:lang w:eastAsia="zh-CN"/>
              </w:rPr>
              <w:t>：工商业储能业务目前收入占比多少？</w:t>
            </w:r>
          </w:p>
          <w:p w14:paraId="7FB2CDB0">
            <w:pPr>
              <w:pStyle w:val="14"/>
              <w:spacing w:after="157" w:afterLines="50"/>
              <w:ind w:firstLine="482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eastAsia="zh-CN"/>
              </w:rPr>
              <w:t>尊敬的投资者您好，2025年上半年，公司工商业储能系统营业收入246,251,750.88元，占营业收入的13.63%。</w:t>
            </w:r>
          </w:p>
          <w:p w14:paraId="2ECB3A0A">
            <w:pPr>
              <w:pStyle w:val="14"/>
              <w:spacing w:after="157" w:afterLines="50"/>
              <w:ind w:firstLine="482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3</w:t>
            </w:r>
            <w:r>
              <w:rPr>
                <w:rFonts w:ascii="宋体" w:hAnsi="宋体" w:cs="宋体"/>
                <w:b/>
              </w:rPr>
              <w:t>：请问公司未来的分红计划？</w:t>
            </w:r>
          </w:p>
          <w:p w14:paraId="6D945AC4">
            <w:pPr>
              <w:pStyle w:val="14"/>
              <w:spacing w:after="157" w:afterLines="50"/>
              <w:ind w:firstLine="482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尊敬的投资者您好，股东大会授权董事会在2025年第三季度报告后，在符合分红条件以及不影响公司正常经营和持续发展的情况下，制定并实施具体的现金分红方案，分红总金额不低于人民币150,000,000元，上限不超过180,000,000元。</w:t>
            </w:r>
          </w:p>
          <w:p w14:paraId="768D8509">
            <w:pPr>
              <w:pStyle w:val="14"/>
              <w:spacing w:after="157" w:afterLines="50"/>
              <w:ind w:firstLine="482"/>
              <w:rPr>
                <w:rFonts w:ascii="宋体" w:hAnsi="宋体" w:cs="宋体"/>
                <w:b/>
              </w:rPr>
            </w:pPr>
            <w:r>
              <w:rPr>
                <w:rFonts w:hint="default" w:ascii="宋体" w:hAnsi="宋体" w:cs="宋体"/>
                <w:b/>
              </w:rPr>
              <w:t>4</w:t>
            </w:r>
            <w:r>
              <w:rPr>
                <w:rFonts w:hint="eastAsia" w:ascii="宋体" w:hAnsi="宋体" w:cs="宋体"/>
                <w:b/>
              </w:rPr>
              <w:t>：请问今年下半年业务方面是否有新的战略规划?</w:t>
            </w:r>
          </w:p>
          <w:p w14:paraId="401F34D4">
            <w:pPr>
              <w:pStyle w:val="14"/>
              <w:spacing w:after="157" w:afterLines="50"/>
              <w:ind w:firstLine="48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尊敬的投资者您好，公司将继续以“成熟+新兴”市场双轮驱动，深化全球布局。以技术驱动、场景导向为战略路径，致力于为不同应用领域提供智能化、可持续的能源解决方案。不断升级公司产品矩阵，覆盖户用住宅、工商业、地面电站、光储充等多元化应用场景。</w:t>
            </w:r>
          </w:p>
          <w:p w14:paraId="6888C678">
            <w:pPr>
              <w:pStyle w:val="14"/>
              <w:spacing w:after="157" w:afterLines="50"/>
              <w:ind w:firstLine="482" w:firstLineChars="200"/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lang w:val="en-US" w:eastAsia="zh-CN"/>
              </w:rPr>
              <w:t>5：请问贵公司2025年上半年在研发创新方面取得了哪些新突破？</w:t>
            </w:r>
          </w:p>
          <w:p w14:paraId="6A09C5CD">
            <w:pPr>
              <w:pStyle w:val="14"/>
              <w:spacing w:after="157" w:afterLines="50"/>
              <w:ind w:firstLine="48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2025年上半年，公司始终以技术创新驱动产品创新，持续保持高比例研发投入，不断巩固并提高核心竞争力。2025年上半年，公司研发投入合计31,891.80万元，较上年同期增长34.08%，研发费用占营业收入比例为17.65%。2025年上半年，公司新增授权专利99项。  </w:t>
            </w:r>
          </w:p>
          <w:p w14:paraId="1370FFAE">
            <w:pPr>
              <w:pStyle w:val="14"/>
              <w:spacing w:after="157" w:afterLines="50"/>
              <w:ind w:firstLine="480" w:firstLineChars="200"/>
            </w:pPr>
            <w:r>
              <w:rPr>
                <w:rFonts w:hint="eastAsia" w:ascii="宋体" w:hAnsi="宋体" w:cs="宋体"/>
              </w:rPr>
              <w:t>2025年上半年，根据市场发展需要，公司对原有产品进行更新换代，完成了对HS51、X3-FTH、X3-MIC-G2、X3-PRO-G2等多款机型的优化和升级，不断提升产品性能和市场竞争力。同时，公司推出了GRAND系列地面电站产品、TRENA系列液冷工商业储能一体机系统、X3-FORTH-PLUS三相工商业并网逆变器等新产品，持续丰富产品线及产品应用场景。</w:t>
            </w:r>
          </w:p>
        </w:tc>
      </w:tr>
      <w:tr w14:paraId="1777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8" w:type="dxa"/>
            <w:vAlign w:val="center"/>
          </w:tcPr>
          <w:p w14:paraId="4254F622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 xml:space="preserve">附件清单（如有） </w:t>
            </w:r>
          </w:p>
        </w:tc>
        <w:tc>
          <w:tcPr>
            <w:tcW w:w="6614" w:type="dxa"/>
            <w:vAlign w:val="center"/>
          </w:tcPr>
          <w:p w14:paraId="55FE0077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无</w:t>
            </w:r>
          </w:p>
        </w:tc>
      </w:tr>
      <w:tr w14:paraId="3FC6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B401EF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vAlign w:val="center"/>
          </w:tcPr>
          <w:p w14:paraId="6292EE68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09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AC81CAA">
      <w:pPr>
        <w:spacing w:before="15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NjgwYzhkNzUzNGYwMmYxYjlkYmUzZDgzN2FkYzQifQ=="/>
  </w:docVars>
  <w:rsids>
    <w:rsidRoot w:val="00212596"/>
    <w:rsid w:val="000141DF"/>
    <w:rsid w:val="000569A8"/>
    <w:rsid w:val="000A64AF"/>
    <w:rsid w:val="000D119F"/>
    <w:rsid w:val="000E097B"/>
    <w:rsid w:val="001002B3"/>
    <w:rsid w:val="001936BE"/>
    <w:rsid w:val="001C717B"/>
    <w:rsid w:val="00203B33"/>
    <w:rsid w:val="00212596"/>
    <w:rsid w:val="00233385"/>
    <w:rsid w:val="00235884"/>
    <w:rsid w:val="002D7942"/>
    <w:rsid w:val="00367ABA"/>
    <w:rsid w:val="00533373"/>
    <w:rsid w:val="00591B49"/>
    <w:rsid w:val="005D688C"/>
    <w:rsid w:val="00625942"/>
    <w:rsid w:val="00655A66"/>
    <w:rsid w:val="006633A4"/>
    <w:rsid w:val="006E44BD"/>
    <w:rsid w:val="007036C6"/>
    <w:rsid w:val="00780008"/>
    <w:rsid w:val="00906857"/>
    <w:rsid w:val="00946262"/>
    <w:rsid w:val="0094708C"/>
    <w:rsid w:val="009C5E4C"/>
    <w:rsid w:val="009D4471"/>
    <w:rsid w:val="00A927FC"/>
    <w:rsid w:val="00B37768"/>
    <w:rsid w:val="00BB4057"/>
    <w:rsid w:val="00BC55AA"/>
    <w:rsid w:val="00C250C2"/>
    <w:rsid w:val="00C77A56"/>
    <w:rsid w:val="00C81BA3"/>
    <w:rsid w:val="00CB2C0F"/>
    <w:rsid w:val="00D027FF"/>
    <w:rsid w:val="00D0386A"/>
    <w:rsid w:val="00D33CBC"/>
    <w:rsid w:val="00E110DD"/>
    <w:rsid w:val="00E135A7"/>
    <w:rsid w:val="00E765F9"/>
    <w:rsid w:val="00F104DA"/>
    <w:rsid w:val="00F14E23"/>
    <w:rsid w:val="00F90A89"/>
    <w:rsid w:val="058B5BFA"/>
    <w:rsid w:val="070103DE"/>
    <w:rsid w:val="0CF17508"/>
    <w:rsid w:val="10A36062"/>
    <w:rsid w:val="11B06C88"/>
    <w:rsid w:val="12730793"/>
    <w:rsid w:val="173F1776"/>
    <w:rsid w:val="1CE60452"/>
    <w:rsid w:val="232835D2"/>
    <w:rsid w:val="246145D2"/>
    <w:rsid w:val="2879797C"/>
    <w:rsid w:val="2E8E3E8D"/>
    <w:rsid w:val="308B1A91"/>
    <w:rsid w:val="4558537D"/>
    <w:rsid w:val="458E5E13"/>
    <w:rsid w:val="4D051439"/>
    <w:rsid w:val="55482CE8"/>
    <w:rsid w:val="57593625"/>
    <w:rsid w:val="62035F2D"/>
    <w:rsid w:val="63F46950"/>
    <w:rsid w:val="6A9B2045"/>
    <w:rsid w:val="6CA361EE"/>
    <w:rsid w:val="6CCB3AEB"/>
    <w:rsid w:val="71443336"/>
    <w:rsid w:val="76380CDE"/>
    <w:rsid w:val="76413A55"/>
    <w:rsid w:val="76BA2073"/>
    <w:rsid w:val="7BD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after="50" w:afterLines="5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after="50" w:afterLines="50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文件一级标题"/>
    <w:basedOn w:val="1"/>
    <w:autoRedefine/>
    <w:qFormat/>
    <w:uiPriority w:val="0"/>
    <w:pPr>
      <w:keepNext/>
      <w:keepLines/>
      <w:pageBreakBefore/>
      <w:spacing w:after="50" w:afterLines="50"/>
      <w:jc w:val="left"/>
      <w:outlineLvl w:val="0"/>
    </w:pPr>
    <w:rPr>
      <w:rFonts w:eastAsia="黑体"/>
      <w:b/>
      <w:bCs/>
      <w:sz w:val="32"/>
      <w:szCs w:val="28"/>
    </w:rPr>
  </w:style>
  <w:style w:type="paragraph" w:customStyle="1" w:styleId="10">
    <w:name w:val="001-文件一级标题"/>
    <w:basedOn w:val="1"/>
    <w:autoRedefine/>
    <w:qFormat/>
    <w:uiPriority w:val="0"/>
    <w:pPr>
      <w:keepNext/>
      <w:keepLines/>
      <w:pageBreakBefore/>
      <w:spacing w:after="50" w:afterLines="50"/>
      <w:jc w:val="left"/>
      <w:outlineLvl w:val="0"/>
    </w:pPr>
    <w:rPr>
      <w:rFonts w:eastAsia="黑体"/>
      <w:b/>
      <w:bCs/>
      <w:sz w:val="32"/>
      <w:szCs w:val="28"/>
    </w:rPr>
  </w:style>
  <w:style w:type="character" w:customStyle="1" w:styleId="11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autoRedefine/>
    <w:semiHidden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paragraph" w:styleId="13">
    <w:name w:val="No Spacing"/>
    <w:autoRedefine/>
    <w:qFormat/>
    <w:uiPriority w:val="1"/>
    <w:pPr>
      <w:jc w:val="both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  <w14:ligatures w14:val="standardContextual"/>
    </w:rPr>
  </w:style>
  <w:style w:type="paragraph" w:customStyle="1" w:styleId="14">
    <w:name w:val="005正文"/>
    <w:autoRedefine/>
    <w:qFormat/>
    <w:uiPriority w:val="99"/>
    <w:pPr>
      <w:widowControl w:val="0"/>
      <w:spacing w:before="156" w:beforeLines="50" w:line="360" w:lineRule="auto"/>
      <w:ind w:firstLine="480" w:firstLineChars="200"/>
      <w:jc w:val="both"/>
    </w:pPr>
    <w:rPr>
      <w:rFonts w:ascii="Times New Roman" w:hAnsi="Times New Roman" w:eastAsia="宋体" w:cs="Times New Roman"/>
      <w:bCs/>
      <w:kern w:val="2"/>
      <w:sz w:val="24"/>
      <w:szCs w:val="24"/>
      <w:lang w:val="en-US" w:eastAsia="zh-CN" w:bidi="ar-SA"/>
    </w:rPr>
  </w:style>
  <w:style w:type="character" w:customStyle="1" w:styleId="15">
    <w:name w:val="批注框文本 字符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1087</Words>
  <Characters>1341</Characters>
  <Lines>12</Lines>
  <Paragraphs>3</Paragraphs>
  <TotalTime>38</TotalTime>
  <ScaleCrop>false</ScaleCrop>
  <LinksUpToDate>false</LinksUpToDate>
  <CharactersWithSpaces>1480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2024-01-17T06:42:00Z</dcterms:created>
  <dc:creator>Songxh</dc:creator>
  <cp:lastModifiedBy>wt</cp:lastModifiedBy>
  <dcterms:modified xsi:type="dcterms:W3CDTF">2025-09-30T06:49:29Z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6C0E359DD3CF4F468BB5D4B021A53C3A_12</vt:lpwstr>
  </property>
  <property fmtid="{D5CDD505-2E9C-101B-9397-08002B2CF9AE}" pid="4" name="KSOTemplateDocerSaveRecord">
    <vt:lpwstr>eyJoZGlkIjoiNWI0OWJiNTE0MmMxMmNlM2VkOWM5ZTlkNmJiZGM1ZDgiLCJ1c2VySWQiOiIyMDkzNjAzNDYifQ==</vt:lpwstr>
  </property>
</Properties>
</file>