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07E82" w14:textId="77777777" w:rsidR="003B4658" w:rsidRDefault="00000000">
      <w:pPr>
        <w:spacing w:afterLines="50" w:after="156" w:line="400" w:lineRule="exact"/>
        <w:jc w:val="center"/>
        <w:rPr>
          <w:rFonts w:cs="方正小标宋_GBK"/>
          <w:b/>
          <w:bCs/>
          <w:iCs/>
          <w:color w:val="000000"/>
          <w:sz w:val="24"/>
        </w:rPr>
      </w:pPr>
      <w:r>
        <w:rPr>
          <w:rFonts w:cs="方正小标宋_GBK" w:hint="eastAsia"/>
          <w:b/>
          <w:bCs/>
          <w:iCs/>
          <w:color w:val="000000"/>
          <w:sz w:val="24"/>
        </w:rPr>
        <w:t>证券代码：</w:t>
      </w:r>
      <w:r>
        <w:rPr>
          <w:rFonts w:cs="方正小标宋_GBK" w:hint="eastAsia"/>
          <w:b/>
          <w:bCs/>
          <w:iCs/>
          <w:color w:val="000000"/>
          <w:sz w:val="24"/>
        </w:rPr>
        <w:t>60</w:t>
      </w:r>
      <w:r>
        <w:rPr>
          <w:rFonts w:cs="方正小标宋_GBK"/>
          <w:b/>
          <w:bCs/>
          <w:iCs/>
          <w:color w:val="000000"/>
          <w:sz w:val="24"/>
        </w:rPr>
        <w:t>0970</w:t>
      </w:r>
      <w:r>
        <w:rPr>
          <w:rFonts w:cs="方正小标宋_GBK" w:hint="eastAsia"/>
          <w:b/>
          <w:bCs/>
          <w:iCs/>
          <w:color w:val="000000"/>
          <w:sz w:val="24"/>
        </w:rPr>
        <w:t xml:space="preserve">                                    </w:t>
      </w:r>
      <w:r>
        <w:rPr>
          <w:rFonts w:cs="方正小标宋_GBK" w:hint="eastAsia"/>
          <w:b/>
          <w:bCs/>
          <w:iCs/>
          <w:color w:val="000000"/>
          <w:sz w:val="24"/>
        </w:rPr>
        <w:t>证券简称：中材国际</w:t>
      </w:r>
    </w:p>
    <w:p w14:paraId="34822149" w14:textId="77777777" w:rsidR="003B4658" w:rsidRDefault="00000000">
      <w:pPr>
        <w:spacing w:beforeLines="150" w:before="468" w:afterLines="50" w:after="156" w:line="400" w:lineRule="exact"/>
        <w:jc w:val="center"/>
        <w:rPr>
          <w:rFonts w:ascii="方正小标宋_GBK" w:eastAsia="方正小标宋_GBK" w:hAnsi="方正小标宋_GBK" w:cs="方正小标宋_GBK" w:hint="eastAsia"/>
          <w:bCs/>
          <w:iCs/>
          <w:color w:val="000000"/>
          <w:sz w:val="32"/>
          <w:szCs w:val="32"/>
        </w:rPr>
      </w:pPr>
      <w:r>
        <w:rPr>
          <w:rFonts w:ascii="方正小标宋_GBK" w:eastAsia="方正小标宋_GBK" w:hAnsi="方正小标宋_GBK" w:cs="方正小标宋_GBK" w:hint="eastAsia"/>
          <w:bCs/>
          <w:iCs/>
          <w:color w:val="000000"/>
          <w:sz w:val="32"/>
          <w:szCs w:val="32"/>
        </w:rPr>
        <w:t>中国中材国际工程股份有限公司投资者沟通情况</w:t>
      </w:r>
    </w:p>
    <w:p w14:paraId="7F43C21C" w14:textId="77777777" w:rsidR="003B4658" w:rsidRDefault="003B4658">
      <w:pPr>
        <w:rPr>
          <w:sz w:val="15"/>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8363"/>
      </w:tblGrid>
      <w:tr w:rsidR="003B4658" w14:paraId="356530FA" w14:textId="77777777">
        <w:trPr>
          <w:trHeight w:val="1071"/>
          <w:jc w:val="center"/>
        </w:trPr>
        <w:tc>
          <w:tcPr>
            <w:tcW w:w="1814" w:type="dxa"/>
            <w:vAlign w:val="center"/>
          </w:tcPr>
          <w:p w14:paraId="657AAF25" w14:textId="77777777" w:rsidR="003B4658" w:rsidRDefault="00000000">
            <w:pPr>
              <w:snapToGrid w:val="0"/>
              <w:rPr>
                <w:rFonts w:cs="方正黑体_GBK"/>
                <w:bCs/>
                <w:iCs/>
                <w:color w:val="000000"/>
                <w:sz w:val="24"/>
              </w:rPr>
            </w:pPr>
            <w:r>
              <w:rPr>
                <w:rFonts w:cs="方正黑体_GBK" w:hint="eastAsia"/>
                <w:bCs/>
                <w:iCs/>
                <w:color w:val="000000"/>
                <w:sz w:val="24"/>
              </w:rPr>
              <w:t>活动类别</w:t>
            </w:r>
          </w:p>
        </w:tc>
        <w:tc>
          <w:tcPr>
            <w:tcW w:w="8363" w:type="dxa"/>
            <w:tcBorders>
              <w:bottom w:val="single" w:sz="4" w:space="0" w:color="auto"/>
            </w:tcBorders>
            <w:vAlign w:val="center"/>
          </w:tcPr>
          <w:p w14:paraId="2E9E0BC3" w14:textId="26CAEC55" w:rsidR="003B4658" w:rsidRDefault="00C60ED6">
            <w:pPr>
              <w:autoSpaceDE w:val="0"/>
              <w:autoSpaceDN w:val="0"/>
              <w:adjustRightInd w:val="0"/>
              <w:snapToGrid w:val="0"/>
              <w:spacing w:line="440" w:lineRule="exact"/>
              <w:rPr>
                <w:rFonts w:cs="MS Mincho"/>
                <w:sz w:val="24"/>
              </w:rPr>
            </w:pPr>
            <w:r>
              <w:rPr>
                <w:rFonts w:cs="MS Mincho" w:hint="eastAsia"/>
                <w:sz w:val="24"/>
              </w:rPr>
              <w:sym w:font="Wingdings" w:char="F0FE"/>
            </w:r>
            <w:r>
              <w:rPr>
                <w:rFonts w:cs="MS Mincho" w:hint="eastAsia"/>
                <w:sz w:val="24"/>
              </w:rPr>
              <w:t>特定对象调研</w:t>
            </w:r>
            <w:r>
              <w:rPr>
                <w:rFonts w:cs="MS Mincho"/>
                <w:sz w:val="24"/>
              </w:rPr>
              <w:t xml:space="preserve">      </w:t>
            </w:r>
            <w:r>
              <w:rPr>
                <w:rFonts w:cs="MS Mincho" w:hint="eastAsia"/>
                <w:sz w:val="24"/>
              </w:rPr>
              <w:t>□现场参观</w:t>
            </w:r>
            <w:r>
              <w:rPr>
                <w:rFonts w:cs="MS Mincho" w:hint="eastAsia"/>
                <w:sz w:val="24"/>
              </w:rPr>
              <w:t xml:space="preserve">        </w:t>
            </w:r>
            <w:r>
              <w:rPr>
                <w:rFonts w:cs="MS Mincho" w:hint="eastAsia"/>
                <w:sz w:val="24"/>
              </w:rPr>
              <w:t>□媒体采访</w:t>
            </w:r>
            <w:r>
              <w:rPr>
                <w:rFonts w:cs="MS Mincho"/>
                <w:sz w:val="24"/>
              </w:rPr>
              <w:t xml:space="preserve">     </w:t>
            </w:r>
            <w:r>
              <w:rPr>
                <w:rFonts w:cs="MS Mincho" w:hint="eastAsia"/>
                <w:sz w:val="24"/>
              </w:rPr>
              <w:sym w:font="Wingdings" w:char="F0FE"/>
            </w:r>
            <w:r>
              <w:rPr>
                <w:rFonts w:cs="MS Mincho" w:hint="eastAsia"/>
                <w:sz w:val="24"/>
              </w:rPr>
              <w:t>券商策略会</w:t>
            </w:r>
          </w:p>
          <w:p w14:paraId="00361235" w14:textId="3736E035" w:rsidR="003B4658" w:rsidRDefault="005C0D58">
            <w:pPr>
              <w:autoSpaceDE w:val="0"/>
              <w:autoSpaceDN w:val="0"/>
              <w:adjustRightInd w:val="0"/>
              <w:snapToGrid w:val="0"/>
              <w:spacing w:line="440" w:lineRule="exact"/>
              <w:rPr>
                <w:bCs/>
                <w:iCs/>
                <w:color w:val="000000"/>
                <w:sz w:val="24"/>
              </w:rPr>
            </w:pPr>
            <w:r>
              <w:rPr>
                <w:rFonts w:cs="MS Mincho" w:hint="eastAsia"/>
                <w:sz w:val="24"/>
              </w:rPr>
              <w:t>□业绩说明会</w:t>
            </w:r>
            <w:r>
              <w:rPr>
                <w:rFonts w:cs="MS Mincho" w:hint="eastAsia"/>
                <w:sz w:val="24"/>
              </w:rPr>
              <w:t xml:space="preserve">        </w:t>
            </w:r>
            <w:r>
              <w:rPr>
                <w:rFonts w:cs="MS Mincho" w:hint="eastAsia"/>
                <w:sz w:val="24"/>
              </w:rPr>
              <w:t>□新闻发布会</w:t>
            </w:r>
            <w:r>
              <w:rPr>
                <w:rFonts w:cs="MS Mincho"/>
                <w:sz w:val="24"/>
              </w:rPr>
              <w:t xml:space="preserve">      </w:t>
            </w:r>
            <w:r>
              <w:rPr>
                <w:rFonts w:cs="MS Mincho" w:hint="eastAsia"/>
                <w:sz w:val="24"/>
              </w:rPr>
              <w:sym w:font="Wingdings" w:char="F0FE"/>
            </w:r>
            <w:r>
              <w:rPr>
                <w:rFonts w:cs="MS Mincho" w:hint="eastAsia"/>
                <w:sz w:val="24"/>
              </w:rPr>
              <w:t>路演活动</w:t>
            </w:r>
            <w:r>
              <w:rPr>
                <w:rFonts w:cs="MS Mincho"/>
                <w:sz w:val="24"/>
              </w:rPr>
              <w:t xml:space="preserve">     </w:t>
            </w:r>
            <w:r>
              <w:rPr>
                <w:rFonts w:cs="MS Mincho" w:hint="eastAsia"/>
                <w:sz w:val="24"/>
              </w:rPr>
              <w:t>□电话会议</w:t>
            </w:r>
          </w:p>
        </w:tc>
      </w:tr>
      <w:tr w:rsidR="003B4658" w14:paraId="1AE38A82" w14:textId="77777777">
        <w:trPr>
          <w:trHeight w:val="430"/>
          <w:jc w:val="center"/>
        </w:trPr>
        <w:tc>
          <w:tcPr>
            <w:tcW w:w="1814" w:type="dxa"/>
            <w:vAlign w:val="center"/>
          </w:tcPr>
          <w:p w14:paraId="0614C9BB" w14:textId="77777777" w:rsidR="003B4658" w:rsidRDefault="00000000">
            <w:pPr>
              <w:snapToGrid w:val="0"/>
              <w:rPr>
                <w:rFonts w:ascii="宋体" w:hAnsi="宋体" w:cs="方正黑体_GBK" w:hint="eastAsia"/>
                <w:bCs/>
                <w:iCs/>
                <w:color w:val="000000"/>
                <w:sz w:val="24"/>
              </w:rPr>
            </w:pPr>
            <w:r>
              <w:rPr>
                <w:rFonts w:ascii="宋体" w:hAnsi="宋体" w:cs="方正黑体_GBK" w:hint="eastAsia"/>
                <w:bCs/>
                <w:iCs/>
                <w:color w:val="000000"/>
                <w:sz w:val="24"/>
              </w:rPr>
              <w:t>活动时间</w:t>
            </w:r>
          </w:p>
        </w:tc>
        <w:tc>
          <w:tcPr>
            <w:tcW w:w="8363" w:type="dxa"/>
            <w:tcBorders>
              <w:top w:val="single" w:sz="4" w:space="0" w:color="auto"/>
            </w:tcBorders>
            <w:vAlign w:val="center"/>
          </w:tcPr>
          <w:p w14:paraId="668BC3CD" w14:textId="7DEEFF2D" w:rsidR="003B4658" w:rsidRDefault="00000000">
            <w:pPr>
              <w:autoSpaceDE w:val="0"/>
              <w:autoSpaceDN w:val="0"/>
              <w:adjustRightInd w:val="0"/>
              <w:snapToGrid w:val="0"/>
              <w:rPr>
                <w:rFonts w:ascii="宋体" w:hAnsi="宋体" w:hint="eastAsia"/>
                <w:bCs/>
                <w:iCs/>
                <w:color w:val="000000"/>
                <w:sz w:val="24"/>
              </w:rPr>
            </w:pPr>
            <w:r>
              <w:rPr>
                <w:rFonts w:ascii="宋体" w:hAnsi="宋体" w:cs="MS Mincho" w:hint="eastAsia"/>
                <w:sz w:val="24"/>
              </w:rPr>
              <w:t>2025年</w:t>
            </w:r>
            <w:r w:rsidR="005C0D58">
              <w:rPr>
                <w:rFonts w:ascii="宋体" w:hAnsi="宋体" w:cs="MS Mincho" w:hint="eastAsia"/>
                <w:sz w:val="24"/>
              </w:rPr>
              <w:t>9</w:t>
            </w:r>
            <w:r>
              <w:rPr>
                <w:rFonts w:ascii="宋体" w:hAnsi="宋体" w:cs="MS Mincho" w:hint="eastAsia"/>
                <w:sz w:val="24"/>
              </w:rPr>
              <w:t>月</w:t>
            </w:r>
            <w:r w:rsidR="005C0D58">
              <w:rPr>
                <w:rFonts w:ascii="宋体" w:hAnsi="宋体" w:cs="MS Mincho" w:hint="eastAsia"/>
                <w:sz w:val="24"/>
              </w:rPr>
              <w:t>1</w:t>
            </w:r>
            <w:r>
              <w:rPr>
                <w:rFonts w:ascii="宋体" w:hAnsi="宋体" w:cs="MS Mincho" w:hint="eastAsia"/>
                <w:sz w:val="24"/>
              </w:rPr>
              <w:t>日-2025年</w:t>
            </w:r>
            <w:r w:rsidR="005C0D58">
              <w:rPr>
                <w:rFonts w:ascii="宋体" w:hAnsi="宋体" w:cs="MS Mincho" w:hint="eastAsia"/>
                <w:sz w:val="24"/>
              </w:rPr>
              <w:t>9</w:t>
            </w:r>
            <w:r>
              <w:rPr>
                <w:rFonts w:ascii="宋体" w:hAnsi="宋体" w:cs="MS Mincho" w:hint="eastAsia"/>
                <w:sz w:val="24"/>
              </w:rPr>
              <w:t>月</w:t>
            </w:r>
            <w:r w:rsidR="005C0D58">
              <w:rPr>
                <w:rFonts w:ascii="宋体" w:hAnsi="宋体" w:cs="MS Mincho" w:hint="eastAsia"/>
                <w:sz w:val="24"/>
              </w:rPr>
              <w:t>30</w:t>
            </w:r>
            <w:r>
              <w:rPr>
                <w:rFonts w:ascii="宋体" w:hAnsi="宋体" w:cs="MS Mincho" w:hint="eastAsia"/>
                <w:sz w:val="24"/>
              </w:rPr>
              <w:t>日</w:t>
            </w:r>
          </w:p>
        </w:tc>
      </w:tr>
      <w:tr w:rsidR="003B4658" w14:paraId="48E393FD" w14:textId="77777777">
        <w:trPr>
          <w:trHeight w:val="564"/>
          <w:jc w:val="center"/>
        </w:trPr>
        <w:tc>
          <w:tcPr>
            <w:tcW w:w="1814" w:type="dxa"/>
            <w:vAlign w:val="center"/>
          </w:tcPr>
          <w:p w14:paraId="26455A72" w14:textId="77777777" w:rsidR="003B4658" w:rsidRDefault="00000000">
            <w:pPr>
              <w:autoSpaceDE w:val="0"/>
              <w:autoSpaceDN w:val="0"/>
              <w:adjustRightInd w:val="0"/>
              <w:snapToGrid w:val="0"/>
              <w:rPr>
                <w:rFonts w:ascii="宋体" w:hAnsi="宋体" w:cs="MS Mincho" w:hint="eastAsia"/>
                <w:sz w:val="24"/>
              </w:rPr>
            </w:pPr>
            <w:r>
              <w:rPr>
                <w:rFonts w:ascii="宋体" w:hAnsi="宋体" w:cs="MS Mincho" w:hint="eastAsia"/>
                <w:sz w:val="24"/>
              </w:rPr>
              <w:t>公司接待人员</w:t>
            </w:r>
          </w:p>
        </w:tc>
        <w:tc>
          <w:tcPr>
            <w:tcW w:w="8363" w:type="dxa"/>
            <w:vAlign w:val="center"/>
          </w:tcPr>
          <w:p w14:paraId="4DAB8A40" w14:textId="19BD48FE" w:rsidR="003B4658" w:rsidRDefault="00000000">
            <w:pPr>
              <w:autoSpaceDE w:val="0"/>
              <w:autoSpaceDN w:val="0"/>
              <w:adjustRightInd w:val="0"/>
              <w:snapToGrid w:val="0"/>
              <w:spacing w:beforeLines="50" w:before="156" w:afterLines="50" w:after="156"/>
              <w:rPr>
                <w:rFonts w:ascii="宋体" w:hAnsi="宋体" w:cs="MS Mincho" w:hint="eastAsia"/>
                <w:sz w:val="24"/>
              </w:rPr>
            </w:pPr>
            <w:r>
              <w:rPr>
                <w:rFonts w:ascii="宋体" w:hAnsi="宋体" w:cs="MS Mincho" w:hint="eastAsia"/>
                <w:sz w:val="24"/>
              </w:rPr>
              <w:t>副总裁、董事会秘书曾暄及相关人员</w:t>
            </w:r>
          </w:p>
        </w:tc>
      </w:tr>
      <w:tr w:rsidR="003B4658" w14:paraId="0511D57D" w14:textId="77777777">
        <w:trPr>
          <w:trHeight w:val="1044"/>
          <w:jc w:val="center"/>
        </w:trPr>
        <w:tc>
          <w:tcPr>
            <w:tcW w:w="1814" w:type="dxa"/>
            <w:vAlign w:val="center"/>
          </w:tcPr>
          <w:p w14:paraId="5DB12979" w14:textId="77777777" w:rsidR="003B4658" w:rsidRDefault="00000000">
            <w:pPr>
              <w:autoSpaceDE w:val="0"/>
              <w:autoSpaceDN w:val="0"/>
              <w:adjustRightInd w:val="0"/>
              <w:snapToGrid w:val="0"/>
              <w:rPr>
                <w:rFonts w:ascii="宋体" w:hAnsi="宋体" w:cs="MS Mincho" w:hint="eastAsia"/>
                <w:sz w:val="24"/>
              </w:rPr>
            </w:pPr>
            <w:r>
              <w:rPr>
                <w:rFonts w:ascii="宋体" w:hAnsi="宋体" w:cs="MS Mincho" w:hint="eastAsia"/>
                <w:sz w:val="24"/>
              </w:rPr>
              <w:t>参与单位名称及人员</w:t>
            </w:r>
          </w:p>
        </w:tc>
        <w:tc>
          <w:tcPr>
            <w:tcW w:w="8363" w:type="dxa"/>
            <w:vAlign w:val="center"/>
          </w:tcPr>
          <w:p w14:paraId="7090FB9E" w14:textId="79E8EF4F" w:rsidR="003B4658" w:rsidRDefault="00B42BA5">
            <w:pPr>
              <w:autoSpaceDE w:val="0"/>
              <w:autoSpaceDN w:val="0"/>
              <w:adjustRightInd w:val="0"/>
              <w:snapToGrid w:val="0"/>
              <w:spacing w:beforeLines="50" w:before="156" w:afterLines="50" w:after="156" w:line="300" w:lineRule="auto"/>
              <w:rPr>
                <w:rFonts w:ascii="宋体" w:hAnsi="宋体" w:cs="MS Mincho" w:hint="eastAsia"/>
                <w:sz w:val="24"/>
              </w:rPr>
            </w:pPr>
            <w:r>
              <w:rPr>
                <w:rFonts w:ascii="宋体" w:hAnsi="宋体" w:cs="MS Mincho" w:hint="eastAsia"/>
                <w:sz w:val="24"/>
              </w:rPr>
              <w:t>长江证券、天风证券、国联民生证券、光大证券、南方基金、景顺长城基金、大成基金、国联基金、</w:t>
            </w:r>
            <w:r w:rsidR="00A716AC">
              <w:rPr>
                <w:rFonts w:ascii="宋体" w:hAnsi="宋体" w:cs="MS Mincho" w:hint="eastAsia"/>
                <w:sz w:val="24"/>
              </w:rPr>
              <w:t>国海富兰克林、</w:t>
            </w:r>
            <w:r w:rsidR="00DC7C8F">
              <w:rPr>
                <w:rFonts w:ascii="宋体" w:hAnsi="宋体" w:cs="MS Mincho" w:hint="eastAsia"/>
                <w:sz w:val="24"/>
              </w:rPr>
              <w:t>诺安基金、财信自营</w:t>
            </w:r>
          </w:p>
        </w:tc>
      </w:tr>
      <w:tr w:rsidR="003B4658" w14:paraId="3D9D3E91" w14:textId="77777777">
        <w:trPr>
          <w:jc w:val="center"/>
        </w:trPr>
        <w:tc>
          <w:tcPr>
            <w:tcW w:w="1814" w:type="dxa"/>
            <w:vAlign w:val="center"/>
          </w:tcPr>
          <w:p w14:paraId="1837BDE8" w14:textId="77777777" w:rsidR="003B4658" w:rsidRDefault="00000000">
            <w:pPr>
              <w:spacing w:line="440" w:lineRule="exact"/>
              <w:rPr>
                <w:rFonts w:ascii="宋体" w:hAnsi="宋体" w:cs="方正黑体_GBK" w:hint="eastAsia"/>
                <w:bCs/>
                <w:iCs/>
                <w:color w:val="000000"/>
                <w:sz w:val="24"/>
              </w:rPr>
            </w:pPr>
            <w:r>
              <w:rPr>
                <w:rFonts w:ascii="宋体" w:hAnsi="宋体" w:cs="方正黑体_GBK" w:hint="eastAsia"/>
                <w:bCs/>
                <w:iCs/>
                <w:color w:val="000000"/>
                <w:sz w:val="24"/>
              </w:rPr>
              <w:t>主要内容</w:t>
            </w:r>
          </w:p>
        </w:tc>
        <w:tc>
          <w:tcPr>
            <w:tcW w:w="8363" w:type="dxa"/>
          </w:tcPr>
          <w:p w14:paraId="2D7D282D" w14:textId="317B8182" w:rsidR="003B4658" w:rsidRDefault="00000000">
            <w:pPr>
              <w:autoSpaceDE w:val="0"/>
              <w:autoSpaceDN w:val="0"/>
              <w:adjustRightInd w:val="0"/>
              <w:snapToGrid w:val="0"/>
              <w:spacing w:beforeLines="50" w:before="156" w:line="360" w:lineRule="auto"/>
              <w:rPr>
                <w:rFonts w:ascii="宋体" w:hAnsi="宋体" w:cs="Arial" w:hint="eastAsia"/>
                <w:b/>
                <w:sz w:val="24"/>
              </w:rPr>
            </w:pPr>
            <w:r>
              <w:rPr>
                <w:rFonts w:ascii="宋体" w:hAnsi="宋体" w:cs="Arial" w:hint="eastAsia"/>
                <w:b/>
                <w:sz w:val="24"/>
              </w:rPr>
              <w:t>一、</w:t>
            </w:r>
            <w:r w:rsidRPr="00163D5D">
              <w:rPr>
                <w:rFonts w:ascii="宋体" w:hAnsi="宋体" w:cs="Arial" w:hint="eastAsia"/>
                <w:b/>
                <w:sz w:val="24"/>
              </w:rPr>
              <w:t>介绍公司2025年上半年经营</w:t>
            </w:r>
            <w:r w:rsidR="008430C6">
              <w:rPr>
                <w:rFonts w:ascii="宋体" w:hAnsi="宋体" w:cs="Arial" w:hint="eastAsia"/>
                <w:b/>
                <w:sz w:val="24"/>
              </w:rPr>
              <w:t>情况、</w:t>
            </w:r>
            <w:r w:rsidR="00212713" w:rsidRPr="00163D5D">
              <w:rPr>
                <w:rFonts w:ascii="宋体" w:hAnsi="宋体" w:cs="Arial" w:hint="eastAsia"/>
                <w:b/>
                <w:sz w:val="24"/>
              </w:rPr>
              <w:t>亮点及未来展望</w:t>
            </w:r>
          </w:p>
          <w:p w14:paraId="07DB5C49" w14:textId="36E8FDE5" w:rsidR="008430C6" w:rsidRDefault="008430C6">
            <w:pPr>
              <w:autoSpaceDE w:val="0"/>
              <w:autoSpaceDN w:val="0"/>
              <w:adjustRightInd w:val="0"/>
              <w:snapToGrid w:val="0"/>
              <w:spacing w:line="360" w:lineRule="auto"/>
              <w:ind w:firstLineChars="200" w:firstLine="482"/>
              <w:rPr>
                <w:rFonts w:ascii="宋体" w:hAnsi="宋体" w:hint="eastAsia"/>
                <w:b/>
                <w:bCs/>
                <w:sz w:val="24"/>
              </w:rPr>
            </w:pPr>
            <w:r>
              <w:rPr>
                <w:rFonts w:ascii="宋体" w:hAnsi="宋体" w:hint="eastAsia"/>
                <w:b/>
                <w:bCs/>
                <w:sz w:val="24"/>
              </w:rPr>
              <w:t>经营情况：</w:t>
            </w:r>
          </w:p>
          <w:p w14:paraId="5F137F86" w14:textId="1217ABDE" w:rsidR="008430C6" w:rsidRDefault="008430C6">
            <w:pPr>
              <w:autoSpaceDE w:val="0"/>
              <w:autoSpaceDN w:val="0"/>
              <w:adjustRightInd w:val="0"/>
              <w:snapToGrid w:val="0"/>
              <w:spacing w:line="360" w:lineRule="auto"/>
              <w:ind w:firstLineChars="200" w:firstLine="480"/>
              <w:rPr>
                <w:rFonts w:ascii="宋体" w:hAnsi="宋体" w:hint="eastAsia"/>
                <w:b/>
                <w:bCs/>
                <w:sz w:val="24"/>
              </w:rPr>
            </w:pPr>
            <w:r>
              <w:rPr>
                <w:rFonts w:ascii="宋体" w:hAnsi="宋体"/>
                <w:sz w:val="24"/>
              </w:rPr>
              <w:t>2025年上半年，公司坚持“稳中求进、以进促稳”工作总基调，牢牢把握高质量发展主题，紧盯“一利五率”，锚定“一增一稳四提升”目标，积极克服内需不足、外需不稳等困难挑战，强化战略引领、业务协同及资源共享，赋能全球市场拓展和商业模式创新，行业领先地位进一步巩固，经营业绩实现稳健增长。</w:t>
            </w:r>
            <w:r w:rsidR="001024E0">
              <w:rPr>
                <w:rFonts w:ascii="宋体" w:hAnsi="宋体" w:hint="eastAsia"/>
                <w:sz w:val="24"/>
              </w:rPr>
              <w:t>上半年</w:t>
            </w:r>
            <w:r>
              <w:rPr>
                <w:rFonts w:ascii="宋体" w:hAnsi="宋体"/>
                <w:sz w:val="24"/>
              </w:rPr>
              <w:t>公司实现新签合同额411.64亿元，同比增长11%。截至</w:t>
            </w:r>
            <w:r w:rsidR="00F51667">
              <w:rPr>
                <w:rFonts w:ascii="宋体" w:hAnsi="宋体" w:hint="eastAsia"/>
                <w:sz w:val="24"/>
              </w:rPr>
              <w:t>6月</w:t>
            </w:r>
            <w:r>
              <w:rPr>
                <w:rFonts w:ascii="宋体" w:hAnsi="宋体"/>
                <w:sz w:val="24"/>
              </w:rPr>
              <w:t>末，公司有效结转合同额620.37亿元，较上一报告期末增长5.94%，为公司未来发展奠定了坚实基础。报告期，公司实现营业收入216.76亿元，同比增长3.74%；实现归属于上市公司股东的净利润14.21亿元，同比增长1.56%</w:t>
            </w:r>
            <w:r>
              <w:rPr>
                <w:rFonts w:ascii="宋体" w:hAnsi="宋体" w:hint="eastAsia"/>
                <w:sz w:val="24"/>
              </w:rPr>
              <w:t>。</w:t>
            </w:r>
          </w:p>
          <w:p w14:paraId="6313143A" w14:textId="6A24263A" w:rsidR="00225D84" w:rsidRPr="00163D5D" w:rsidRDefault="00225D84">
            <w:pPr>
              <w:autoSpaceDE w:val="0"/>
              <w:autoSpaceDN w:val="0"/>
              <w:adjustRightInd w:val="0"/>
              <w:snapToGrid w:val="0"/>
              <w:spacing w:line="360" w:lineRule="auto"/>
              <w:ind w:firstLineChars="200" w:firstLine="482"/>
              <w:rPr>
                <w:rFonts w:ascii="宋体" w:hAnsi="宋体" w:hint="eastAsia"/>
                <w:b/>
                <w:bCs/>
                <w:sz w:val="24"/>
              </w:rPr>
            </w:pPr>
            <w:r w:rsidRPr="00163D5D">
              <w:rPr>
                <w:rFonts w:ascii="宋体" w:hAnsi="宋体" w:hint="eastAsia"/>
                <w:b/>
                <w:bCs/>
                <w:sz w:val="24"/>
              </w:rPr>
              <w:t>经营亮点：</w:t>
            </w:r>
          </w:p>
          <w:p w14:paraId="0C4D8029" w14:textId="6A8A9F6D" w:rsidR="00AE210D" w:rsidRPr="00163D5D" w:rsidRDefault="00AE210D">
            <w:pPr>
              <w:autoSpaceDE w:val="0"/>
              <w:autoSpaceDN w:val="0"/>
              <w:adjustRightInd w:val="0"/>
              <w:snapToGrid w:val="0"/>
              <w:spacing w:line="360" w:lineRule="auto"/>
              <w:ind w:firstLineChars="200" w:firstLine="482"/>
              <w:rPr>
                <w:rFonts w:ascii="宋体" w:hAnsi="宋体" w:hint="eastAsia"/>
                <w:b/>
                <w:bCs/>
                <w:sz w:val="24"/>
              </w:rPr>
            </w:pPr>
            <w:r w:rsidRPr="00163D5D">
              <w:rPr>
                <w:rFonts w:ascii="宋体" w:hAnsi="宋体" w:hint="eastAsia"/>
                <w:b/>
                <w:bCs/>
                <w:sz w:val="24"/>
              </w:rPr>
              <w:t>（一）经营业绩稳健增长，领先地位持续稳固</w:t>
            </w:r>
          </w:p>
          <w:p w14:paraId="161DCCED" w14:textId="5D5C3D9F" w:rsidR="00AE210D" w:rsidRDefault="00AE210D">
            <w:pPr>
              <w:autoSpaceDE w:val="0"/>
              <w:autoSpaceDN w:val="0"/>
              <w:adjustRightInd w:val="0"/>
              <w:snapToGrid w:val="0"/>
              <w:spacing w:line="360" w:lineRule="auto"/>
              <w:ind w:firstLineChars="200" w:firstLine="480"/>
              <w:rPr>
                <w:rFonts w:ascii="宋体" w:hAnsi="宋体" w:hint="eastAsia"/>
                <w:sz w:val="24"/>
              </w:rPr>
            </w:pPr>
            <w:r w:rsidRPr="00AE210D">
              <w:rPr>
                <w:rFonts w:ascii="宋体" w:hAnsi="宋体" w:hint="eastAsia"/>
                <w:sz w:val="24"/>
              </w:rPr>
              <w:t>上半年，公司紧盯全年目标与“十四五”战略收官任务，凝心聚力、奋勇攻坚，实现新签合同、营业收入和净利润再创新高。水泥工程服务市场份额连续17年稳居世界第一，2025年ENR榜单排名提升至全球第38位、同比上升5位。公司高质量举办第三届水泥绿色智能发展大会，发布了全氧燃烧技术、煤矸石的悬浮煅烧制备陶瓷原料技术、移动式反击破设备及优控系统与优化控制技术</w:t>
            </w:r>
            <w:r w:rsidRPr="00AE210D">
              <w:rPr>
                <w:rFonts w:ascii="宋体" w:hAnsi="宋体" w:hint="eastAsia"/>
                <w:sz w:val="24"/>
              </w:rPr>
              <w:lastRenderedPageBreak/>
              <w:t>共计四项科技创新成果，科技引领能力和国际影响力持续提升。</w:t>
            </w:r>
            <w:r w:rsidR="00091E04">
              <w:rPr>
                <w:rFonts w:ascii="宋体" w:hAnsi="宋体" w:hint="eastAsia"/>
                <w:sz w:val="24"/>
              </w:rPr>
              <w:t xml:space="preserve"> </w:t>
            </w:r>
          </w:p>
          <w:p w14:paraId="166C9466" w14:textId="27949B4E" w:rsidR="00AE210D" w:rsidRPr="00163D5D" w:rsidRDefault="00AE210D">
            <w:pPr>
              <w:autoSpaceDE w:val="0"/>
              <w:autoSpaceDN w:val="0"/>
              <w:adjustRightInd w:val="0"/>
              <w:snapToGrid w:val="0"/>
              <w:spacing w:line="360" w:lineRule="auto"/>
              <w:ind w:firstLineChars="200" w:firstLine="482"/>
              <w:rPr>
                <w:rFonts w:ascii="宋体" w:hAnsi="宋体" w:cs="Arial" w:hint="eastAsia"/>
                <w:b/>
                <w:bCs/>
                <w:sz w:val="24"/>
              </w:rPr>
            </w:pPr>
            <w:r w:rsidRPr="00163D5D">
              <w:rPr>
                <w:rFonts w:ascii="宋体" w:hAnsi="宋体" w:cs="Arial" w:hint="eastAsia"/>
                <w:b/>
                <w:bCs/>
                <w:sz w:val="24"/>
              </w:rPr>
              <w:t>（二）产业思维筑牢优势，结构转型提升价值</w:t>
            </w:r>
          </w:p>
          <w:p w14:paraId="7DA4244F" w14:textId="77777777" w:rsidR="00AE210D" w:rsidRPr="00AE210D" w:rsidRDefault="00AE210D" w:rsidP="00AE210D">
            <w:pPr>
              <w:autoSpaceDE w:val="0"/>
              <w:autoSpaceDN w:val="0"/>
              <w:adjustRightInd w:val="0"/>
              <w:snapToGrid w:val="0"/>
              <w:spacing w:line="360" w:lineRule="auto"/>
              <w:ind w:firstLineChars="200" w:firstLine="482"/>
              <w:rPr>
                <w:rFonts w:ascii="宋体" w:hAnsi="宋体" w:cs="Arial" w:hint="eastAsia"/>
                <w:sz w:val="24"/>
              </w:rPr>
            </w:pPr>
            <w:r w:rsidRPr="00163D5D">
              <w:rPr>
                <w:rFonts w:ascii="宋体" w:hAnsi="宋体" w:cs="Arial" w:hint="eastAsia"/>
                <w:b/>
                <w:bCs/>
                <w:sz w:val="24"/>
              </w:rPr>
              <w:t>工程技术服务：</w:t>
            </w:r>
            <w:r w:rsidRPr="00AE210D">
              <w:rPr>
                <w:rFonts w:ascii="宋体" w:hAnsi="宋体" w:cs="Arial" w:hint="eastAsia"/>
                <w:sz w:val="24"/>
              </w:rPr>
              <w:t>深挖有效需求，实现多点突破。持续巩固主业核心优势，加快从“工程项目思维”到“产业经营思维”的转变，从关注单一项目履约，转向关注业务的整体价值创造、全生命周期系统服务。成功获取13个境外水泥整线项目，新签水泥工程技改合同实现翻倍、境外多元化工程合同实现倍增，成功签署国内首例千万吨级绿色建筑产品开发及煤矸石综合处置一体化项目、联想沙特智能制造基地项目，全球首条万吨级异地搬迁生产线顺利封顶，608个在执行项目平稳高效履约。</w:t>
            </w:r>
          </w:p>
          <w:p w14:paraId="1D11E8BB" w14:textId="77777777" w:rsidR="00AE210D" w:rsidRPr="00AE210D" w:rsidRDefault="00AE210D" w:rsidP="00AE210D">
            <w:pPr>
              <w:autoSpaceDE w:val="0"/>
              <w:autoSpaceDN w:val="0"/>
              <w:adjustRightInd w:val="0"/>
              <w:snapToGrid w:val="0"/>
              <w:spacing w:line="360" w:lineRule="auto"/>
              <w:ind w:firstLineChars="200" w:firstLine="482"/>
              <w:rPr>
                <w:rFonts w:ascii="宋体" w:hAnsi="宋体" w:cs="Arial" w:hint="eastAsia"/>
                <w:sz w:val="24"/>
              </w:rPr>
            </w:pPr>
            <w:r w:rsidRPr="00163D5D">
              <w:rPr>
                <w:rFonts w:ascii="宋体" w:hAnsi="宋体" w:cs="Arial" w:hint="eastAsia"/>
                <w:b/>
                <w:bCs/>
                <w:sz w:val="24"/>
              </w:rPr>
              <w:t>高端装备制造：</w:t>
            </w:r>
            <w:r w:rsidRPr="00AE210D">
              <w:rPr>
                <w:rFonts w:ascii="宋体" w:hAnsi="宋体" w:cs="Arial" w:hint="eastAsia"/>
                <w:sz w:val="24"/>
              </w:rPr>
              <w:t>数智升级赋能，“两外一服”加速。以关键核心技术攻关推动装备产品不断迭代升级，持续强化全价值链本土化布局和数智赋能，加速从“中国制造”向“全球智造”的价值跃迁，全力打造高端装备研发平台和全球领先的装备产业高地。境外新签装备合同再翻番，外行业拓展成效显著，成功签署摩洛哥磷酸盐原矿破碎系列项目，全球9大技术装备服务中心建设稳步推进。</w:t>
            </w:r>
          </w:p>
          <w:p w14:paraId="0716F937" w14:textId="77777777" w:rsidR="00AE210D" w:rsidRDefault="00AE210D" w:rsidP="00AE210D">
            <w:pPr>
              <w:autoSpaceDE w:val="0"/>
              <w:autoSpaceDN w:val="0"/>
              <w:adjustRightInd w:val="0"/>
              <w:snapToGrid w:val="0"/>
              <w:spacing w:line="360" w:lineRule="auto"/>
              <w:ind w:firstLineChars="200" w:firstLine="482"/>
              <w:rPr>
                <w:rFonts w:ascii="宋体" w:hAnsi="宋体" w:cs="Arial" w:hint="eastAsia"/>
                <w:sz w:val="24"/>
              </w:rPr>
            </w:pPr>
            <w:r w:rsidRPr="00163D5D">
              <w:rPr>
                <w:rFonts w:ascii="宋体" w:hAnsi="宋体" w:cs="Arial" w:hint="eastAsia"/>
                <w:b/>
                <w:bCs/>
                <w:sz w:val="24"/>
              </w:rPr>
              <w:t>生产运营服务：</w:t>
            </w:r>
            <w:r w:rsidRPr="00AE210D">
              <w:rPr>
                <w:rFonts w:ascii="宋体" w:hAnsi="宋体" w:cs="Arial" w:hint="eastAsia"/>
                <w:sz w:val="24"/>
              </w:rPr>
              <w:t>聚焦全链服务，强化业务协同。全面对接客户全生命周期生产需求，形成“智能工厂+数字化矿山+专家系统”全场景解决方案，进一步增强客户粘性。深入挖掘产业链协同资源，聚焦客户需求，打造高附加值产品和服务，通过可量化、可感知的数字化价值案例，以点带面辐射全球市场。报告期，公司全球水泥工厂运维平台建设按期推进，数字化矿山及水泥工厂智能化实验室完成5条示范线推广，服务收入实现稳定增长。</w:t>
            </w:r>
          </w:p>
          <w:p w14:paraId="1025B646" w14:textId="5750FB92" w:rsidR="00AE210D" w:rsidRPr="00163D5D" w:rsidRDefault="00AE210D" w:rsidP="00AE210D">
            <w:pPr>
              <w:autoSpaceDE w:val="0"/>
              <w:autoSpaceDN w:val="0"/>
              <w:adjustRightInd w:val="0"/>
              <w:snapToGrid w:val="0"/>
              <w:spacing w:line="360" w:lineRule="auto"/>
              <w:ind w:firstLineChars="200" w:firstLine="482"/>
              <w:rPr>
                <w:rFonts w:ascii="宋体" w:hAnsi="宋体" w:cs="Arial" w:hint="eastAsia"/>
                <w:b/>
                <w:bCs/>
                <w:sz w:val="24"/>
              </w:rPr>
            </w:pPr>
            <w:r w:rsidRPr="00163D5D">
              <w:rPr>
                <w:rFonts w:ascii="宋体" w:hAnsi="宋体" w:cs="Arial" w:hint="eastAsia"/>
                <w:b/>
                <w:bCs/>
                <w:sz w:val="24"/>
              </w:rPr>
              <w:t>（三）科技创新引领发展，属地经营夯实根基</w:t>
            </w:r>
          </w:p>
          <w:p w14:paraId="0ACC3779" w14:textId="11CE4ACA" w:rsidR="00AA2F37" w:rsidRDefault="00AE210D" w:rsidP="00AE210D">
            <w:pPr>
              <w:autoSpaceDE w:val="0"/>
              <w:autoSpaceDN w:val="0"/>
              <w:adjustRightInd w:val="0"/>
              <w:snapToGrid w:val="0"/>
              <w:spacing w:line="360" w:lineRule="auto"/>
              <w:ind w:firstLineChars="200" w:firstLine="480"/>
              <w:rPr>
                <w:rFonts w:ascii="宋体" w:hAnsi="宋体" w:cs="Arial" w:hint="eastAsia"/>
                <w:sz w:val="24"/>
              </w:rPr>
            </w:pPr>
            <w:r w:rsidRPr="00AE210D">
              <w:rPr>
                <w:rFonts w:ascii="宋体" w:hAnsi="宋体" w:cs="Arial" w:hint="eastAsia"/>
                <w:sz w:val="24"/>
              </w:rPr>
              <w:t>上半年，公司持续强化关键核心技术攻关，增加高质量科技供给，提高应用场景针对性，加大水泥低碳、全氧燃烧、大宗固废处置等绿色技术装备的研发推广，除尘、脱硫、脱硝超净排放最新技术的示范应用，探索煤矸石梯级利用多技术路径系统解决方案，“水泥工程+绿能”系统解决方案在南非项目成功落地。推进属地价值链延伸发展，健全属地资源共享机制，强化产业协同和平台赋能，坚持合作共赢，以打造标杆项目带动国别市场、以做强国别市场辐射</w:t>
            </w:r>
            <w:r w:rsidRPr="00AE210D">
              <w:rPr>
                <w:rFonts w:ascii="宋体" w:hAnsi="宋体" w:cs="Arial" w:hint="eastAsia"/>
                <w:sz w:val="24"/>
              </w:rPr>
              <w:lastRenderedPageBreak/>
              <w:t>区域市场，持续稳定推进海外市场布局，实现境外合同、收入、人员同比大幅提升，国际化指数稳步增长。</w:t>
            </w:r>
          </w:p>
          <w:p w14:paraId="2CCB8E3C" w14:textId="0D462978" w:rsidR="00110E91" w:rsidRPr="00163D5D" w:rsidRDefault="00110E91" w:rsidP="00682DD0">
            <w:pPr>
              <w:autoSpaceDE w:val="0"/>
              <w:autoSpaceDN w:val="0"/>
              <w:adjustRightInd w:val="0"/>
              <w:snapToGrid w:val="0"/>
              <w:spacing w:line="360" w:lineRule="auto"/>
              <w:ind w:firstLineChars="200" w:firstLine="482"/>
              <w:rPr>
                <w:rFonts w:ascii="宋体" w:hAnsi="宋体" w:cs="Arial" w:hint="eastAsia"/>
                <w:b/>
                <w:bCs/>
                <w:sz w:val="24"/>
              </w:rPr>
            </w:pPr>
            <w:r w:rsidRPr="00163D5D">
              <w:rPr>
                <w:rFonts w:ascii="宋体" w:hAnsi="宋体" w:cs="Arial" w:hint="eastAsia"/>
                <w:b/>
                <w:bCs/>
                <w:sz w:val="24"/>
              </w:rPr>
              <w:t>未来展望：</w:t>
            </w:r>
          </w:p>
          <w:p w14:paraId="56238B43" w14:textId="77777777" w:rsidR="00845BFE" w:rsidRPr="00163D5D" w:rsidRDefault="00845BFE" w:rsidP="00682DD0">
            <w:pPr>
              <w:autoSpaceDE w:val="0"/>
              <w:autoSpaceDN w:val="0"/>
              <w:adjustRightInd w:val="0"/>
              <w:snapToGrid w:val="0"/>
              <w:spacing w:line="360" w:lineRule="auto"/>
              <w:ind w:firstLineChars="200" w:firstLine="482"/>
              <w:rPr>
                <w:rFonts w:ascii="宋体" w:hAnsi="宋体" w:cs="Arial" w:hint="eastAsia"/>
                <w:b/>
                <w:bCs/>
                <w:sz w:val="24"/>
              </w:rPr>
            </w:pPr>
            <w:r w:rsidRPr="00163D5D">
              <w:rPr>
                <w:rFonts w:ascii="宋体" w:hAnsi="宋体" w:cs="Arial" w:hint="eastAsia"/>
                <w:b/>
                <w:bCs/>
                <w:sz w:val="24"/>
              </w:rPr>
              <w:t>（一）</w:t>
            </w:r>
            <w:r w:rsidR="00110E91" w:rsidRPr="00163D5D">
              <w:rPr>
                <w:rFonts w:ascii="宋体" w:hAnsi="宋体" w:cs="Arial" w:hint="eastAsia"/>
                <w:b/>
                <w:bCs/>
                <w:sz w:val="24"/>
              </w:rPr>
              <w:t>行业趋势</w:t>
            </w:r>
          </w:p>
          <w:p w14:paraId="6EDA9C20" w14:textId="6AAB2D99" w:rsidR="00110E91" w:rsidRPr="007B6763" w:rsidRDefault="00110E91" w:rsidP="007B6763">
            <w:pPr>
              <w:autoSpaceDE w:val="0"/>
              <w:autoSpaceDN w:val="0"/>
              <w:adjustRightInd w:val="0"/>
              <w:snapToGrid w:val="0"/>
              <w:spacing w:line="360" w:lineRule="auto"/>
              <w:ind w:firstLineChars="200" w:firstLine="482"/>
              <w:rPr>
                <w:rFonts w:ascii="宋体" w:hAnsi="宋体" w:cs="Arial" w:hint="eastAsia"/>
                <w:sz w:val="24"/>
              </w:rPr>
            </w:pPr>
            <w:r w:rsidRPr="00163D5D">
              <w:rPr>
                <w:rFonts w:ascii="宋体" w:hAnsi="宋体" w:cs="Arial" w:hint="eastAsia"/>
                <w:b/>
                <w:bCs/>
                <w:sz w:val="24"/>
              </w:rPr>
              <w:t>从国际形势看，</w:t>
            </w:r>
            <w:r w:rsidR="00845BFE" w:rsidRPr="00845BFE">
              <w:rPr>
                <w:rFonts w:ascii="宋体" w:hAnsi="宋体" w:cs="Arial" w:hint="eastAsia"/>
                <w:sz w:val="24"/>
              </w:rPr>
              <w:t>全球经济或将面临更多下行压力，地缘政治冲突加剧冲击影响，“一带一路”倡议在全球范围的认同进一步加深，全球绿色转型处于重要窗口期</w:t>
            </w:r>
            <w:r w:rsidR="00845BFE">
              <w:rPr>
                <w:rFonts w:ascii="宋体" w:hAnsi="宋体" w:cs="Arial" w:hint="eastAsia"/>
                <w:sz w:val="24"/>
              </w:rPr>
              <w:t>；</w:t>
            </w:r>
            <w:r w:rsidR="007B6763" w:rsidRPr="00163D5D">
              <w:rPr>
                <w:rFonts w:ascii="宋体" w:hAnsi="宋体" w:cs="Arial" w:hint="eastAsia"/>
                <w:b/>
                <w:bCs/>
                <w:sz w:val="24"/>
              </w:rPr>
              <w:t>从国内形势看，</w:t>
            </w:r>
            <w:r w:rsidR="007B6763" w:rsidRPr="007B6763">
              <w:rPr>
                <w:rFonts w:ascii="宋体" w:hAnsi="宋体" w:cs="Arial" w:hint="eastAsia"/>
                <w:sz w:val="24"/>
              </w:rPr>
              <w:t>经济运行总体平稳、回升向好，高质量发展在平抑波动中展现出强大韧性和活力</w:t>
            </w:r>
            <w:r w:rsidR="007B6763">
              <w:rPr>
                <w:rFonts w:ascii="宋体" w:hAnsi="宋体" w:cs="Arial" w:hint="eastAsia"/>
                <w:sz w:val="24"/>
              </w:rPr>
              <w:t>；</w:t>
            </w:r>
            <w:r w:rsidR="007B6763" w:rsidRPr="00163D5D">
              <w:rPr>
                <w:rFonts w:ascii="宋体" w:hAnsi="宋体" w:cs="Arial" w:hint="eastAsia"/>
                <w:b/>
                <w:bCs/>
                <w:sz w:val="24"/>
              </w:rPr>
              <w:t>从</w:t>
            </w:r>
            <w:r w:rsidRPr="00163D5D">
              <w:rPr>
                <w:rFonts w:ascii="宋体" w:hAnsi="宋体" w:cs="Arial" w:hint="eastAsia"/>
                <w:b/>
                <w:bCs/>
                <w:sz w:val="24"/>
              </w:rPr>
              <w:t>行业</w:t>
            </w:r>
            <w:r w:rsidR="00A87664" w:rsidRPr="00163D5D">
              <w:rPr>
                <w:rFonts w:ascii="宋体" w:hAnsi="宋体" w:cs="Arial" w:hint="eastAsia"/>
                <w:b/>
                <w:bCs/>
                <w:sz w:val="24"/>
              </w:rPr>
              <w:t>形势</w:t>
            </w:r>
            <w:r w:rsidRPr="00163D5D">
              <w:rPr>
                <w:rFonts w:ascii="宋体" w:hAnsi="宋体" w:cs="Arial" w:hint="eastAsia"/>
                <w:b/>
                <w:bCs/>
                <w:sz w:val="24"/>
              </w:rPr>
              <w:t>看，</w:t>
            </w:r>
            <w:r w:rsidR="007B6763" w:rsidRPr="007B6763">
              <w:rPr>
                <w:rFonts w:ascii="宋体" w:hAnsi="宋体" w:cs="Arial" w:hint="eastAsia"/>
                <w:sz w:val="24"/>
              </w:rPr>
              <w:t>“绿色低碳、数字智能、可持续发展”已成为全球水泥行业的共识，水泥企业对新技术、新装备的需求持续释放</w:t>
            </w:r>
            <w:r w:rsidR="007B6763">
              <w:rPr>
                <w:rFonts w:ascii="宋体" w:hAnsi="宋体" w:cs="Arial" w:hint="eastAsia"/>
                <w:sz w:val="24"/>
              </w:rPr>
              <w:t>，同时，</w:t>
            </w:r>
            <w:r w:rsidR="007B6763" w:rsidRPr="007B6763">
              <w:rPr>
                <w:rFonts w:ascii="宋体" w:hAnsi="宋体" w:cs="Arial" w:hint="eastAsia"/>
                <w:sz w:val="24"/>
              </w:rPr>
              <w:t>雅江水电、新藏铁路等重大项目有望带动区域增量</w:t>
            </w:r>
            <w:r w:rsidR="007B6763">
              <w:rPr>
                <w:rFonts w:ascii="宋体" w:hAnsi="宋体" w:cs="Arial" w:hint="eastAsia"/>
                <w:sz w:val="24"/>
              </w:rPr>
              <w:t>。</w:t>
            </w:r>
          </w:p>
          <w:p w14:paraId="3241A621" w14:textId="2EC2410B" w:rsidR="00110E91" w:rsidRPr="00163D5D" w:rsidRDefault="005A4085" w:rsidP="00682DD0">
            <w:pPr>
              <w:autoSpaceDE w:val="0"/>
              <w:autoSpaceDN w:val="0"/>
              <w:adjustRightInd w:val="0"/>
              <w:snapToGrid w:val="0"/>
              <w:spacing w:line="360" w:lineRule="auto"/>
              <w:ind w:firstLineChars="200" w:firstLine="482"/>
              <w:rPr>
                <w:rFonts w:ascii="宋体" w:hAnsi="宋体" w:cs="Arial" w:hint="eastAsia"/>
                <w:b/>
                <w:bCs/>
                <w:sz w:val="24"/>
              </w:rPr>
            </w:pPr>
            <w:r w:rsidRPr="00163D5D">
              <w:rPr>
                <w:rFonts w:ascii="宋体" w:hAnsi="宋体" w:cs="Arial" w:hint="eastAsia"/>
                <w:b/>
                <w:bCs/>
                <w:sz w:val="24"/>
              </w:rPr>
              <w:t>（二）业务展望</w:t>
            </w:r>
          </w:p>
          <w:p w14:paraId="2FAB74E3" w14:textId="5D661A20" w:rsidR="005A4085" w:rsidRPr="005A4085" w:rsidRDefault="005A4085" w:rsidP="005A4085">
            <w:pPr>
              <w:autoSpaceDE w:val="0"/>
              <w:autoSpaceDN w:val="0"/>
              <w:adjustRightInd w:val="0"/>
              <w:snapToGrid w:val="0"/>
              <w:spacing w:line="360" w:lineRule="auto"/>
              <w:ind w:firstLineChars="200" w:firstLine="482"/>
              <w:rPr>
                <w:rFonts w:ascii="宋体" w:hAnsi="宋体" w:cs="Arial" w:hint="eastAsia"/>
                <w:sz w:val="24"/>
              </w:rPr>
            </w:pPr>
            <w:r>
              <w:rPr>
                <w:rFonts w:ascii="宋体" w:hAnsi="宋体" w:cs="Arial" w:hint="eastAsia"/>
                <w:b/>
                <w:bCs/>
                <w:sz w:val="24"/>
              </w:rPr>
              <w:t>工程技术服务：</w:t>
            </w:r>
            <w:r w:rsidRPr="00163D5D">
              <w:rPr>
                <w:rFonts w:ascii="宋体" w:hAnsi="宋体" w:cs="Arial" w:hint="eastAsia"/>
                <w:sz w:val="24"/>
              </w:rPr>
              <w:t>加快“思维转变”，</w:t>
            </w:r>
            <w:r w:rsidRPr="005A4085">
              <w:rPr>
                <w:rFonts w:ascii="宋体" w:hAnsi="宋体" w:cs="Arial" w:hint="eastAsia"/>
                <w:sz w:val="24"/>
              </w:rPr>
              <w:t>从“工程项目思维”向“产业经营思维”转变，从关注单一项目履约，转向关注全生命周期系统服务。</w:t>
            </w:r>
            <w:r w:rsidRPr="00163D5D">
              <w:rPr>
                <w:rFonts w:ascii="宋体" w:hAnsi="宋体" w:cs="Arial" w:hint="eastAsia"/>
                <w:sz w:val="24"/>
              </w:rPr>
              <w:t>强化“两端延伸”</w:t>
            </w:r>
            <w:r w:rsidRPr="005A4085">
              <w:rPr>
                <w:rFonts w:ascii="宋体" w:hAnsi="宋体" w:cs="Arial" w:hint="eastAsia"/>
                <w:sz w:val="24"/>
              </w:rPr>
              <w:t>，价值链前端提高自主技术供给和研发创新能力、提供差异化定制服务方案，价值链后端加快建立全球服务网络，为客户提供更快更好的服务。</w:t>
            </w:r>
            <w:r w:rsidRPr="00163D5D">
              <w:rPr>
                <w:rFonts w:ascii="宋体" w:hAnsi="宋体" w:cs="Arial" w:hint="eastAsia"/>
                <w:sz w:val="24"/>
              </w:rPr>
              <w:t>坚持“两端发力”</w:t>
            </w:r>
            <w:r w:rsidRPr="005A4085">
              <w:rPr>
                <w:rFonts w:ascii="宋体" w:hAnsi="宋体" w:cs="Arial" w:hint="eastAsia"/>
                <w:sz w:val="24"/>
              </w:rPr>
              <w:t>，强化产业链各个核心环节的协同发展，积极探索新的业务模式，提供一揽子综合解决方案。</w:t>
            </w:r>
          </w:p>
          <w:p w14:paraId="4F1F0FD9" w14:textId="72640AAF" w:rsidR="005A4085" w:rsidRDefault="00CA5E83" w:rsidP="00CA5E83">
            <w:pPr>
              <w:autoSpaceDE w:val="0"/>
              <w:autoSpaceDN w:val="0"/>
              <w:adjustRightInd w:val="0"/>
              <w:snapToGrid w:val="0"/>
              <w:spacing w:line="360" w:lineRule="auto"/>
              <w:ind w:firstLineChars="200" w:firstLine="482"/>
              <w:rPr>
                <w:rFonts w:ascii="宋体" w:hAnsi="宋体" w:cs="Arial" w:hint="eastAsia"/>
                <w:sz w:val="24"/>
              </w:rPr>
            </w:pPr>
            <w:r w:rsidRPr="00163D5D">
              <w:rPr>
                <w:rFonts w:ascii="宋体" w:hAnsi="宋体" w:cs="Arial" w:hint="eastAsia"/>
                <w:b/>
                <w:bCs/>
                <w:sz w:val="24"/>
              </w:rPr>
              <w:t>高端装备制造：</w:t>
            </w:r>
            <w:r w:rsidRPr="00CA5E83">
              <w:rPr>
                <w:rFonts w:ascii="宋体" w:hAnsi="宋体" w:cs="Arial" w:hint="eastAsia"/>
                <w:sz w:val="24"/>
              </w:rPr>
              <w:t>加快推动“两外一服”落地，形成装备与工程双向联动，打造全球领先的高端装备平台。不断完善原创技术供给能力。加快关键技术及装备研发应用,打造一批先进示范工程和验证平台,将装备智造园打造成为全球标杆基地。强化战略层面对“两外一服”的顶层设计，提升两外收入占比。大力推进全球营销网络和服务中心建设。扎实做好专业化整合融合，充分释放规模效应和协同价值。大力践行“内生增长+投资并购+资本运作”多条腿走路理念,聚焦产业链关键核心环节实施延链补链强链。</w:t>
            </w:r>
          </w:p>
          <w:p w14:paraId="4E76768D" w14:textId="67614062" w:rsidR="00CA5E83" w:rsidRPr="00CA5E83" w:rsidRDefault="00CA5E83" w:rsidP="00CA5E83">
            <w:pPr>
              <w:autoSpaceDE w:val="0"/>
              <w:autoSpaceDN w:val="0"/>
              <w:adjustRightInd w:val="0"/>
              <w:snapToGrid w:val="0"/>
              <w:spacing w:line="360" w:lineRule="auto"/>
              <w:ind w:firstLineChars="200" w:firstLine="482"/>
              <w:rPr>
                <w:rFonts w:ascii="宋体" w:hAnsi="宋体" w:cs="Arial" w:hint="eastAsia"/>
                <w:sz w:val="24"/>
              </w:rPr>
            </w:pPr>
            <w:r w:rsidRPr="00163D5D">
              <w:rPr>
                <w:rFonts w:ascii="宋体" w:hAnsi="宋体" w:cs="Arial" w:hint="eastAsia"/>
                <w:b/>
                <w:bCs/>
                <w:sz w:val="24"/>
              </w:rPr>
              <w:t>生产运营服务：</w:t>
            </w:r>
            <w:r w:rsidRPr="00CA5E83">
              <w:rPr>
                <w:rFonts w:ascii="宋体" w:hAnsi="宋体" w:cs="Arial" w:hint="eastAsia"/>
                <w:sz w:val="24"/>
              </w:rPr>
              <w:t>以“EPC+数智+运维”集成服务模式，提供定制化综合解决方案，进一步增强客户粘性，提升EPC向运维转化率</w:t>
            </w:r>
            <w:r>
              <w:rPr>
                <w:rFonts w:ascii="宋体" w:hAnsi="宋体" w:cs="Arial" w:hint="eastAsia"/>
                <w:sz w:val="24"/>
              </w:rPr>
              <w:t>。</w:t>
            </w:r>
            <w:r w:rsidRPr="00CA5E83">
              <w:rPr>
                <w:rFonts w:ascii="宋体" w:hAnsi="宋体" w:cs="Arial" w:hint="eastAsia"/>
                <w:sz w:val="24"/>
              </w:rPr>
              <w:t>强化区域资源共享，统一智慧运维平台标准，降低成本，打造标准化运维服务模式和标杆示范项目。构建“大运维”服务生态，加大向综合服务商转型力度，构建覆盖多领域的集成</w:t>
            </w:r>
            <w:r w:rsidRPr="00CA5E83">
              <w:rPr>
                <w:rFonts w:ascii="宋体" w:hAnsi="宋体" w:cs="Arial" w:hint="eastAsia"/>
                <w:sz w:val="24"/>
              </w:rPr>
              <w:lastRenderedPageBreak/>
              <w:t>服务体系。</w:t>
            </w:r>
          </w:p>
          <w:p w14:paraId="599F7376" w14:textId="77777777" w:rsidR="003B4658" w:rsidRDefault="00000000">
            <w:pPr>
              <w:autoSpaceDE w:val="0"/>
              <w:autoSpaceDN w:val="0"/>
              <w:adjustRightInd w:val="0"/>
              <w:snapToGrid w:val="0"/>
              <w:spacing w:line="360" w:lineRule="auto"/>
              <w:rPr>
                <w:rFonts w:ascii="宋体" w:hAnsi="宋体" w:cs="Arial" w:hint="eastAsia"/>
                <w:b/>
                <w:sz w:val="24"/>
              </w:rPr>
            </w:pPr>
            <w:r>
              <w:rPr>
                <w:rFonts w:ascii="宋体" w:hAnsi="宋体" w:cs="Arial" w:hint="eastAsia"/>
                <w:b/>
                <w:sz w:val="24"/>
              </w:rPr>
              <w:t>二、互动交流</w:t>
            </w:r>
          </w:p>
          <w:p w14:paraId="6FC0262F" w14:textId="3DE25440" w:rsidR="003B4658" w:rsidRDefault="00972448">
            <w:pPr>
              <w:autoSpaceDE w:val="0"/>
              <w:autoSpaceDN w:val="0"/>
              <w:adjustRightInd w:val="0"/>
              <w:snapToGrid w:val="0"/>
              <w:spacing w:line="360" w:lineRule="auto"/>
              <w:ind w:firstLineChars="200" w:firstLine="482"/>
              <w:rPr>
                <w:rFonts w:ascii="宋体" w:hAnsi="宋体" w:cs="Arial" w:hint="eastAsia"/>
                <w:b/>
                <w:bCs/>
                <w:sz w:val="24"/>
              </w:rPr>
            </w:pPr>
            <w:r>
              <w:rPr>
                <w:rFonts w:ascii="宋体" w:hAnsi="宋体" w:cs="Arial" w:hint="eastAsia"/>
                <w:b/>
                <w:bCs/>
                <w:sz w:val="24"/>
              </w:rPr>
              <w:t>1. 公司应收账款及合同资产有所增长，请问公司对应收账款及合同资产主要有哪些管控措施？</w:t>
            </w:r>
          </w:p>
          <w:p w14:paraId="3985D767"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答：公司两金规模受行业特点、业务模式及客户结算周期等多种因素影响。报告期，国内下游行业景气度及部分业主融资进度一定程度上影响了收入结算进度，公司应收账款及合同资产呈上升趋势。公司管理层高度重视，并确立了以下七项重点管控举措：</w:t>
            </w:r>
          </w:p>
          <w:p w14:paraId="5EA56DD9" w14:textId="77777777" w:rsidR="003B4658" w:rsidRDefault="00000000">
            <w:pPr>
              <w:autoSpaceDE w:val="0"/>
              <w:autoSpaceDN w:val="0"/>
              <w:adjustRightInd w:val="0"/>
              <w:snapToGrid w:val="0"/>
              <w:spacing w:line="360" w:lineRule="auto"/>
              <w:ind w:firstLineChars="200" w:firstLine="482"/>
              <w:rPr>
                <w:rFonts w:ascii="宋体" w:hAnsi="宋体" w:cs="Arial" w:hint="eastAsia"/>
                <w:sz w:val="24"/>
              </w:rPr>
            </w:pPr>
            <w:r w:rsidRPr="002B71C4">
              <w:rPr>
                <w:rFonts w:ascii="宋体" w:hAnsi="宋体" w:cs="Arial" w:hint="eastAsia"/>
                <w:b/>
                <w:bCs/>
                <w:sz w:val="24"/>
              </w:rPr>
              <w:t>一是强化组织保障</w:t>
            </w:r>
            <w:r>
              <w:rPr>
                <w:rFonts w:ascii="宋体" w:hAnsi="宋体" w:cs="Arial" w:hint="eastAsia"/>
                <w:sz w:val="24"/>
              </w:rPr>
              <w:t>：公司已成立由董事长为第一责任人，相关领导和部门共同组成的“两金”压降工作组牵头“两金”压降工作。</w:t>
            </w:r>
          </w:p>
          <w:p w14:paraId="0B73F919" w14:textId="77777777" w:rsidR="003B4658" w:rsidRDefault="00000000">
            <w:pPr>
              <w:autoSpaceDE w:val="0"/>
              <w:autoSpaceDN w:val="0"/>
              <w:adjustRightInd w:val="0"/>
              <w:snapToGrid w:val="0"/>
              <w:spacing w:line="360" w:lineRule="auto"/>
              <w:ind w:firstLineChars="200" w:firstLine="482"/>
              <w:rPr>
                <w:rFonts w:ascii="宋体" w:hAnsi="宋体" w:cs="Arial" w:hint="eastAsia"/>
                <w:sz w:val="24"/>
              </w:rPr>
            </w:pPr>
            <w:r w:rsidRPr="002B71C4">
              <w:rPr>
                <w:rFonts w:ascii="宋体" w:hAnsi="宋体" w:cs="Arial" w:hint="eastAsia"/>
                <w:b/>
                <w:bCs/>
                <w:sz w:val="24"/>
              </w:rPr>
              <w:t>二是严格考核机制</w:t>
            </w:r>
            <w:r>
              <w:rPr>
                <w:rFonts w:ascii="宋体" w:hAnsi="宋体" w:cs="Arial" w:hint="eastAsia"/>
                <w:sz w:val="24"/>
              </w:rPr>
              <w:t>：公司管理制度将“两金”压降成效与所属企业领导班子薪酬相挂钩、强匹配，并将“两金”压降目标纳入各单位考核目标，实现全级次100%覆盖，并严格落实考核机制，推动挖潜增效。</w:t>
            </w:r>
          </w:p>
          <w:p w14:paraId="7B27F0B2" w14:textId="77777777" w:rsidR="003B4658" w:rsidRDefault="00000000">
            <w:pPr>
              <w:autoSpaceDE w:val="0"/>
              <w:autoSpaceDN w:val="0"/>
              <w:adjustRightInd w:val="0"/>
              <w:snapToGrid w:val="0"/>
              <w:spacing w:line="360" w:lineRule="auto"/>
              <w:ind w:firstLineChars="200" w:firstLine="482"/>
              <w:rPr>
                <w:rFonts w:ascii="宋体" w:hAnsi="宋体" w:cs="Arial" w:hint="eastAsia"/>
                <w:sz w:val="24"/>
              </w:rPr>
            </w:pPr>
            <w:r w:rsidRPr="002B71C4">
              <w:rPr>
                <w:rFonts w:ascii="宋体" w:hAnsi="宋体" w:cs="Arial" w:hint="eastAsia"/>
                <w:b/>
                <w:bCs/>
                <w:sz w:val="24"/>
              </w:rPr>
              <w:t>三是持续跟踪通报</w:t>
            </w:r>
            <w:r>
              <w:rPr>
                <w:rFonts w:ascii="宋体" w:hAnsi="宋体" w:cs="Arial" w:hint="eastAsia"/>
                <w:sz w:val="24"/>
              </w:rPr>
              <w:t>：在月度会上持续对所属单位压降情况进行通报，适时召开专题会议、对压降不力的单位进行专题调研，剖析原因、制定措施、督导落实。</w:t>
            </w:r>
          </w:p>
          <w:p w14:paraId="4649DAD8" w14:textId="77777777" w:rsidR="003B4658" w:rsidRDefault="00000000">
            <w:pPr>
              <w:autoSpaceDE w:val="0"/>
              <w:autoSpaceDN w:val="0"/>
              <w:adjustRightInd w:val="0"/>
              <w:snapToGrid w:val="0"/>
              <w:spacing w:line="360" w:lineRule="auto"/>
              <w:ind w:firstLineChars="200" w:firstLine="482"/>
              <w:rPr>
                <w:rFonts w:ascii="宋体" w:hAnsi="宋体" w:cs="Arial" w:hint="eastAsia"/>
                <w:sz w:val="24"/>
              </w:rPr>
            </w:pPr>
            <w:r w:rsidRPr="002B71C4">
              <w:rPr>
                <w:rFonts w:ascii="宋体" w:hAnsi="宋体" w:cs="Arial" w:hint="eastAsia"/>
                <w:b/>
                <w:bCs/>
                <w:sz w:val="24"/>
              </w:rPr>
              <w:t>四是开展内部协同</w:t>
            </w:r>
            <w:r>
              <w:rPr>
                <w:rFonts w:ascii="宋体" w:hAnsi="宋体" w:cs="Arial" w:hint="eastAsia"/>
                <w:sz w:val="24"/>
              </w:rPr>
              <w:t>：对于长账龄、回收难度较大的款项，后续公司会进一步利用好司库等系统，发挥内部协同作用，重点梳理应收应付双挂的情况，协调相关单位探索通过三方抵债等方式进行压降。</w:t>
            </w:r>
          </w:p>
          <w:p w14:paraId="1A5D65D1" w14:textId="77777777" w:rsidR="003B4658" w:rsidRDefault="00000000">
            <w:pPr>
              <w:autoSpaceDE w:val="0"/>
              <w:autoSpaceDN w:val="0"/>
              <w:adjustRightInd w:val="0"/>
              <w:snapToGrid w:val="0"/>
              <w:spacing w:line="360" w:lineRule="auto"/>
              <w:ind w:firstLineChars="200" w:firstLine="482"/>
              <w:rPr>
                <w:rFonts w:ascii="宋体" w:hAnsi="宋体" w:cs="Arial" w:hint="eastAsia"/>
                <w:sz w:val="24"/>
              </w:rPr>
            </w:pPr>
            <w:r w:rsidRPr="002B71C4">
              <w:rPr>
                <w:rFonts w:ascii="宋体" w:hAnsi="宋体" w:cs="Arial" w:hint="eastAsia"/>
                <w:b/>
                <w:bCs/>
                <w:sz w:val="24"/>
              </w:rPr>
              <w:t>五是保持“三务”联动</w:t>
            </w:r>
            <w:r>
              <w:rPr>
                <w:rFonts w:ascii="宋体" w:hAnsi="宋体" w:cs="Arial" w:hint="eastAsia"/>
                <w:sz w:val="24"/>
              </w:rPr>
              <w:t>：公司已建立了业务、法务、财务“三务”联动机制，持续强化客户信用分级管理、严控高风险业务以及强化法律清收等回款管理，下半年还将持续保持“三务”联动，共享信息、共商措施。</w:t>
            </w:r>
          </w:p>
          <w:p w14:paraId="0C17B222" w14:textId="77777777" w:rsidR="003B4658" w:rsidRDefault="00000000">
            <w:pPr>
              <w:autoSpaceDE w:val="0"/>
              <w:autoSpaceDN w:val="0"/>
              <w:adjustRightInd w:val="0"/>
              <w:snapToGrid w:val="0"/>
              <w:spacing w:line="360" w:lineRule="auto"/>
              <w:ind w:firstLineChars="200" w:firstLine="482"/>
              <w:rPr>
                <w:rFonts w:ascii="宋体" w:hAnsi="宋体" w:cs="Arial" w:hint="eastAsia"/>
                <w:sz w:val="24"/>
              </w:rPr>
            </w:pPr>
            <w:r w:rsidRPr="002B71C4">
              <w:rPr>
                <w:rFonts w:ascii="宋体" w:hAnsi="宋体" w:cs="Arial" w:hint="eastAsia"/>
                <w:b/>
                <w:bCs/>
                <w:sz w:val="24"/>
              </w:rPr>
              <w:t>六是各单位具体落实</w:t>
            </w:r>
            <w:r>
              <w:rPr>
                <w:rFonts w:ascii="宋体" w:hAnsi="宋体" w:cs="Arial" w:hint="eastAsia"/>
                <w:sz w:val="24"/>
              </w:rPr>
              <w:t>：根据实际业务情况制定针对性的压降目标与措施，重点跟踪关键客户，强化动态监测和预警，制定催收计划，加强沟通协作，及时落实结算、收款工作。</w:t>
            </w:r>
          </w:p>
          <w:p w14:paraId="04198677" w14:textId="77777777" w:rsidR="003B4658" w:rsidRDefault="00000000">
            <w:pPr>
              <w:autoSpaceDE w:val="0"/>
              <w:autoSpaceDN w:val="0"/>
              <w:adjustRightInd w:val="0"/>
              <w:snapToGrid w:val="0"/>
              <w:spacing w:line="360" w:lineRule="auto"/>
              <w:ind w:firstLineChars="200" w:firstLine="482"/>
              <w:rPr>
                <w:rFonts w:ascii="宋体" w:hAnsi="宋体" w:cs="Arial" w:hint="eastAsia"/>
                <w:sz w:val="24"/>
              </w:rPr>
            </w:pPr>
            <w:r w:rsidRPr="002B71C4">
              <w:rPr>
                <w:rFonts w:ascii="宋体" w:hAnsi="宋体" w:cs="Arial" w:hint="eastAsia"/>
                <w:b/>
                <w:bCs/>
                <w:sz w:val="24"/>
              </w:rPr>
              <w:t>七是纪委审计监督</w:t>
            </w:r>
            <w:r>
              <w:rPr>
                <w:rFonts w:ascii="宋体" w:hAnsi="宋体" w:cs="Arial" w:hint="eastAsia"/>
                <w:sz w:val="24"/>
              </w:rPr>
              <w:t>：公司审计部持续加强对重点子企业“两金”压降的审计检查，纪委巡察部门继续发挥监督作用。</w:t>
            </w:r>
          </w:p>
          <w:p w14:paraId="62483AFA"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公司会持续将应收账款与合同资产管控作为重点工作，为公司高质量发展</w:t>
            </w:r>
            <w:r>
              <w:rPr>
                <w:rFonts w:ascii="宋体" w:hAnsi="宋体" w:cs="Arial" w:hint="eastAsia"/>
                <w:sz w:val="24"/>
              </w:rPr>
              <w:lastRenderedPageBreak/>
              <w:t>保驾护航。</w:t>
            </w:r>
          </w:p>
          <w:p w14:paraId="080B680F" w14:textId="63D34F25" w:rsidR="003B4658" w:rsidRDefault="006A6483">
            <w:pPr>
              <w:autoSpaceDE w:val="0"/>
              <w:autoSpaceDN w:val="0"/>
              <w:adjustRightInd w:val="0"/>
              <w:snapToGrid w:val="0"/>
              <w:spacing w:line="360" w:lineRule="auto"/>
              <w:ind w:firstLineChars="200" w:firstLine="482"/>
              <w:rPr>
                <w:rFonts w:ascii="宋体" w:hAnsi="宋体" w:cs="Arial" w:hint="eastAsia"/>
                <w:b/>
                <w:bCs/>
                <w:sz w:val="24"/>
              </w:rPr>
            </w:pPr>
            <w:r>
              <w:rPr>
                <w:rFonts w:ascii="宋体" w:hAnsi="宋体" w:cs="Arial" w:hint="eastAsia"/>
                <w:b/>
                <w:bCs/>
                <w:sz w:val="24"/>
              </w:rPr>
              <w:t>2.</w:t>
            </w:r>
            <w:r w:rsidR="00972448">
              <w:rPr>
                <w:rFonts w:ascii="宋体" w:hAnsi="宋体" w:cs="Arial" w:hint="eastAsia"/>
                <w:b/>
                <w:bCs/>
                <w:sz w:val="24"/>
              </w:rPr>
              <w:t xml:space="preserve"> </w:t>
            </w:r>
            <w:r>
              <w:rPr>
                <w:rFonts w:ascii="宋体" w:hAnsi="宋体" w:cs="Arial" w:hint="eastAsia"/>
                <w:b/>
                <w:bCs/>
                <w:sz w:val="24"/>
              </w:rPr>
              <w:t>请对公司“十五五”发展进行展望。</w:t>
            </w:r>
          </w:p>
          <w:p w14:paraId="40BC05DF" w14:textId="1A182AAC"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答：关于“十五五”规划，公司从2024年底开始谋划部署，</w:t>
            </w:r>
            <w:r w:rsidR="000F6CA4">
              <w:rPr>
                <w:rFonts w:ascii="宋体" w:hAnsi="宋体" w:cs="Arial" w:hint="eastAsia"/>
                <w:sz w:val="24"/>
              </w:rPr>
              <w:t>多次</w:t>
            </w:r>
            <w:r>
              <w:rPr>
                <w:rFonts w:ascii="宋体" w:hAnsi="宋体" w:cs="Arial" w:hint="eastAsia"/>
                <w:sz w:val="24"/>
              </w:rPr>
              <w:t>召开战略规划系列研讨会，集团和股份领导多次莅临指导，外部董事、独立董事积极建言献策，外部专业咨询机构保驾护航。经过多方充分研讨，已经形成了初步发展思路：公司会继续秉持稳中求进工作总基调，推动业绩向上、结构向优、质效向好，全面融入集团产业布局，作为集团海外再造先锋官，在集团海外再造中发挥更大的作用；建强“十五五”战略科技力量，创新是发展第一动力，我们要增加高质量科技供给，扎实推动科技创新和产业创新深度融合，以新产业、新市场打开增量空间；坚持发展速度与发展质量并重，强基固本，夯实高质量发展根基，奋力实现新一轮跨越发展。</w:t>
            </w:r>
          </w:p>
          <w:p w14:paraId="083A0EBD"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目前公司“十五五”战略仍在讨论制定中，正式发布后会再向资本市场进行全面解读，欢迎广大投资者持续关注。</w:t>
            </w:r>
          </w:p>
          <w:p w14:paraId="3654159E" w14:textId="217B1F41" w:rsidR="003B4658" w:rsidRDefault="006A6483">
            <w:pPr>
              <w:autoSpaceDE w:val="0"/>
              <w:autoSpaceDN w:val="0"/>
              <w:adjustRightInd w:val="0"/>
              <w:snapToGrid w:val="0"/>
              <w:spacing w:line="360" w:lineRule="auto"/>
              <w:ind w:firstLineChars="200" w:firstLine="482"/>
              <w:rPr>
                <w:rFonts w:ascii="宋体" w:hAnsi="宋体" w:cs="Arial" w:hint="eastAsia"/>
                <w:b/>
                <w:bCs/>
                <w:sz w:val="24"/>
              </w:rPr>
            </w:pPr>
            <w:r>
              <w:rPr>
                <w:rFonts w:ascii="宋体" w:hAnsi="宋体" w:cs="Arial" w:hint="eastAsia"/>
                <w:b/>
                <w:bCs/>
                <w:sz w:val="24"/>
              </w:rPr>
              <w:t>3. 请公司对运维业务未来发展进行展望</w:t>
            </w:r>
            <w:r w:rsidR="000F6CA4">
              <w:rPr>
                <w:rFonts w:ascii="宋体" w:hAnsi="宋体" w:cs="Arial" w:hint="eastAsia"/>
                <w:b/>
                <w:bCs/>
                <w:sz w:val="24"/>
              </w:rPr>
              <w:t>。</w:t>
            </w:r>
          </w:p>
          <w:p w14:paraId="52CE27A3"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答：运维业务是公司战略的重要支撑，公司运维业务目前已经形成一定的规模优势，并进一步促进规模优势转化成价值优势。</w:t>
            </w:r>
          </w:p>
          <w:p w14:paraId="49D37EDE" w14:textId="77777777" w:rsidR="003B4658" w:rsidRDefault="00000000">
            <w:pPr>
              <w:autoSpaceDE w:val="0"/>
              <w:autoSpaceDN w:val="0"/>
              <w:adjustRightInd w:val="0"/>
              <w:snapToGrid w:val="0"/>
              <w:spacing w:line="360" w:lineRule="auto"/>
              <w:ind w:firstLineChars="200" w:firstLine="482"/>
              <w:rPr>
                <w:rFonts w:ascii="宋体" w:hAnsi="宋体" w:cs="Arial" w:hint="eastAsia"/>
                <w:sz w:val="24"/>
              </w:rPr>
            </w:pPr>
            <w:r w:rsidRPr="00F928D6">
              <w:rPr>
                <w:rFonts w:ascii="宋体" w:hAnsi="宋体" w:cs="Arial" w:hint="eastAsia"/>
                <w:b/>
                <w:bCs/>
                <w:sz w:val="24"/>
              </w:rPr>
              <w:t>在水泥工厂运维方面</w:t>
            </w:r>
            <w:r>
              <w:rPr>
                <w:rFonts w:ascii="宋体" w:hAnsi="宋体" w:cs="Arial" w:hint="eastAsia"/>
                <w:sz w:val="24"/>
              </w:rPr>
              <w:t>，公司将重点推动业务“由点及面”发展，通过推广“EPC+数智+运维”集成服务模式，打造标准化、智能化的运维服务示范；围绕客户需求，形成区域规模化发展范式；坚持存量与增量市场并重，通过绿智改造提升，推动水泥工厂运维存量优化和增量拓展；强化区域资源共享和协同，打造智能运维平台，通过数字化、智能化技术应用，降低运营成本，增强客户粘度，构建“大运维”服务生态，形成全球联动的运维服务网络。</w:t>
            </w:r>
          </w:p>
          <w:p w14:paraId="51B6DEA4" w14:textId="77777777" w:rsidR="003B4658" w:rsidRDefault="00000000">
            <w:pPr>
              <w:autoSpaceDE w:val="0"/>
              <w:autoSpaceDN w:val="0"/>
              <w:adjustRightInd w:val="0"/>
              <w:snapToGrid w:val="0"/>
              <w:spacing w:line="360" w:lineRule="auto"/>
              <w:ind w:firstLineChars="200" w:firstLine="482"/>
              <w:rPr>
                <w:rFonts w:ascii="宋体" w:hAnsi="宋体" w:cs="Arial" w:hint="eastAsia"/>
                <w:sz w:val="24"/>
              </w:rPr>
            </w:pPr>
            <w:r w:rsidRPr="00F928D6">
              <w:rPr>
                <w:rFonts w:ascii="宋体" w:hAnsi="宋体" w:cs="Arial" w:hint="eastAsia"/>
                <w:b/>
                <w:bCs/>
                <w:sz w:val="24"/>
              </w:rPr>
              <w:t>在矿山运维方面</w:t>
            </w:r>
            <w:r>
              <w:rPr>
                <w:rFonts w:ascii="宋体" w:hAnsi="宋体" w:cs="Arial" w:hint="eastAsia"/>
                <w:sz w:val="24"/>
              </w:rPr>
              <w:t>，公司将在巩固传统业务优势的基础之上，进一步完善核心能力和专业化人才队伍，从新签合同看，境外矿山业务量稳步增长，另外，持续推进业务模式创新，拓展“采选一体”模式，加大“两外”拓展力度和步伐，构建统一的矿山运维品牌和业务发展体系。</w:t>
            </w:r>
          </w:p>
          <w:p w14:paraId="6F882B2B"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此外，公司将提升矿山业务发展的战略视野，立足中国建材集团非金属材料制造及相关资本投资公司的战略定位，结合公司战略发展目标和全球业务布</w:t>
            </w:r>
            <w:r>
              <w:rPr>
                <w:rFonts w:ascii="宋体" w:hAnsi="宋体" w:cs="Arial" w:hint="eastAsia"/>
                <w:sz w:val="24"/>
              </w:rPr>
              <w:lastRenderedPageBreak/>
              <w:t>局，系统推进全链条矿山业务发展，充分发挥中材矿山、装备集团及工程企业综合优势和能力，发挥全球属地化经营的优势，构建覆盖矿山技术与装备研发、矿山工程总承包及运维服务等领域的核心业务架构，打造一体化矿山业务生态。</w:t>
            </w:r>
          </w:p>
          <w:p w14:paraId="55ECF88C"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公司已经初步构建起覆盖水泥工程、矿山、数智、绿能、环保等多领域的集成服务体系，未来将持续强化技术创新和内部协同，推出“运维+技改”“运维+供应链”等增值产品服务，锁定长期服务价值，扩大运维业务规模，打造全产业链一站式服务方案，加快推进向综合服务商的战略转型。</w:t>
            </w:r>
          </w:p>
          <w:p w14:paraId="7F07EA4C" w14:textId="3B800D0A" w:rsidR="003B4658" w:rsidRDefault="00D000BE">
            <w:pPr>
              <w:autoSpaceDE w:val="0"/>
              <w:autoSpaceDN w:val="0"/>
              <w:adjustRightInd w:val="0"/>
              <w:snapToGrid w:val="0"/>
              <w:spacing w:line="360" w:lineRule="auto"/>
              <w:ind w:firstLineChars="200" w:firstLine="482"/>
              <w:rPr>
                <w:rFonts w:ascii="宋体" w:hAnsi="宋体" w:cs="Arial" w:hint="eastAsia"/>
                <w:b/>
                <w:bCs/>
                <w:sz w:val="24"/>
              </w:rPr>
            </w:pPr>
            <w:r>
              <w:rPr>
                <w:rFonts w:ascii="宋体" w:hAnsi="宋体" w:cs="Arial" w:hint="eastAsia"/>
                <w:b/>
                <w:bCs/>
                <w:sz w:val="24"/>
              </w:rPr>
              <w:t>4. 请介绍公司装备业务发展规划。</w:t>
            </w:r>
          </w:p>
          <w:p w14:paraId="3C8D5011" w14:textId="2A4B1710"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答：展望“十五五”，公司将持续深化装备产业平台建设，重点围绕以下三个方面全力推进：</w:t>
            </w:r>
          </w:p>
          <w:p w14:paraId="14456C6D" w14:textId="77777777" w:rsidR="003B4658" w:rsidRDefault="00000000">
            <w:pPr>
              <w:autoSpaceDE w:val="0"/>
              <w:autoSpaceDN w:val="0"/>
              <w:adjustRightInd w:val="0"/>
              <w:snapToGrid w:val="0"/>
              <w:spacing w:line="360" w:lineRule="auto"/>
              <w:ind w:firstLineChars="200" w:firstLine="482"/>
              <w:rPr>
                <w:rFonts w:ascii="宋体" w:hAnsi="宋体" w:cs="Arial" w:hint="eastAsia"/>
                <w:sz w:val="24"/>
              </w:rPr>
            </w:pPr>
            <w:r w:rsidRPr="00F928D6">
              <w:rPr>
                <w:rFonts w:ascii="宋体" w:hAnsi="宋体" w:cs="Arial" w:hint="eastAsia"/>
                <w:b/>
                <w:bCs/>
                <w:sz w:val="24"/>
              </w:rPr>
              <w:t>一是完善原创技术供给能力。</w:t>
            </w:r>
            <w:r>
              <w:rPr>
                <w:rFonts w:ascii="宋体" w:hAnsi="宋体" w:cs="Arial" w:hint="eastAsia"/>
                <w:sz w:val="24"/>
              </w:rPr>
              <w:t>依托装备集团的深厚发展基础和科研创新能力，坚持以“科技驱动+数智赋能”为核心，持续提升装备质量、性能和服务水平；系统规划“十五五”装备技术发展路径，完善国内外知识产权战略布局；深入实施科技成果应用拓展工程，建设一批先进示范工程和验证平台，将装备智造园打造成为全球智造的标杆基地。</w:t>
            </w:r>
          </w:p>
          <w:p w14:paraId="465D59AE" w14:textId="77777777" w:rsidR="003B4658" w:rsidRDefault="00000000">
            <w:pPr>
              <w:autoSpaceDE w:val="0"/>
              <w:autoSpaceDN w:val="0"/>
              <w:adjustRightInd w:val="0"/>
              <w:snapToGrid w:val="0"/>
              <w:spacing w:line="360" w:lineRule="auto"/>
              <w:ind w:firstLineChars="200" w:firstLine="482"/>
              <w:rPr>
                <w:rFonts w:ascii="宋体" w:hAnsi="宋体" w:cs="Arial" w:hint="eastAsia"/>
                <w:sz w:val="24"/>
              </w:rPr>
            </w:pPr>
            <w:r w:rsidRPr="00F928D6">
              <w:rPr>
                <w:rFonts w:ascii="宋体" w:hAnsi="宋体" w:cs="Arial" w:hint="eastAsia"/>
                <w:b/>
                <w:bCs/>
                <w:sz w:val="24"/>
              </w:rPr>
              <w:t>二是加速推进“两外一服”战略落地。</w:t>
            </w:r>
            <w:r>
              <w:rPr>
                <w:rFonts w:ascii="宋体" w:hAnsi="宋体" w:cs="Arial" w:hint="eastAsia"/>
                <w:sz w:val="24"/>
              </w:rPr>
              <w:t>加强顶层设计与战略统筹，实现客户管理、对外宣传与品牌建设的一体化运作，加快从产品思维向服务思维转变。持续优化全球业务布局，加快建设全球营销网络与服务体系，强化资源投入与配套保障，通过“国内市场先行验证，海外市场精准适配”，推动重点区域服务中心在境外技改及备品备件业务拓展方面实现新突破。</w:t>
            </w:r>
          </w:p>
          <w:p w14:paraId="06463803" w14:textId="77777777" w:rsidR="003B4658" w:rsidRDefault="00000000">
            <w:pPr>
              <w:autoSpaceDE w:val="0"/>
              <w:autoSpaceDN w:val="0"/>
              <w:adjustRightInd w:val="0"/>
              <w:snapToGrid w:val="0"/>
              <w:spacing w:line="360" w:lineRule="auto"/>
              <w:ind w:firstLineChars="200" w:firstLine="482"/>
              <w:rPr>
                <w:rFonts w:ascii="宋体" w:hAnsi="宋体" w:cs="Arial" w:hint="eastAsia"/>
                <w:sz w:val="24"/>
              </w:rPr>
            </w:pPr>
            <w:r w:rsidRPr="00F928D6">
              <w:rPr>
                <w:rFonts w:ascii="宋体" w:hAnsi="宋体" w:cs="Arial" w:hint="eastAsia"/>
                <w:b/>
                <w:bCs/>
                <w:sz w:val="24"/>
              </w:rPr>
              <w:t>三是深化专业整合与融合发展。</w:t>
            </w:r>
            <w:r>
              <w:rPr>
                <w:rFonts w:ascii="宋体" w:hAnsi="宋体" w:cs="Arial" w:hint="eastAsia"/>
                <w:sz w:val="24"/>
              </w:rPr>
              <w:t>充分释放规模效应和协同价值，加快推进高端装备制造数字化、绿色化、国际化、服务化转型升级，构建装备与工程双向赋能、良性互促的发展格局。持续推进“强链补链”，多渠道、多途径拓展装备多元业务，加强对集团战新产业支撑，实现设备的国产化替代与成本优化，为公司发展提供坚实有力支撑。</w:t>
            </w:r>
          </w:p>
          <w:p w14:paraId="4EDF8FB9"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公司装备业务将持续稳扎稳打，以扎实的技术突破、高效的战略落地与深度的资源整合，为公司构建更具竞争力的发展格局筑牢基础。</w:t>
            </w:r>
          </w:p>
          <w:p w14:paraId="719994BB" w14:textId="07CBABC1" w:rsidR="003B4658" w:rsidRDefault="00D000BE">
            <w:pPr>
              <w:autoSpaceDE w:val="0"/>
              <w:autoSpaceDN w:val="0"/>
              <w:adjustRightInd w:val="0"/>
              <w:snapToGrid w:val="0"/>
              <w:spacing w:line="360" w:lineRule="auto"/>
              <w:ind w:firstLineChars="200" w:firstLine="482"/>
              <w:rPr>
                <w:rFonts w:ascii="宋体" w:hAnsi="宋体" w:cs="Arial" w:hint="eastAsia"/>
                <w:b/>
                <w:bCs/>
                <w:sz w:val="24"/>
              </w:rPr>
            </w:pPr>
            <w:r>
              <w:rPr>
                <w:rFonts w:ascii="宋体" w:hAnsi="宋体" w:cs="Arial" w:hint="eastAsia"/>
                <w:b/>
                <w:bCs/>
                <w:sz w:val="24"/>
              </w:rPr>
              <w:lastRenderedPageBreak/>
              <w:t>5. 中材国际</w:t>
            </w:r>
            <w:r w:rsidR="00047D57">
              <w:rPr>
                <w:rFonts w:ascii="宋体" w:hAnsi="宋体" w:cs="Arial" w:hint="eastAsia"/>
                <w:b/>
                <w:bCs/>
                <w:sz w:val="24"/>
              </w:rPr>
              <w:t>如何</w:t>
            </w:r>
            <w:r>
              <w:rPr>
                <w:rFonts w:ascii="宋体" w:hAnsi="宋体" w:cs="Arial" w:hint="eastAsia"/>
                <w:b/>
                <w:bCs/>
                <w:sz w:val="24"/>
              </w:rPr>
              <w:t>助力国内水泥行业低碳转型？</w:t>
            </w:r>
          </w:p>
          <w:p w14:paraId="0C32BB05" w14:textId="5FF1557F"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答：中材国际作为推动全球水泥行业绿色低碳发展的系统集成服务商，依托强大科技创新能力和海量应用场景，形成了从试验到应用、从源头到末端的全产业链条、全生命周期减碳脱碳路线。</w:t>
            </w:r>
          </w:p>
          <w:p w14:paraId="113D6152" w14:textId="77777777" w:rsidR="003B4658" w:rsidRDefault="00000000">
            <w:pPr>
              <w:autoSpaceDE w:val="0"/>
              <w:autoSpaceDN w:val="0"/>
              <w:adjustRightInd w:val="0"/>
              <w:snapToGrid w:val="0"/>
              <w:spacing w:line="360" w:lineRule="auto"/>
              <w:ind w:firstLineChars="200" w:firstLine="482"/>
              <w:rPr>
                <w:rFonts w:ascii="宋体" w:hAnsi="宋体" w:cs="Arial" w:hint="eastAsia"/>
                <w:sz w:val="24"/>
              </w:rPr>
            </w:pPr>
            <w:r w:rsidRPr="00F928D6">
              <w:rPr>
                <w:rFonts w:ascii="宋体" w:hAnsi="宋体" w:cs="Arial" w:hint="eastAsia"/>
                <w:b/>
                <w:bCs/>
                <w:sz w:val="24"/>
              </w:rPr>
              <w:t>一是提升能源利用效率。</w:t>
            </w:r>
            <w:r>
              <w:rPr>
                <w:rFonts w:ascii="宋体" w:hAnsi="宋体" w:cs="Arial" w:hint="eastAsia"/>
                <w:sz w:val="24"/>
              </w:rPr>
              <w:t>积极推进低能耗水泥生产技术研发及应用，从减少水泥产线化石能源消耗、降低系统高碳电力电耗、提高系统余热利用效率和全流程数字化智能化等方面，进一步提升行业能源效用。强化核心技术攻关及产业推广，公司加大水泥低碳、全氧燃烧、大宗固废处置等绿色技术装备的研发推广，以多样化应用场景引领行业绿色低碳应用示范。大力发展绿能产业，大力推进“水泥工程+绿能”系统解决方案落地和风光储一体化微电网建设，助力打造“零购电”工厂。</w:t>
            </w:r>
          </w:p>
          <w:p w14:paraId="7ACB4A99" w14:textId="77777777" w:rsidR="003B4658" w:rsidRDefault="00000000">
            <w:pPr>
              <w:autoSpaceDE w:val="0"/>
              <w:autoSpaceDN w:val="0"/>
              <w:adjustRightInd w:val="0"/>
              <w:snapToGrid w:val="0"/>
              <w:spacing w:line="360" w:lineRule="auto"/>
              <w:ind w:firstLineChars="200" w:firstLine="482"/>
              <w:rPr>
                <w:rFonts w:ascii="宋体" w:hAnsi="宋体" w:cs="Arial" w:hint="eastAsia"/>
                <w:sz w:val="24"/>
              </w:rPr>
            </w:pPr>
            <w:r w:rsidRPr="00F928D6">
              <w:rPr>
                <w:rFonts w:ascii="宋体" w:hAnsi="宋体" w:cs="Arial" w:hint="eastAsia"/>
                <w:b/>
                <w:bCs/>
                <w:sz w:val="24"/>
              </w:rPr>
              <w:t>二是推广替代原燃料技术。</w:t>
            </w:r>
            <w:r>
              <w:rPr>
                <w:rFonts w:ascii="宋体" w:hAnsi="宋体" w:cs="Arial" w:hint="eastAsia"/>
                <w:sz w:val="24"/>
              </w:rPr>
              <w:t>公司所属中材环境积极布局替代燃料产业，建成14个替代燃料加工中心，替代燃料销售量同比增幅超2.1倍。持续研发新型技术装备及工艺，助力各类替代燃料、固废替代原料在水泥工厂成功应用。中材国际在国内外累积了丰富的替代原燃料项目经验，在欧洲已经实现了替代燃料比例90%以上的实践应用。</w:t>
            </w:r>
          </w:p>
          <w:p w14:paraId="63F9B82E" w14:textId="07E2B017" w:rsidR="003B4658" w:rsidRDefault="00000000">
            <w:pPr>
              <w:autoSpaceDE w:val="0"/>
              <w:autoSpaceDN w:val="0"/>
              <w:adjustRightInd w:val="0"/>
              <w:snapToGrid w:val="0"/>
              <w:spacing w:line="360" w:lineRule="auto"/>
              <w:ind w:firstLineChars="200" w:firstLine="482"/>
              <w:rPr>
                <w:rFonts w:ascii="宋体" w:hAnsi="宋体" w:cs="Arial" w:hint="eastAsia"/>
                <w:sz w:val="24"/>
              </w:rPr>
            </w:pPr>
            <w:r w:rsidRPr="00F928D6">
              <w:rPr>
                <w:rFonts w:ascii="宋体" w:hAnsi="宋体" w:cs="Arial" w:hint="eastAsia"/>
                <w:b/>
                <w:bCs/>
                <w:sz w:val="24"/>
              </w:rPr>
              <w:t>三是推行熟料替代应用。</w:t>
            </w:r>
            <w:r>
              <w:rPr>
                <w:rFonts w:ascii="宋体" w:hAnsi="宋体" w:cs="Arial" w:hint="eastAsia"/>
                <w:sz w:val="24"/>
              </w:rPr>
              <w:t>中材国际自行研发的黏土煅烧技术和水泥粉磨工艺，能显著降低单位水泥熟料系数，推动水泥行业采用熟料替代的方案实现低碳的制备，这也是目前单位水泥排放强度降低的最直接有效的方案</w:t>
            </w:r>
            <w:r w:rsidR="00B46A43">
              <w:rPr>
                <w:rFonts w:ascii="宋体" w:hAnsi="宋体" w:cs="Arial" w:hint="eastAsia"/>
                <w:sz w:val="24"/>
              </w:rPr>
              <w:t>。</w:t>
            </w:r>
          </w:p>
          <w:p w14:paraId="7E1BAC6D" w14:textId="77777777" w:rsidR="003B4658" w:rsidRDefault="00000000">
            <w:pPr>
              <w:autoSpaceDE w:val="0"/>
              <w:autoSpaceDN w:val="0"/>
              <w:adjustRightInd w:val="0"/>
              <w:snapToGrid w:val="0"/>
              <w:spacing w:line="360" w:lineRule="auto"/>
              <w:ind w:firstLineChars="200" w:firstLine="482"/>
              <w:rPr>
                <w:rFonts w:ascii="宋体" w:hAnsi="宋体" w:cs="Arial" w:hint="eastAsia"/>
                <w:sz w:val="24"/>
              </w:rPr>
            </w:pPr>
            <w:r w:rsidRPr="00F928D6">
              <w:rPr>
                <w:rFonts w:ascii="宋体" w:hAnsi="宋体" w:cs="Arial" w:hint="eastAsia"/>
                <w:b/>
                <w:bCs/>
                <w:sz w:val="24"/>
              </w:rPr>
              <w:t>四是推动碳捕集利用技术。</w:t>
            </w:r>
            <w:r>
              <w:rPr>
                <w:rFonts w:ascii="宋体" w:hAnsi="宋体" w:cs="Arial" w:hint="eastAsia"/>
                <w:sz w:val="24"/>
              </w:rPr>
              <w:t>碳交易市场扩容后，碳捕集、利用、封存（CCUS）技术将成为水泥行业碳配额抵消关键路径。公司已经在欧洲项目实现了CCUS技术的产业应用，自主研发的水泥全氧燃烧耦合碳捕集成套技术及关键装备在青州中联落地应用，该项目也获得了世界水泥协会（WCA）气候行动奖。</w:t>
            </w:r>
          </w:p>
          <w:p w14:paraId="06B2CB23"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中材国际在水泥行业拥有大量绿色低碳项目的成功实践，未来，公司将积极赋能国内水泥行业绿色低碳转型，推动水泥行业碳达峰、碳中和的落地实现。</w:t>
            </w:r>
          </w:p>
          <w:p w14:paraId="546A3A45" w14:textId="77777777" w:rsidR="003B4658" w:rsidRDefault="009341B6" w:rsidP="009341B6">
            <w:pPr>
              <w:autoSpaceDE w:val="0"/>
              <w:autoSpaceDN w:val="0"/>
              <w:adjustRightInd w:val="0"/>
              <w:snapToGrid w:val="0"/>
              <w:spacing w:line="360" w:lineRule="auto"/>
              <w:ind w:firstLineChars="200" w:firstLine="482"/>
              <w:rPr>
                <w:rFonts w:ascii="宋体" w:hAnsi="宋体" w:cs="Arial" w:hint="eastAsia"/>
                <w:b/>
                <w:bCs/>
                <w:sz w:val="24"/>
              </w:rPr>
            </w:pPr>
            <w:r>
              <w:rPr>
                <w:rFonts w:ascii="宋体" w:hAnsi="宋体" w:cs="Arial"/>
                <w:b/>
                <w:bCs/>
                <w:sz w:val="24"/>
              </w:rPr>
              <w:t xml:space="preserve">6. </w:t>
            </w:r>
            <w:r w:rsidRPr="009341B6">
              <w:rPr>
                <w:rFonts w:ascii="宋体" w:hAnsi="宋体" w:cs="Arial" w:hint="eastAsia"/>
                <w:b/>
                <w:bCs/>
                <w:sz w:val="24"/>
              </w:rPr>
              <w:t>公司近几年每年的新签合同额基本保持在600多亿，在未完成合同额变化不大的情况下，为什么每年的营收才400多亿，这个差额是什么导致的？</w:t>
            </w:r>
          </w:p>
          <w:p w14:paraId="2F5A7DEA" w14:textId="1D05E974" w:rsidR="009341B6" w:rsidRPr="009341B6" w:rsidRDefault="009341B6" w:rsidP="009341B6">
            <w:pPr>
              <w:autoSpaceDE w:val="0"/>
              <w:autoSpaceDN w:val="0"/>
              <w:adjustRightInd w:val="0"/>
              <w:snapToGrid w:val="0"/>
              <w:spacing w:line="360" w:lineRule="auto"/>
              <w:ind w:firstLineChars="200" w:firstLine="480"/>
              <w:rPr>
                <w:rFonts w:ascii="宋体" w:hAnsi="宋体" w:hint="eastAsia"/>
                <w:sz w:val="24"/>
              </w:rPr>
            </w:pPr>
            <w:r w:rsidRPr="009341B6">
              <w:rPr>
                <w:rFonts w:ascii="宋体" w:hAnsi="宋体" w:cs="Arial" w:hint="eastAsia"/>
                <w:sz w:val="24"/>
              </w:rPr>
              <w:t>答：新签合同额是公司未来营业收入的“蓄水池”，两者差距主要受工程行</w:t>
            </w:r>
            <w:r w:rsidRPr="009341B6">
              <w:rPr>
                <w:rFonts w:ascii="宋体" w:hAnsi="宋体" w:cs="Arial" w:hint="eastAsia"/>
                <w:sz w:val="24"/>
              </w:rPr>
              <w:lastRenderedPageBreak/>
              <w:t>业合同特点、项目执行周期和进度、会计收入确认规则等因素影响。新签合同额转化为营业收入需要一定的时间周期。公司营业收入与当期新签合同额存在差距属于正常现象，公司严格遵守会计准则和公司内部管理制度规定，确保会计信息真实准确。</w:t>
            </w:r>
          </w:p>
        </w:tc>
      </w:tr>
    </w:tbl>
    <w:p w14:paraId="5476223B" w14:textId="77777777" w:rsidR="003B4658" w:rsidRDefault="003B4658"/>
    <w:p w14:paraId="5843CB05" w14:textId="77777777" w:rsidR="00100FAC" w:rsidRDefault="00100FAC"/>
    <w:sectPr w:rsidR="00100FAC">
      <w:footerReference w:type="default" r:id="rId6"/>
      <w:pgSz w:w="11906" w:h="16838"/>
      <w:pgMar w:top="1758" w:right="1701" w:bottom="1758"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A1270" w14:textId="77777777" w:rsidR="00F62296" w:rsidRDefault="00F62296">
      <w:r>
        <w:separator/>
      </w:r>
    </w:p>
  </w:endnote>
  <w:endnote w:type="continuationSeparator" w:id="0">
    <w:p w14:paraId="30361E80" w14:textId="77777777" w:rsidR="00F62296" w:rsidRDefault="00F62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_GBK">
    <w:altName w:val="Microsoft YaHei UI"/>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5027457"/>
      <w:docPartObj>
        <w:docPartGallery w:val="Page Numbers (Bottom of Page)"/>
        <w:docPartUnique/>
      </w:docPartObj>
    </w:sdtPr>
    <w:sdtContent>
      <w:p w14:paraId="4D8E706B" w14:textId="5CC93580" w:rsidR="0087430A" w:rsidRDefault="0087430A">
        <w:pPr>
          <w:pStyle w:val="a5"/>
          <w:jc w:val="center"/>
        </w:pPr>
        <w:r>
          <w:fldChar w:fldCharType="begin"/>
        </w:r>
        <w:r>
          <w:instrText>PAGE   \* MERGEFORMAT</w:instrText>
        </w:r>
        <w:r>
          <w:fldChar w:fldCharType="separate"/>
        </w:r>
        <w:r>
          <w:rPr>
            <w:lang w:val="zh-CN"/>
          </w:rPr>
          <w:t>2</w:t>
        </w:r>
        <w:r>
          <w:fldChar w:fldCharType="end"/>
        </w:r>
      </w:p>
    </w:sdtContent>
  </w:sdt>
  <w:p w14:paraId="7BC9AC1B" w14:textId="77777777" w:rsidR="003B4658" w:rsidRDefault="003B46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43350" w14:textId="77777777" w:rsidR="00F62296" w:rsidRDefault="00F62296">
      <w:r>
        <w:separator/>
      </w:r>
    </w:p>
  </w:footnote>
  <w:footnote w:type="continuationSeparator" w:id="0">
    <w:p w14:paraId="0E3C2F24" w14:textId="77777777" w:rsidR="00F62296" w:rsidRDefault="00F622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CF0"/>
    <w:rsid w:val="00002802"/>
    <w:rsid w:val="00002B34"/>
    <w:rsid w:val="00014D5D"/>
    <w:rsid w:val="000171D8"/>
    <w:rsid w:val="000202D2"/>
    <w:rsid w:val="000249B8"/>
    <w:rsid w:val="00030675"/>
    <w:rsid w:val="00033235"/>
    <w:rsid w:val="00033C3B"/>
    <w:rsid w:val="00042EB9"/>
    <w:rsid w:val="000439F0"/>
    <w:rsid w:val="000449D9"/>
    <w:rsid w:val="000450F8"/>
    <w:rsid w:val="00047D57"/>
    <w:rsid w:val="00050320"/>
    <w:rsid w:val="00050AB4"/>
    <w:rsid w:val="00051294"/>
    <w:rsid w:val="00053205"/>
    <w:rsid w:val="00054525"/>
    <w:rsid w:val="00060D1F"/>
    <w:rsid w:val="0006603F"/>
    <w:rsid w:val="000677D1"/>
    <w:rsid w:val="000704E5"/>
    <w:rsid w:val="00071E86"/>
    <w:rsid w:val="00077B27"/>
    <w:rsid w:val="00081816"/>
    <w:rsid w:val="000852AE"/>
    <w:rsid w:val="00090204"/>
    <w:rsid w:val="000912CF"/>
    <w:rsid w:val="00091E04"/>
    <w:rsid w:val="0009357A"/>
    <w:rsid w:val="0009369E"/>
    <w:rsid w:val="0009501C"/>
    <w:rsid w:val="000A340E"/>
    <w:rsid w:val="000B4496"/>
    <w:rsid w:val="000B44EA"/>
    <w:rsid w:val="000B6016"/>
    <w:rsid w:val="000C13B3"/>
    <w:rsid w:val="000C3B04"/>
    <w:rsid w:val="000C56EA"/>
    <w:rsid w:val="000C6DA3"/>
    <w:rsid w:val="000D049A"/>
    <w:rsid w:val="000D4A48"/>
    <w:rsid w:val="000D5F17"/>
    <w:rsid w:val="000D618E"/>
    <w:rsid w:val="000D6D81"/>
    <w:rsid w:val="000E0B5C"/>
    <w:rsid w:val="000E18BE"/>
    <w:rsid w:val="000E3D9C"/>
    <w:rsid w:val="000E4B96"/>
    <w:rsid w:val="000E5F86"/>
    <w:rsid w:val="000F41A3"/>
    <w:rsid w:val="000F4FF1"/>
    <w:rsid w:val="000F51A5"/>
    <w:rsid w:val="000F6CA4"/>
    <w:rsid w:val="00100CBC"/>
    <w:rsid w:val="00100FAC"/>
    <w:rsid w:val="001024E0"/>
    <w:rsid w:val="00102BAA"/>
    <w:rsid w:val="001035A8"/>
    <w:rsid w:val="00104B43"/>
    <w:rsid w:val="001061C9"/>
    <w:rsid w:val="00107518"/>
    <w:rsid w:val="00110E91"/>
    <w:rsid w:val="00111420"/>
    <w:rsid w:val="0011782C"/>
    <w:rsid w:val="00117ACA"/>
    <w:rsid w:val="0012287B"/>
    <w:rsid w:val="00122BB5"/>
    <w:rsid w:val="00123486"/>
    <w:rsid w:val="00124774"/>
    <w:rsid w:val="00133438"/>
    <w:rsid w:val="0013395B"/>
    <w:rsid w:val="00135ABC"/>
    <w:rsid w:val="001443BB"/>
    <w:rsid w:val="00147D08"/>
    <w:rsid w:val="00147FE2"/>
    <w:rsid w:val="0015217D"/>
    <w:rsid w:val="00153724"/>
    <w:rsid w:val="00153D49"/>
    <w:rsid w:val="00154687"/>
    <w:rsid w:val="0015750F"/>
    <w:rsid w:val="0016015D"/>
    <w:rsid w:val="00161B34"/>
    <w:rsid w:val="00163D5D"/>
    <w:rsid w:val="0016626E"/>
    <w:rsid w:val="00166CEF"/>
    <w:rsid w:val="00167EB5"/>
    <w:rsid w:val="001814DF"/>
    <w:rsid w:val="0018673B"/>
    <w:rsid w:val="00190C09"/>
    <w:rsid w:val="0019287F"/>
    <w:rsid w:val="00197C1A"/>
    <w:rsid w:val="001A1767"/>
    <w:rsid w:val="001A75ED"/>
    <w:rsid w:val="001B0B7B"/>
    <w:rsid w:val="001B0ED8"/>
    <w:rsid w:val="001B1490"/>
    <w:rsid w:val="001C17E5"/>
    <w:rsid w:val="001C23A6"/>
    <w:rsid w:val="001C5D80"/>
    <w:rsid w:val="001D2933"/>
    <w:rsid w:val="001E23BF"/>
    <w:rsid w:val="001E52ED"/>
    <w:rsid w:val="001E71B8"/>
    <w:rsid w:val="001F55DE"/>
    <w:rsid w:val="002027C3"/>
    <w:rsid w:val="00203D04"/>
    <w:rsid w:val="00210E3E"/>
    <w:rsid w:val="00212713"/>
    <w:rsid w:val="002129AA"/>
    <w:rsid w:val="00213A48"/>
    <w:rsid w:val="0021400E"/>
    <w:rsid w:val="002168A6"/>
    <w:rsid w:val="002169D4"/>
    <w:rsid w:val="002219F8"/>
    <w:rsid w:val="00225743"/>
    <w:rsid w:val="00225D84"/>
    <w:rsid w:val="0022622A"/>
    <w:rsid w:val="002270E7"/>
    <w:rsid w:val="002416A8"/>
    <w:rsid w:val="00244F89"/>
    <w:rsid w:val="002467DD"/>
    <w:rsid w:val="00251D06"/>
    <w:rsid w:val="00254747"/>
    <w:rsid w:val="002571BC"/>
    <w:rsid w:val="002573D7"/>
    <w:rsid w:val="0026156D"/>
    <w:rsid w:val="002671AE"/>
    <w:rsid w:val="00271024"/>
    <w:rsid w:val="00271A48"/>
    <w:rsid w:val="00272B64"/>
    <w:rsid w:val="00281E85"/>
    <w:rsid w:val="002911C9"/>
    <w:rsid w:val="0029340B"/>
    <w:rsid w:val="002A20C0"/>
    <w:rsid w:val="002A461B"/>
    <w:rsid w:val="002B23AA"/>
    <w:rsid w:val="002B424C"/>
    <w:rsid w:val="002B718C"/>
    <w:rsid w:val="002B71C4"/>
    <w:rsid w:val="002B75EC"/>
    <w:rsid w:val="002C20AE"/>
    <w:rsid w:val="002C2E76"/>
    <w:rsid w:val="002C35A2"/>
    <w:rsid w:val="002C76B5"/>
    <w:rsid w:val="002E617E"/>
    <w:rsid w:val="002F06D8"/>
    <w:rsid w:val="002F484C"/>
    <w:rsid w:val="002F6496"/>
    <w:rsid w:val="002F71D2"/>
    <w:rsid w:val="00300F5D"/>
    <w:rsid w:val="003026A8"/>
    <w:rsid w:val="00302779"/>
    <w:rsid w:val="00303A18"/>
    <w:rsid w:val="00307FC8"/>
    <w:rsid w:val="00310A70"/>
    <w:rsid w:val="003112C8"/>
    <w:rsid w:val="0031426A"/>
    <w:rsid w:val="00317424"/>
    <w:rsid w:val="003175E2"/>
    <w:rsid w:val="003210C9"/>
    <w:rsid w:val="00327882"/>
    <w:rsid w:val="00330A5A"/>
    <w:rsid w:val="00336DF4"/>
    <w:rsid w:val="00341873"/>
    <w:rsid w:val="00342634"/>
    <w:rsid w:val="00343BC0"/>
    <w:rsid w:val="00347870"/>
    <w:rsid w:val="00361EA9"/>
    <w:rsid w:val="00362FA4"/>
    <w:rsid w:val="003633DA"/>
    <w:rsid w:val="00365AFE"/>
    <w:rsid w:val="003668F7"/>
    <w:rsid w:val="0036697E"/>
    <w:rsid w:val="00370C84"/>
    <w:rsid w:val="00370E06"/>
    <w:rsid w:val="00373511"/>
    <w:rsid w:val="00374567"/>
    <w:rsid w:val="003753E5"/>
    <w:rsid w:val="003775AB"/>
    <w:rsid w:val="003811D6"/>
    <w:rsid w:val="00383BDD"/>
    <w:rsid w:val="00384FCA"/>
    <w:rsid w:val="003B0EF8"/>
    <w:rsid w:val="003B1E9D"/>
    <w:rsid w:val="003B2B67"/>
    <w:rsid w:val="003B4658"/>
    <w:rsid w:val="003C0ACE"/>
    <w:rsid w:val="003C42B3"/>
    <w:rsid w:val="003C6D3F"/>
    <w:rsid w:val="003D0634"/>
    <w:rsid w:val="003D30C1"/>
    <w:rsid w:val="003D6730"/>
    <w:rsid w:val="003E0358"/>
    <w:rsid w:val="003E1099"/>
    <w:rsid w:val="003E1B6E"/>
    <w:rsid w:val="003E2423"/>
    <w:rsid w:val="003E5A05"/>
    <w:rsid w:val="003E6149"/>
    <w:rsid w:val="003E64ED"/>
    <w:rsid w:val="003F51A3"/>
    <w:rsid w:val="00400CFB"/>
    <w:rsid w:val="0040578D"/>
    <w:rsid w:val="00405DF7"/>
    <w:rsid w:val="004065D6"/>
    <w:rsid w:val="004110EB"/>
    <w:rsid w:val="00412C41"/>
    <w:rsid w:val="0043149F"/>
    <w:rsid w:val="004325DC"/>
    <w:rsid w:val="004347E4"/>
    <w:rsid w:val="0043614C"/>
    <w:rsid w:val="0044028B"/>
    <w:rsid w:val="00440FD2"/>
    <w:rsid w:val="00443C00"/>
    <w:rsid w:val="00445ECE"/>
    <w:rsid w:val="00463325"/>
    <w:rsid w:val="004702A9"/>
    <w:rsid w:val="00473D4F"/>
    <w:rsid w:val="004748F7"/>
    <w:rsid w:val="0048395B"/>
    <w:rsid w:val="00485C07"/>
    <w:rsid w:val="00485E2B"/>
    <w:rsid w:val="00487558"/>
    <w:rsid w:val="00487CBC"/>
    <w:rsid w:val="00491157"/>
    <w:rsid w:val="00493F25"/>
    <w:rsid w:val="004944FE"/>
    <w:rsid w:val="00497C5F"/>
    <w:rsid w:val="004A236B"/>
    <w:rsid w:val="004B6FBE"/>
    <w:rsid w:val="004C3069"/>
    <w:rsid w:val="004C5102"/>
    <w:rsid w:val="004C6AC6"/>
    <w:rsid w:val="004D3E6F"/>
    <w:rsid w:val="004D4236"/>
    <w:rsid w:val="004D621A"/>
    <w:rsid w:val="004D69BC"/>
    <w:rsid w:val="004E43A6"/>
    <w:rsid w:val="004E6307"/>
    <w:rsid w:val="004F44C7"/>
    <w:rsid w:val="004F4753"/>
    <w:rsid w:val="004F63FA"/>
    <w:rsid w:val="004F78F7"/>
    <w:rsid w:val="00501678"/>
    <w:rsid w:val="00506CB9"/>
    <w:rsid w:val="00514E66"/>
    <w:rsid w:val="005205A9"/>
    <w:rsid w:val="00520762"/>
    <w:rsid w:val="005249A6"/>
    <w:rsid w:val="0052539B"/>
    <w:rsid w:val="005274C9"/>
    <w:rsid w:val="00530072"/>
    <w:rsid w:val="00530EB7"/>
    <w:rsid w:val="00536A0A"/>
    <w:rsid w:val="005403B3"/>
    <w:rsid w:val="00544786"/>
    <w:rsid w:val="00550D60"/>
    <w:rsid w:val="0055234D"/>
    <w:rsid w:val="005527C0"/>
    <w:rsid w:val="005541B8"/>
    <w:rsid w:val="00555BD1"/>
    <w:rsid w:val="00555E6E"/>
    <w:rsid w:val="00557669"/>
    <w:rsid w:val="005602B9"/>
    <w:rsid w:val="00560B66"/>
    <w:rsid w:val="005640CB"/>
    <w:rsid w:val="00567444"/>
    <w:rsid w:val="00567D29"/>
    <w:rsid w:val="00570402"/>
    <w:rsid w:val="00573055"/>
    <w:rsid w:val="00573361"/>
    <w:rsid w:val="005734D1"/>
    <w:rsid w:val="00574AE4"/>
    <w:rsid w:val="00575306"/>
    <w:rsid w:val="0057678F"/>
    <w:rsid w:val="005802E1"/>
    <w:rsid w:val="00585431"/>
    <w:rsid w:val="0059060F"/>
    <w:rsid w:val="005A0AD2"/>
    <w:rsid w:val="005A3A5B"/>
    <w:rsid w:val="005A4085"/>
    <w:rsid w:val="005A5FDB"/>
    <w:rsid w:val="005B1027"/>
    <w:rsid w:val="005B12D8"/>
    <w:rsid w:val="005B4542"/>
    <w:rsid w:val="005B4CCE"/>
    <w:rsid w:val="005B65DC"/>
    <w:rsid w:val="005C0D58"/>
    <w:rsid w:val="005C3901"/>
    <w:rsid w:val="005D3C46"/>
    <w:rsid w:val="005D7F04"/>
    <w:rsid w:val="005E210C"/>
    <w:rsid w:val="005E36D7"/>
    <w:rsid w:val="005E6946"/>
    <w:rsid w:val="005F322D"/>
    <w:rsid w:val="005F3371"/>
    <w:rsid w:val="005F44FE"/>
    <w:rsid w:val="006029E1"/>
    <w:rsid w:val="006031EB"/>
    <w:rsid w:val="00603CE5"/>
    <w:rsid w:val="00606B20"/>
    <w:rsid w:val="00610EC8"/>
    <w:rsid w:val="006110A5"/>
    <w:rsid w:val="00614E45"/>
    <w:rsid w:val="00617911"/>
    <w:rsid w:val="00624393"/>
    <w:rsid w:val="00625423"/>
    <w:rsid w:val="0062772B"/>
    <w:rsid w:val="00630762"/>
    <w:rsid w:val="006319A0"/>
    <w:rsid w:val="00632CCE"/>
    <w:rsid w:val="0063342A"/>
    <w:rsid w:val="00634475"/>
    <w:rsid w:val="00634DC9"/>
    <w:rsid w:val="00636EC3"/>
    <w:rsid w:val="00637FAE"/>
    <w:rsid w:val="00640F33"/>
    <w:rsid w:val="00647A49"/>
    <w:rsid w:val="00654A41"/>
    <w:rsid w:val="00654AD8"/>
    <w:rsid w:val="006601AF"/>
    <w:rsid w:val="00660B5B"/>
    <w:rsid w:val="00665EDC"/>
    <w:rsid w:val="00673370"/>
    <w:rsid w:val="0067350B"/>
    <w:rsid w:val="00675304"/>
    <w:rsid w:val="00676A90"/>
    <w:rsid w:val="00680A4A"/>
    <w:rsid w:val="00682DD0"/>
    <w:rsid w:val="00687C86"/>
    <w:rsid w:val="006920E0"/>
    <w:rsid w:val="00692563"/>
    <w:rsid w:val="0069468D"/>
    <w:rsid w:val="0069503A"/>
    <w:rsid w:val="006A2660"/>
    <w:rsid w:val="006A2A57"/>
    <w:rsid w:val="006A3F48"/>
    <w:rsid w:val="006A6483"/>
    <w:rsid w:val="006A6D63"/>
    <w:rsid w:val="006C1518"/>
    <w:rsid w:val="006C2130"/>
    <w:rsid w:val="006C219D"/>
    <w:rsid w:val="006C3D11"/>
    <w:rsid w:val="006C6BC3"/>
    <w:rsid w:val="006D2084"/>
    <w:rsid w:val="006D26CD"/>
    <w:rsid w:val="006D2718"/>
    <w:rsid w:val="006D29B8"/>
    <w:rsid w:val="006D73AD"/>
    <w:rsid w:val="006E6F72"/>
    <w:rsid w:val="006F04EC"/>
    <w:rsid w:val="006F454F"/>
    <w:rsid w:val="006F57BB"/>
    <w:rsid w:val="006F71AB"/>
    <w:rsid w:val="00700405"/>
    <w:rsid w:val="00703CA1"/>
    <w:rsid w:val="00704E88"/>
    <w:rsid w:val="0070627C"/>
    <w:rsid w:val="00714581"/>
    <w:rsid w:val="00717CA1"/>
    <w:rsid w:val="007242A0"/>
    <w:rsid w:val="007275AE"/>
    <w:rsid w:val="00727720"/>
    <w:rsid w:val="007312C6"/>
    <w:rsid w:val="00736CAC"/>
    <w:rsid w:val="0074235D"/>
    <w:rsid w:val="00745301"/>
    <w:rsid w:val="007552C8"/>
    <w:rsid w:val="007555B4"/>
    <w:rsid w:val="00770335"/>
    <w:rsid w:val="00774BE6"/>
    <w:rsid w:val="007816CC"/>
    <w:rsid w:val="0078230B"/>
    <w:rsid w:val="00782F53"/>
    <w:rsid w:val="00785724"/>
    <w:rsid w:val="007909DB"/>
    <w:rsid w:val="007A0E2C"/>
    <w:rsid w:val="007A3AEF"/>
    <w:rsid w:val="007A46F5"/>
    <w:rsid w:val="007A4830"/>
    <w:rsid w:val="007A679D"/>
    <w:rsid w:val="007A6B79"/>
    <w:rsid w:val="007A7A13"/>
    <w:rsid w:val="007B0B23"/>
    <w:rsid w:val="007B4868"/>
    <w:rsid w:val="007B6763"/>
    <w:rsid w:val="007B78BE"/>
    <w:rsid w:val="007C1360"/>
    <w:rsid w:val="007C1A0B"/>
    <w:rsid w:val="007C1F48"/>
    <w:rsid w:val="007C5329"/>
    <w:rsid w:val="007C753D"/>
    <w:rsid w:val="007D0724"/>
    <w:rsid w:val="007D0E65"/>
    <w:rsid w:val="007D17B0"/>
    <w:rsid w:val="007D3A8E"/>
    <w:rsid w:val="007D4FBF"/>
    <w:rsid w:val="007D6BE9"/>
    <w:rsid w:val="007E268E"/>
    <w:rsid w:val="007E4FDF"/>
    <w:rsid w:val="007F6C65"/>
    <w:rsid w:val="007F70E5"/>
    <w:rsid w:val="00803494"/>
    <w:rsid w:val="00804D7C"/>
    <w:rsid w:val="00807893"/>
    <w:rsid w:val="00810DBE"/>
    <w:rsid w:val="00815A9D"/>
    <w:rsid w:val="008162B0"/>
    <w:rsid w:val="00816DDB"/>
    <w:rsid w:val="008430C6"/>
    <w:rsid w:val="00843301"/>
    <w:rsid w:val="00845BFE"/>
    <w:rsid w:val="008460EB"/>
    <w:rsid w:val="00847D6F"/>
    <w:rsid w:val="008510C8"/>
    <w:rsid w:val="00862533"/>
    <w:rsid w:val="00871835"/>
    <w:rsid w:val="008721BB"/>
    <w:rsid w:val="0087430A"/>
    <w:rsid w:val="00880EC4"/>
    <w:rsid w:val="0088298C"/>
    <w:rsid w:val="00883320"/>
    <w:rsid w:val="00883928"/>
    <w:rsid w:val="00883DD1"/>
    <w:rsid w:val="008849E8"/>
    <w:rsid w:val="008858C5"/>
    <w:rsid w:val="0088751E"/>
    <w:rsid w:val="00890240"/>
    <w:rsid w:val="00890700"/>
    <w:rsid w:val="008920CF"/>
    <w:rsid w:val="00895BB7"/>
    <w:rsid w:val="00897EED"/>
    <w:rsid w:val="008A25A2"/>
    <w:rsid w:val="008A2A23"/>
    <w:rsid w:val="008A41CF"/>
    <w:rsid w:val="008A67B9"/>
    <w:rsid w:val="008A7B0B"/>
    <w:rsid w:val="008B4F20"/>
    <w:rsid w:val="008C0332"/>
    <w:rsid w:val="008D4190"/>
    <w:rsid w:val="008D4718"/>
    <w:rsid w:val="008D5FC0"/>
    <w:rsid w:val="008D7C0E"/>
    <w:rsid w:val="008E15EC"/>
    <w:rsid w:val="008E2CDD"/>
    <w:rsid w:val="008E39C5"/>
    <w:rsid w:val="008F2758"/>
    <w:rsid w:val="008F3A4B"/>
    <w:rsid w:val="008F7652"/>
    <w:rsid w:val="008F799B"/>
    <w:rsid w:val="0090260F"/>
    <w:rsid w:val="009059DC"/>
    <w:rsid w:val="00911EBB"/>
    <w:rsid w:val="00911F57"/>
    <w:rsid w:val="00913B0F"/>
    <w:rsid w:val="00916ED9"/>
    <w:rsid w:val="00920270"/>
    <w:rsid w:val="00921860"/>
    <w:rsid w:val="00921BD3"/>
    <w:rsid w:val="00923101"/>
    <w:rsid w:val="00926422"/>
    <w:rsid w:val="00931A51"/>
    <w:rsid w:val="00933010"/>
    <w:rsid w:val="009341B6"/>
    <w:rsid w:val="009350E7"/>
    <w:rsid w:val="009352FA"/>
    <w:rsid w:val="009370B1"/>
    <w:rsid w:val="00945A8D"/>
    <w:rsid w:val="00951CE0"/>
    <w:rsid w:val="00951F2B"/>
    <w:rsid w:val="009570D7"/>
    <w:rsid w:val="009572A4"/>
    <w:rsid w:val="009572C3"/>
    <w:rsid w:val="00957331"/>
    <w:rsid w:val="00957CFF"/>
    <w:rsid w:val="00961563"/>
    <w:rsid w:val="00965A08"/>
    <w:rsid w:val="00972448"/>
    <w:rsid w:val="00981771"/>
    <w:rsid w:val="009941E8"/>
    <w:rsid w:val="0099687A"/>
    <w:rsid w:val="009978A2"/>
    <w:rsid w:val="009A1DEE"/>
    <w:rsid w:val="009A5CF7"/>
    <w:rsid w:val="009A731A"/>
    <w:rsid w:val="009B0812"/>
    <w:rsid w:val="009B232B"/>
    <w:rsid w:val="009B333F"/>
    <w:rsid w:val="009C1845"/>
    <w:rsid w:val="009C1F1E"/>
    <w:rsid w:val="009C4CEF"/>
    <w:rsid w:val="009D3F1D"/>
    <w:rsid w:val="009D45D1"/>
    <w:rsid w:val="009D5C7E"/>
    <w:rsid w:val="009E4967"/>
    <w:rsid w:val="009E583D"/>
    <w:rsid w:val="009F030C"/>
    <w:rsid w:val="00A02ECB"/>
    <w:rsid w:val="00A22FAA"/>
    <w:rsid w:val="00A35458"/>
    <w:rsid w:val="00A363C5"/>
    <w:rsid w:val="00A36696"/>
    <w:rsid w:val="00A37D5C"/>
    <w:rsid w:val="00A43805"/>
    <w:rsid w:val="00A54485"/>
    <w:rsid w:val="00A577BD"/>
    <w:rsid w:val="00A60C11"/>
    <w:rsid w:val="00A62CB5"/>
    <w:rsid w:val="00A6494F"/>
    <w:rsid w:val="00A67F1C"/>
    <w:rsid w:val="00A716AC"/>
    <w:rsid w:val="00A72C62"/>
    <w:rsid w:val="00A82F0B"/>
    <w:rsid w:val="00A83F8E"/>
    <w:rsid w:val="00A85740"/>
    <w:rsid w:val="00A861D3"/>
    <w:rsid w:val="00A870DA"/>
    <w:rsid w:val="00A87664"/>
    <w:rsid w:val="00A877A9"/>
    <w:rsid w:val="00A90D5F"/>
    <w:rsid w:val="00A973D5"/>
    <w:rsid w:val="00A9799E"/>
    <w:rsid w:val="00AA1EA4"/>
    <w:rsid w:val="00AA2F37"/>
    <w:rsid w:val="00AA636F"/>
    <w:rsid w:val="00AA7DE3"/>
    <w:rsid w:val="00AB4C1F"/>
    <w:rsid w:val="00AB54FB"/>
    <w:rsid w:val="00AB557C"/>
    <w:rsid w:val="00AB62F6"/>
    <w:rsid w:val="00AC1816"/>
    <w:rsid w:val="00AC5156"/>
    <w:rsid w:val="00AC5D80"/>
    <w:rsid w:val="00AC71F9"/>
    <w:rsid w:val="00AD016A"/>
    <w:rsid w:val="00AD5EF6"/>
    <w:rsid w:val="00AD60A7"/>
    <w:rsid w:val="00AD72EB"/>
    <w:rsid w:val="00AE08C5"/>
    <w:rsid w:val="00AE1013"/>
    <w:rsid w:val="00AE210D"/>
    <w:rsid w:val="00AE4F83"/>
    <w:rsid w:val="00AE76FD"/>
    <w:rsid w:val="00AF1AE4"/>
    <w:rsid w:val="00AF1F4A"/>
    <w:rsid w:val="00AF6C20"/>
    <w:rsid w:val="00AF793E"/>
    <w:rsid w:val="00B04380"/>
    <w:rsid w:val="00B04C6B"/>
    <w:rsid w:val="00B0555C"/>
    <w:rsid w:val="00B11773"/>
    <w:rsid w:val="00B16398"/>
    <w:rsid w:val="00B24378"/>
    <w:rsid w:val="00B26E1B"/>
    <w:rsid w:val="00B2730C"/>
    <w:rsid w:val="00B309CB"/>
    <w:rsid w:val="00B30C0B"/>
    <w:rsid w:val="00B3404D"/>
    <w:rsid w:val="00B42428"/>
    <w:rsid w:val="00B42BA5"/>
    <w:rsid w:val="00B46A43"/>
    <w:rsid w:val="00B5751D"/>
    <w:rsid w:val="00B57A64"/>
    <w:rsid w:val="00B66DF3"/>
    <w:rsid w:val="00B72D57"/>
    <w:rsid w:val="00B73659"/>
    <w:rsid w:val="00B76BDF"/>
    <w:rsid w:val="00B77D50"/>
    <w:rsid w:val="00B80D52"/>
    <w:rsid w:val="00B83AB3"/>
    <w:rsid w:val="00B8417A"/>
    <w:rsid w:val="00B905A6"/>
    <w:rsid w:val="00B90A72"/>
    <w:rsid w:val="00B9778E"/>
    <w:rsid w:val="00BA58E8"/>
    <w:rsid w:val="00BB26D4"/>
    <w:rsid w:val="00BB2883"/>
    <w:rsid w:val="00BB28D1"/>
    <w:rsid w:val="00BB33C2"/>
    <w:rsid w:val="00BB7E01"/>
    <w:rsid w:val="00BC245C"/>
    <w:rsid w:val="00BC721D"/>
    <w:rsid w:val="00BD0811"/>
    <w:rsid w:val="00BD13B5"/>
    <w:rsid w:val="00BD16FC"/>
    <w:rsid w:val="00BD2154"/>
    <w:rsid w:val="00BD3C9B"/>
    <w:rsid w:val="00BD4CA3"/>
    <w:rsid w:val="00BD4D35"/>
    <w:rsid w:val="00BE1BFE"/>
    <w:rsid w:val="00BE41CB"/>
    <w:rsid w:val="00BE5894"/>
    <w:rsid w:val="00BF3133"/>
    <w:rsid w:val="00BF46AC"/>
    <w:rsid w:val="00BF52D2"/>
    <w:rsid w:val="00BF56A6"/>
    <w:rsid w:val="00BF6B08"/>
    <w:rsid w:val="00C04427"/>
    <w:rsid w:val="00C1026C"/>
    <w:rsid w:val="00C12579"/>
    <w:rsid w:val="00C14126"/>
    <w:rsid w:val="00C16CE4"/>
    <w:rsid w:val="00C17C5F"/>
    <w:rsid w:val="00C241D5"/>
    <w:rsid w:val="00C26ED8"/>
    <w:rsid w:val="00C27891"/>
    <w:rsid w:val="00C3192B"/>
    <w:rsid w:val="00C352A4"/>
    <w:rsid w:val="00C378C8"/>
    <w:rsid w:val="00C4507D"/>
    <w:rsid w:val="00C47AF9"/>
    <w:rsid w:val="00C5082B"/>
    <w:rsid w:val="00C548CD"/>
    <w:rsid w:val="00C54A49"/>
    <w:rsid w:val="00C60ED6"/>
    <w:rsid w:val="00C65951"/>
    <w:rsid w:val="00C66567"/>
    <w:rsid w:val="00C670CE"/>
    <w:rsid w:val="00C71368"/>
    <w:rsid w:val="00C7572A"/>
    <w:rsid w:val="00C771D9"/>
    <w:rsid w:val="00C82A25"/>
    <w:rsid w:val="00C84CB5"/>
    <w:rsid w:val="00C91F8A"/>
    <w:rsid w:val="00C932B8"/>
    <w:rsid w:val="00C9738B"/>
    <w:rsid w:val="00CA1A9B"/>
    <w:rsid w:val="00CA377B"/>
    <w:rsid w:val="00CA3E0C"/>
    <w:rsid w:val="00CA5E83"/>
    <w:rsid w:val="00CB2AA2"/>
    <w:rsid w:val="00CB6095"/>
    <w:rsid w:val="00CB790C"/>
    <w:rsid w:val="00CB7C0D"/>
    <w:rsid w:val="00CC5DB0"/>
    <w:rsid w:val="00CC6202"/>
    <w:rsid w:val="00CD1678"/>
    <w:rsid w:val="00CD1688"/>
    <w:rsid w:val="00CD3CF9"/>
    <w:rsid w:val="00CE1889"/>
    <w:rsid w:val="00CE6D2B"/>
    <w:rsid w:val="00CF08EC"/>
    <w:rsid w:val="00CF5F46"/>
    <w:rsid w:val="00CF7BC4"/>
    <w:rsid w:val="00D000BE"/>
    <w:rsid w:val="00D01A94"/>
    <w:rsid w:val="00D031CC"/>
    <w:rsid w:val="00D04F1E"/>
    <w:rsid w:val="00D07396"/>
    <w:rsid w:val="00D078A9"/>
    <w:rsid w:val="00D15888"/>
    <w:rsid w:val="00D24082"/>
    <w:rsid w:val="00D26242"/>
    <w:rsid w:val="00D30A79"/>
    <w:rsid w:val="00D34015"/>
    <w:rsid w:val="00D360DD"/>
    <w:rsid w:val="00D41710"/>
    <w:rsid w:val="00D419D3"/>
    <w:rsid w:val="00D46810"/>
    <w:rsid w:val="00D47273"/>
    <w:rsid w:val="00D51D8A"/>
    <w:rsid w:val="00D5358B"/>
    <w:rsid w:val="00D54620"/>
    <w:rsid w:val="00D54923"/>
    <w:rsid w:val="00D60582"/>
    <w:rsid w:val="00D61A4D"/>
    <w:rsid w:val="00D812CC"/>
    <w:rsid w:val="00D84632"/>
    <w:rsid w:val="00D86238"/>
    <w:rsid w:val="00D95D8D"/>
    <w:rsid w:val="00D97980"/>
    <w:rsid w:val="00DA02B5"/>
    <w:rsid w:val="00DA2289"/>
    <w:rsid w:val="00DA38A0"/>
    <w:rsid w:val="00DA406B"/>
    <w:rsid w:val="00DA65E9"/>
    <w:rsid w:val="00DB1D3B"/>
    <w:rsid w:val="00DB6A82"/>
    <w:rsid w:val="00DC7723"/>
    <w:rsid w:val="00DC7C8F"/>
    <w:rsid w:val="00DD583B"/>
    <w:rsid w:val="00DD5F6C"/>
    <w:rsid w:val="00DE7511"/>
    <w:rsid w:val="00DF2D80"/>
    <w:rsid w:val="00DF3412"/>
    <w:rsid w:val="00DF3B95"/>
    <w:rsid w:val="00DF5BF5"/>
    <w:rsid w:val="00E00AE5"/>
    <w:rsid w:val="00E02B27"/>
    <w:rsid w:val="00E02B75"/>
    <w:rsid w:val="00E03118"/>
    <w:rsid w:val="00E04397"/>
    <w:rsid w:val="00E100C6"/>
    <w:rsid w:val="00E11CE7"/>
    <w:rsid w:val="00E12CF0"/>
    <w:rsid w:val="00E14878"/>
    <w:rsid w:val="00E166D4"/>
    <w:rsid w:val="00E17EAC"/>
    <w:rsid w:val="00E23DA8"/>
    <w:rsid w:val="00E24CB8"/>
    <w:rsid w:val="00E306EC"/>
    <w:rsid w:val="00E32000"/>
    <w:rsid w:val="00E344E5"/>
    <w:rsid w:val="00E43644"/>
    <w:rsid w:val="00E4393F"/>
    <w:rsid w:val="00E44907"/>
    <w:rsid w:val="00E50A1C"/>
    <w:rsid w:val="00E50CB9"/>
    <w:rsid w:val="00E518C6"/>
    <w:rsid w:val="00E52B1C"/>
    <w:rsid w:val="00E53762"/>
    <w:rsid w:val="00E544A9"/>
    <w:rsid w:val="00E55F86"/>
    <w:rsid w:val="00E609AB"/>
    <w:rsid w:val="00E60BA2"/>
    <w:rsid w:val="00E660F5"/>
    <w:rsid w:val="00E67956"/>
    <w:rsid w:val="00E67C8E"/>
    <w:rsid w:val="00E7171A"/>
    <w:rsid w:val="00E769F6"/>
    <w:rsid w:val="00E77C2D"/>
    <w:rsid w:val="00E853E8"/>
    <w:rsid w:val="00E86618"/>
    <w:rsid w:val="00E93C50"/>
    <w:rsid w:val="00E967BB"/>
    <w:rsid w:val="00EA10E2"/>
    <w:rsid w:val="00EA21D9"/>
    <w:rsid w:val="00EA68FE"/>
    <w:rsid w:val="00EA7242"/>
    <w:rsid w:val="00EA7FA7"/>
    <w:rsid w:val="00EB042D"/>
    <w:rsid w:val="00EB7E51"/>
    <w:rsid w:val="00EB7EE1"/>
    <w:rsid w:val="00EB7FDB"/>
    <w:rsid w:val="00EC0D13"/>
    <w:rsid w:val="00EC3661"/>
    <w:rsid w:val="00EC501C"/>
    <w:rsid w:val="00EC7FE3"/>
    <w:rsid w:val="00ED2333"/>
    <w:rsid w:val="00ED4289"/>
    <w:rsid w:val="00ED4B16"/>
    <w:rsid w:val="00EE0F15"/>
    <w:rsid w:val="00EE2D47"/>
    <w:rsid w:val="00EE56B8"/>
    <w:rsid w:val="00EE6F57"/>
    <w:rsid w:val="00EF43DE"/>
    <w:rsid w:val="00EF49C9"/>
    <w:rsid w:val="00F02DF7"/>
    <w:rsid w:val="00F030AC"/>
    <w:rsid w:val="00F04474"/>
    <w:rsid w:val="00F0470A"/>
    <w:rsid w:val="00F13724"/>
    <w:rsid w:val="00F13C9A"/>
    <w:rsid w:val="00F14533"/>
    <w:rsid w:val="00F17E6B"/>
    <w:rsid w:val="00F23B87"/>
    <w:rsid w:val="00F267D4"/>
    <w:rsid w:val="00F350F4"/>
    <w:rsid w:val="00F35A7D"/>
    <w:rsid w:val="00F42570"/>
    <w:rsid w:val="00F4266C"/>
    <w:rsid w:val="00F43657"/>
    <w:rsid w:val="00F51310"/>
    <w:rsid w:val="00F51667"/>
    <w:rsid w:val="00F51D23"/>
    <w:rsid w:val="00F543D9"/>
    <w:rsid w:val="00F56909"/>
    <w:rsid w:val="00F6227D"/>
    <w:rsid w:val="00F62296"/>
    <w:rsid w:val="00F6510F"/>
    <w:rsid w:val="00F70FFD"/>
    <w:rsid w:val="00F748D2"/>
    <w:rsid w:val="00F76A67"/>
    <w:rsid w:val="00F77827"/>
    <w:rsid w:val="00F819EE"/>
    <w:rsid w:val="00F918E0"/>
    <w:rsid w:val="00F92542"/>
    <w:rsid w:val="00F928D6"/>
    <w:rsid w:val="00FA381B"/>
    <w:rsid w:val="00FA5F69"/>
    <w:rsid w:val="00FA7301"/>
    <w:rsid w:val="00FB26BE"/>
    <w:rsid w:val="00FB5E79"/>
    <w:rsid w:val="00FC0954"/>
    <w:rsid w:val="00FC175F"/>
    <w:rsid w:val="00FC1B39"/>
    <w:rsid w:val="00FC2D00"/>
    <w:rsid w:val="00FC4AE5"/>
    <w:rsid w:val="00FD1430"/>
    <w:rsid w:val="00FE2634"/>
    <w:rsid w:val="00FE5076"/>
    <w:rsid w:val="00FE746F"/>
    <w:rsid w:val="00FF0270"/>
    <w:rsid w:val="00FF09F1"/>
    <w:rsid w:val="00FF0FF6"/>
    <w:rsid w:val="00FF1C2B"/>
    <w:rsid w:val="00FF57DC"/>
    <w:rsid w:val="159A6948"/>
    <w:rsid w:val="286D7229"/>
    <w:rsid w:val="409E221E"/>
    <w:rsid w:val="55A439DB"/>
    <w:rsid w:val="5A9B1124"/>
    <w:rsid w:val="7DC51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13AB28"/>
  <w15:docId w15:val="{529C68E7-D4F5-4D2E-8D9B-6E5D204F4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rPr>
      <w:rFonts w:ascii="Courier New" w:hAnsi="Courier New" w:cs="Courier New"/>
      <w:sz w:val="20"/>
      <w:szCs w:val="20"/>
    </w:rPr>
  </w:style>
  <w:style w:type="paragraph" w:styleId="a9">
    <w:name w:val="annotation subject"/>
    <w:basedOn w:val="a3"/>
    <w:next w:val="a3"/>
    <w:link w:val="aa"/>
    <w:uiPriority w:val="99"/>
    <w:semiHidden/>
    <w:unhideWhenUsed/>
    <w:rPr>
      <w:b/>
      <w:bCs/>
    </w:rPr>
  </w:style>
  <w:style w:type="character" w:styleId="ab">
    <w:name w:val="annotation reference"/>
    <w:uiPriority w:val="99"/>
    <w:semiHidden/>
    <w:unhideWhenUsed/>
    <w:rPr>
      <w:sz w:val="21"/>
      <w:szCs w:val="21"/>
    </w:rPr>
  </w:style>
  <w:style w:type="character" w:customStyle="1" w:styleId="a8">
    <w:name w:val="页眉 字符"/>
    <w:link w:val="a7"/>
    <w:uiPriority w:val="99"/>
    <w:rPr>
      <w:rFonts w:ascii="Times New Roman" w:eastAsia="宋体" w:hAnsi="Times New Roman"/>
      <w:kern w:val="2"/>
      <w:sz w:val="18"/>
      <w:szCs w:val="18"/>
    </w:rPr>
  </w:style>
  <w:style w:type="character" w:customStyle="1" w:styleId="a6">
    <w:name w:val="页脚 字符"/>
    <w:link w:val="a5"/>
    <w:uiPriority w:val="99"/>
    <w:rPr>
      <w:rFonts w:ascii="Times New Roman" w:eastAsia="宋体" w:hAnsi="Times New Roman"/>
      <w:kern w:val="2"/>
      <w:sz w:val="18"/>
      <w:szCs w:val="18"/>
    </w:rPr>
  </w:style>
  <w:style w:type="character" w:customStyle="1" w:styleId="a4">
    <w:name w:val="批注文字 字符"/>
    <w:link w:val="a3"/>
    <w:uiPriority w:val="99"/>
    <w:qFormat/>
    <w:rPr>
      <w:rFonts w:ascii="Times New Roman" w:eastAsia="宋体" w:hAnsi="Times New Roman"/>
      <w:kern w:val="2"/>
      <w:sz w:val="21"/>
      <w:szCs w:val="24"/>
    </w:rPr>
  </w:style>
  <w:style w:type="character" w:customStyle="1" w:styleId="aa">
    <w:name w:val="批注主题 字符"/>
    <w:link w:val="a9"/>
    <w:uiPriority w:val="99"/>
    <w:semiHidden/>
    <w:rPr>
      <w:rFonts w:ascii="Times New Roman" w:eastAsia="宋体" w:hAnsi="Times New Roman"/>
      <w:b/>
      <w:bCs/>
      <w:kern w:val="2"/>
      <w:sz w:val="21"/>
      <w:szCs w:val="24"/>
    </w:rPr>
  </w:style>
  <w:style w:type="character" w:customStyle="1" w:styleId="HTML0">
    <w:name w:val="HTML 预设格式 字符"/>
    <w:link w:val="HTML"/>
    <w:uiPriority w:val="99"/>
    <w:semiHidden/>
    <w:qFormat/>
    <w:rPr>
      <w:rFonts w:ascii="Courier New" w:eastAsia="宋体" w:hAnsi="Courier New" w:cs="Courier New"/>
      <w:kern w:val="2"/>
    </w:rPr>
  </w:style>
  <w:style w:type="paragraph" w:styleId="ac">
    <w:name w:val="Revision"/>
    <w:hidden/>
    <w:uiPriority w:val="99"/>
    <w:unhideWhenUsed/>
    <w:rsid w:val="00212713"/>
    <w:rPr>
      <w:rFonts w:ascii="Times New Roman" w:eastAsia="宋体" w:hAnsi="Times New Roman"/>
      <w:kern w:val="2"/>
      <w:sz w:val="21"/>
      <w:szCs w:val="24"/>
    </w:rPr>
  </w:style>
  <w:style w:type="paragraph" w:styleId="ad">
    <w:name w:val="List Paragraph"/>
    <w:basedOn w:val="a"/>
    <w:uiPriority w:val="99"/>
    <w:unhideWhenUsed/>
    <w:rsid w:val="00845B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701</TotalTime>
  <Pages>8</Pages>
  <Words>877</Words>
  <Characters>5005</Characters>
  <Application>Microsoft Office Word</Application>
  <DocSecurity>0</DocSecurity>
  <Lines>41</Lines>
  <Paragraphs>11</Paragraphs>
  <ScaleCrop>false</ScaleCrop>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 梓轩</dc:creator>
  <cp:lastModifiedBy>yu liu</cp:lastModifiedBy>
  <cp:revision>187</cp:revision>
  <dcterms:created xsi:type="dcterms:W3CDTF">2025-04-16T00:52:00Z</dcterms:created>
  <dcterms:modified xsi:type="dcterms:W3CDTF">2025-10-11T07:04:00Z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eyJoZGlkIjoiNDI1MDlkNGFlOWE5NzU2MjExM2I5NzhkMjcwODY0ODYiLCJ1c2VySWQiOiIxMjc5MzM4NTUwIn0=</vt:lpwstr>
  </property>
  <property fmtid="{D5CDD505-2E9C-101B-9397-08002B2CF9AE}" pid="3" name="KSOProductBuildVer">
    <vt:lpwstr>2052-12.1.0.22529</vt:lpwstr>
  </property>
  <property fmtid="{D5CDD505-2E9C-101B-9397-08002B2CF9AE}" pid="4" name="ICV">
    <vt:lpwstr>531D9A7299C24049ABE46EF89280EDCD_13</vt:lpwstr>
  </property>
</Properties>
</file>