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AC9E4">
      <w:pPr>
        <w:spacing w:before="156" w:beforeLines="50" w:after="156" w:afterLines="50" w:line="400" w:lineRule="exact"/>
        <w:rPr>
          <w:rFonts w:hint="eastAsia" w:ascii="宋体" w:hAnsi="宋体"/>
          <w:b/>
          <w:bCs/>
          <w:iCs/>
          <w:color w:val="000000"/>
          <w:sz w:val="24"/>
          <w:szCs w:val="24"/>
        </w:rPr>
      </w:pPr>
      <w:r>
        <w:rPr>
          <w:rFonts w:hint="eastAsia" w:ascii="宋体" w:hAnsi="宋体"/>
          <w:b/>
          <w:bCs/>
          <w:iCs/>
          <w:color w:val="000000"/>
          <w:sz w:val="24"/>
          <w:szCs w:val="24"/>
        </w:rPr>
        <w:t>证券代码：</w:t>
      </w:r>
      <w:r>
        <w:rPr>
          <w:rFonts w:ascii="宋体" w:hAnsi="宋体"/>
          <w:b/>
          <w:bCs/>
          <w:iCs/>
          <w:color w:val="000000"/>
          <w:sz w:val="24"/>
          <w:szCs w:val="24"/>
        </w:rPr>
        <w:t>688651</w:t>
      </w:r>
      <w:r>
        <w:rPr>
          <w:rFonts w:hint="eastAsia" w:ascii="宋体" w:hAnsi="宋体"/>
          <w:b/>
          <w:bCs/>
          <w:iCs/>
          <w:color w:val="000000"/>
          <w:sz w:val="24"/>
          <w:szCs w:val="24"/>
        </w:rPr>
        <w:t xml:space="preserve">                                  证券简称：盛邦安全</w:t>
      </w:r>
    </w:p>
    <w:p w14:paraId="3760004D">
      <w:pPr>
        <w:spacing w:before="156" w:beforeLines="50" w:after="156" w:afterLines="50" w:line="400" w:lineRule="exact"/>
        <w:jc w:val="center"/>
        <w:rPr>
          <w:rFonts w:hint="eastAsia" w:ascii="宋体" w:hAnsi="宋体"/>
          <w:b/>
          <w:bCs/>
          <w:iCs/>
          <w:color w:val="000000"/>
          <w:sz w:val="32"/>
          <w:szCs w:val="32"/>
        </w:rPr>
      </w:pPr>
    </w:p>
    <w:p w14:paraId="78F866F5">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远江盛邦安全科技集团股份有限公司</w:t>
      </w:r>
    </w:p>
    <w:p w14:paraId="6C92AECD">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p w14:paraId="5248DA98">
      <w:pPr>
        <w:jc w:val="right"/>
        <w:rPr>
          <w:rFonts w:hint="default" w:ascii="宋体" w:hAnsi="宋体" w:eastAsiaTheme="minorEastAsia"/>
          <w:bCs/>
          <w:iCs/>
          <w:color w:val="000000"/>
          <w:sz w:val="24"/>
          <w:lang w:val="en-US" w:eastAsia="zh-CN"/>
        </w:rPr>
      </w:pPr>
      <w:r>
        <w:rPr>
          <w:rFonts w:hint="eastAsia" w:ascii="宋体" w:hAnsi="宋体"/>
          <w:bCs/>
          <w:iCs/>
          <w:color w:val="000000"/>
          <w:sz w:val="24"/>
        </w:rPr>
        <w:t>编号：202</w:t>
      </w:r>
      <w:r>
        <w:rPr>
          <w:rFonts w:ascii="宋体" w:hAnsi="宋体"/>
          <w:bCs/>
          <w:iCs/>
          <w:color w:val="000000"/>
          <w:sz w:val="24"/>
        </w:rPr>
        <w:t>5</w:t>
      </w:r>
      <w:r>
        <w:rPr>
          <w:rFonts w:hint="eastAsia" w:ascii="宋体" w:hAnsi="宋体"/>
          <w:bCs/>
          <w:iCs/>
          <w:color w:val="000000"/>
          <w:sz w:val="24"/>
        </w:rPr>
        <w:t>-</w:t>
      </w:r>
      <w:r>
        <w:rPr>
          <w:rFonts w:ascii="宋体" w:hAnsi="宋体"/>
          <w:bCs/>
          <w:iCs/>
          <w:color w:val="000000"/>
          <w:sz w:val="24"/>
        </w:rPr>
        <w:t>0</w:t>
      </w:r>
      <w:r>
        <w:rPr>
          <w:rFonts w:hint="eastAsia" w:ascii="宋体" w:hAnsi="宋体"/>
          <w:bCs/>
          <w:iCs/>
          <w:color w:val="000000"/>
          <w:sz w:val="24"/>
          <w:lang w:val="en-US" w:eastAsia="zh-CN"/>
        </w:rPr>
        <w:t>02</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558"/>
      </w:tblGrid>
      <w:tr w14:paraId="0DBE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vAlign w:val="center"/>
          </w:tcPr>
          <w:p w14:paraId="4FF6D741">
            <w:pPr>
              <w:spacing w:line="480" w:lineRule="atLeast"/>
              <w:jc w:val="center"/>
              <w:rPr>
                <w:rFonts w:hint="eastAsia" w:asciiTheme="minorEastAsia" w:hAnsiTheme="minorEastAsia"/>
                <w:bCs/>
                <w:iCs/>
                <w:color w:val="000000"/>
                <w:sz w:val="24"/>
              </w:rPr>
            </w:pPr>
            <w:r>
              <w:rPr>
                <w:rFonts w:hint="eastAsia" w:asciiTheme="minorEastAsia" w:hAnsiTheme="minorEastAsia"/>
                <w:bCs/>
                <w:iCs/>
                <w:color w:val="000000"/>
                <w:sz w:val="24"/>
              </w:rPr>
              <w:t>投资者关系活动类别</w:t>
            </w:r>
          </w:p>
        </w:tc>
        <w:tc>
          <w:tcPr>
            <w:tcW w:w="6558" w:type="dxa"/>
            <w:tcBorders>
              <w:top w:val="single" w:color="auto" w:sz="4" w:space="0"/>
              <w:left w:val="single" w:color="auto" w:sz="4" w:space="0"/>
              <w:bottom w:val="single" w:color="auto" w:sz="4" w:space="0"/>
              <w:right w:val="single" w:color="auto" w:sz="4" w:space="0"/>
            </w:tcBorders>
          </w:tcPr>
          <w:p w14:paraId="4BACB0E1">
            <w:pPr>
              <w:tabs>
                <w:tab w:val="left" w:pos="2487"/>
              </w:tabs>
              <w:spacing w:line="360" w:lineRule="auto"/>
              <w:rPr>
                <w:rFonts w:hint="eastAsia"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 xml:space="preserve">特定对象调研        </w:t>
            </w:r>
            <w:r>
              <w:rPr>
                <w:rFonts w:hint="eastAsia" w:asciiTheme="minorEastAsia" w:hAnsiTheme="minorEastAsia"/>
                <w:bCs/>
                <w:iCs/>
                <w:color w:val="000000"/>
                <w:sz w:val="24"/>
              </w:rPr>
              <w:t>□</w:t>
            </w:r>
            <w:r>
              <w:rPr>
                <w:rFonts w:hint="eastAsia" w:asciiTheme="minorEastAsia" w:hAnsiTheme="minorEastAsia"/>
                <w:sz w:val="24"/>
              </w:rPr>
              <w:t>分析师会议</w:t>
            </w:r>
          </w:p>
          <w:p w14:paraId="3B0A8087">
            <w:pPr>
              <w:spacing w:line="360" w:lineRule="auto"/>
              <w:rPr>
                <w:rFonts w:hint="eastAsia"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 xml:space="preserve">媒体采访            </w:t>
            </w:r>
            <w:r>
              <w:rPr>
                <w:rFonts w:hint="eastAsia" w:asciiTheme="minorEastAsia" w:hAnsiTheme="minorEastAsia"/>
                <w:bCs/>
                <w:iCs/>
                <w:color w:val="000000"/>
                <w:sz w:val="24"/>
              </w:rPr>
              <w:t>☑</w:t>
            </w:r>
            <w:r>
              <w:rPr>
                <w:rFonts w:hint="eastAsia" w:asciiTheme="minorEastAsia" w:hAnsiTheme="minorEastAsia"/>
                <w:sz w:val="24"/>
              </w:rPr>
              <w:t>业绩说明会</w:t>
            </w:r>
          </w:p>
          <w:p w14:paraId="1CF19E40">
            <w:pPr>
              <w:spacing w:line="360" w:lineRule="auto"/>
              <w:rPr>
                <w:rFonts w:hint="eastAsia"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 xml:space="preserve">新闻发布会          </w:t>
            </w:r>
            <w:r>
              <w:rPr>
                <w:rFonts w:hint="eastAsia" w:asciiTheme="minorEastAsia" w:hAnsiTheme="minorEastAsia"/>
                <w:bCs/>
                <w:iCs/>
                <w:color w:val="000000"/>
                <w:sz w:val="24"/>
              </w:rPr>
              <w:t>□</w:t>
            </w:r>
            <w:r>
              <w:rPr>
                <w:rFonts w:hint="eastAsia" w:asciiTheme="minorEastAsia" w:hAnsiTheme="minorEastAsia"/>
                <w:sz w:val="24"/>
              </w:rPr>
              <w:t>路演活动</w:t>
            </w:r>
          </w:p>
          <w:p w14:paraId="7C50C39B">
            <w:pPr>
              <w:tabs>
                <w:tab w:val="left" w:pos="2565"/>
                <w:tab w:val="center" w:pos="3199"/>
              </w:tabs>
              <w:spacing w:line="360" w:lineRule="auto"/>
              <w:rPr>
                <w:rFonts w:hint="eastAsia"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现场参观</w:t>
            </w:r>
          </w:p>
          <w:p w14:paraId="416D00A7">
            <w:pPr>
              <w:tabs>
                <w:tab w:val="center" w:pos="3199"/>
              </w:tabs>
              <w:spacing w:line="360" w:lineRule="auto"/>
              <w:rPr>
                <w:rFonts w:hint="eastAsia"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其他（</w:t>
            </w:r>
            <w:r>
              <w:rPr>
                <w:rFonts w:hint="eastAsia" w:asciiTheme="minorEastAsia" w:hAnsiTheme="minorEastAsia"/>
                <w:sz w:val="24"/>
                <w:u w:val="single"/>
              </w:rPr>
              <w:t>请文字说明其他活动内容）</w:t>
            </w:r>
          </w:p>
        </w:tc>
      </w:tr>
      <w:tr w14:paraId="7C99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964" w:type="dxa"/>
            <w:tcBorders>
              <w:top w:val="single" w:color="auto" w:sz="4" w:space="0"/>
              <w:left w:val="single" w:color="auto" w:sz="4" w:space="0"/>
              <w:bottom w:val="single" w:color="auto" w:sz="4" w:space="0"/>
              <w:right w:val="single" w:color="auto" w:sz="4" w:space="0"/>
            </w:tcBorders>
            <w:vAlign w:val="center"/>
          </w:tcPr>
          <w:p w14:paraId="6E44B212">
            <w:pPr>
              <w:spacing w:line="480" w:lineRule="atLeast"/>
              <w:jc w:val="center"/>
              <w:rPr>
                <w:rFonts w:hint="eastAsia" w:asciiTheme="minorEastAsia" w:hAnsiTheme="minorEastAsia"/>
                <w:bCs/>
                <w:iCs/>
                <w:color w:val="000000"/>
                <w:sz w:val="24"/>
              </w:rPr>
            </w:pPr>
            <w:r>
              <w:rPr>
                <w:rFonts w:hint="eastAsia" w:asciiTheme="minorEastAsia" w:hAnsiTheme="minorEastAsia"/>
                <w:bCs/>
                <w:iCs/>
                <w:color w:val="000000"/>
                <w:sz w:val="24"/>
              </w:rPr>
              <w:t>参与单位名称及人员姓名</w:t>
            </w:r>
          </w:p>
        </w:tc>
        <w:tc>
          <w:tcPr>
            <w:tcW w:w="6558" w:type="dxa"/>
            <w:tcBorders>
              <w:top w:val="single" w:color="auto" w:sz="4" w:space="0"/>
              <w:left w:val="single" w:color="auto" w:sz="4" w:space="0"/>
              <w:bottom w:val="single" w:color="auto" w:sz="4" w:space="0"/>
              <w:right w:val="single" w:color="auto" w:sz="4" w:space="0"/>
            </w:tcBorders>
            <w:vAlign w:val="center"/>
          </w:tcPr>
          <w:p w14:paraId="4F9662CE">
            <w:pPr>
              <w:spacing w:before="156" w:beforeLines="50" w:after="156" w:afterLines="50" w:line="360" w:lineRule="auto"/>
              <w:rPr>
                <w:rFonts w:hint="eastAsia" w:asciiTheme="minorEastAsia" w:hAnsiTheme="minorEastAsia"/>
                <w:bCs/>
                <w:iCs/>
                <w:color w:val="000000"/>
                <w:sz w:val="24"/>
              </w:rPr>
            </w:pPr>
            <w:r>
              <w:rPr>
                <w:rFonts w:hint="eastAsia" w:asciiTheme="minorEastAsia" w:hAnsiTheme="minorEastAsia"/>
                <w:bCs/>
                <w:iCs/>
                <w:color w:val="000000"/>
                <w:sz w:val="24"/>
              </w:rPr>
              <w:t>通过上证路演中心线上参与的所有投资者。</w:t>
            </w:r>
          </w:p>
        </w:tc>
      </w:tr>
      <w:tr w14:paraId="659D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64" w:type="dxa"/>
            <w:tcBorders>
              <w:top w:val="single" w:color="auto" w:sz="4" w:space="0"/>
              <w:left w:val="single" w:color="auto" w:sz="4" w:space="0"/>
              <w:bottom w:val="single" w:color="auto" w:sz="4" w:space="0"/>
              <w:right w:val="single" w:color="auto" w:sz="4" w:space="0"/>
            </w:tcBorders>
            <w:vAlign w:val="center"/>
          </w:tcPr>
          <w:p w14:paraId="1D78DEF8">
            <w:pPr>
              <w:spacing w:line="480" w:lineRule="atLeast"/>
              <w:jc w:val="center"/>
              <w:rPr>
                <w:rFonts w:hint="eastAsia" w:asciiTheme="minorEastAsia" w:hAnsiTheme="minorEastAsia"/>
                <w:bCs/>
                <w:iCs/>
                <w:color w:val="000000"/>
                <w:sz w:val="24"/>
              </w:rPr>
            </w:pPr>
            <w:r>
              <w:rPr>
                <w:rFonts w:hint="eastAsia" w:asciiTheme="minorEastAsia" w:hAnsiTheme="minorEastAsia"/>
                <w:bCs/>
                <w:iCs/>
                <w:color w:val="000000"/>
                <w:sz w:val="24"/>
              </w:rPr>
              <w:t>时间</w:t>
            </w:r>
          </w:p>
        </w:tc>
        <w:tc>
          <w:tcPr>
            <w:tcW w:w="6558" w:type="dxa"/>
            <w:tcBorders>
              <w:top w:val="single" w:color="auto" w:sz="4" w:space="0"/>
              <w:left w:val="single" w:color="auto" w:sz="4" w:space="0"/>
              <w:bottom w:val="single" w:color="auto" w:sz="4" w:space="0"/>
              <w:right w:val="single" w:color="auto" w:sz="4" w:space="0"/>
            </w:tcBorders>
          </w:tcPr>
          <w:p w14:paraId="410E88AA">
            <w:pPr>
              <w:spacing w:line="480" w:lineRule="atLeast"/>
              <w:rPr>
                <w:rFonts w:hint="eastAsia" w:asciiTheme="minorEastAsia" w:hAnsiTheme="minorEastAsia"/>
                <w:bCs/>
                <w:iCs/>
                <w:color w:val="000000"/>
                <w:sz w:val="24"/>
              </w:rPr>
            </w:pPr>
            <w:r>
              <w:rPr>
                <w:rFonts w:hint="eastAsia" w:asciiTheme="minorEastAsia" w:hAnsiTheme="minorEastAsia"/>
                <w:bCs/>
                <w:iCs/>
                <w:color w:val="000000"/>
                <w:sz w:val="24"/>
              </w:rPr>
              <w:t>2</w:t>
            </w:r>
            <w:r>
              <w:rPr>
                <w:rFonts w:asciiTheme="minorEastAsia" w:hAnsiTheme="minorEastAsia"/>
                <w:bCs/>
                <w:iCs/>
                <w:color w:val="000000"/>
                <w:sz w:val="24"/>
              </w:rPr>
              <w:t>02</w:t>
            </w:r>
            <w:r>
              <w:rPr>
                <w:rFonts w:hint="eastAsia" w:asciiTheme="minorEastAsia" w:hAnsiTheme="minorEastAsia"/>
                <w:bCs/>
                <w:iCs/>
                <w:color w:val="000000"/>
                <w:sz w:val="24"/>
              </w:rPr>
              <w:t>5年</w:t>
            </w:r>
            <w:r>
              <w:rPr>
                <w:rFonts w:hint="eastAsia" w:asciiTheme="minorEastAsia" w:hAnsiTheme="minorEastAsia"/>
                <w:bCs/>
                <w:iCs/>
                <w:color w:val="000000"/>
                <w:sz w:val="24"/>
                <w:lang w:val="en-US" w:eastAsia="zh-CN"/>
              </w:rPr>
              <w:t>10</w:t>
            </w:r>
            <w:r>
              <w:rPr>
                <w:rFonts w:hint="eastAsia" w:asciiTheme="minorEastAsia" w:hAnsiTheme="minorEastAsia"/>
                <w:bCs/>
                <w:iCs/>
                <w:color w:val="000000"/>
                <w:sz w:val="24"/>
              </w:rPr>
              <w:t>月</w:t>
            </w:r>
            <w:r>
              <w:rPr>
                <w:rFonts w:hint="eastAsia" w:asciiTheme="minorEastAsia" w:hAnsiTheme="minorEastAsia"/>
                <w:bCs/>
                <w:iCs/>
                <w:color w:val="000000"/>
                <w:sz w:val="24"/>
                <w:lang w:val="en-US" w:eastAsia="zh-CN"/>
              </w:rPr>
              <w:t>14</w:t>
            </w:r>
            <w:r>
              <w:rPr>
                <w:rFonts w:hint="eastAsia" w:asciiTheme="minorEastAsia" w:hAnsiTheme="minorEastAsia"/>
                <w:bCs/>
                <w:iCs/>
                <w:color w:val="000000"/>
                <w:sz w:val="24"/>
              </w:rPr>
              <w:t>日</w:t>
            </w:r>
            <w:r>
              <w:rPr>
                <w:rFonts w:asciiTheme="minorEastAsia" w:hAnsiTheme="minorEastAsia"/>
                <w:bCs/>
                <w:iCs/>
                <w:color w:val="000000"/>
                <w:sz w:val="24"/>
              </w:rPr>
              <w:t>1</w:t>
            </w:r>
            <w:r>
              <w:rPr>
                <w:rFonts w:hint="eastAsia" w:asciiTheme="minorEastAsia" w:hAnsiTheme="minorEastAsia"/>
                <w:bCs/>
                <w:iCs/>
                <w:color w:val="000000"/>
                <w:sz w:val="24"/>
              </w:rPr>
              <w:t>0</w:t>
            </w:r>
            <w:r>
              <w:rPr>
                <w:rFonts w:asciiTheme="minorEastAsia" w:hAnsiTheme="minorEastAsia"/>
                <w:bCs/>
                <w:iCs/>
                <w:color w:val="000000"/>
                <w:sz w:val="24"/>
              </w:rPr>
              <w:t>:00-1</w:t>
            </w:r>
            <w:r>
              <w:rPr>
                <w:rFonts w:hint="eastAsia" w:asciiTheme="minorEastAsia" w:hAnsiTheme="minorEastAsia"/>
                <w:bCs/>
                <w:iCs/>
                <w:color w:val="000000"/>
                <w:sz w:val="24"/>
              </w:rPr>
              <w:t>1</w:t>
            </w:r>
            <w:r>
              <w:rPr>
                <w:rFonts w:asciiTheme="minorEastAsia" w:hAnsiTheme="minorEastAsia"/>
                <w:bCs/>
                <w:iCs/>
                <w:color w:val="000000"/>
                <w:sz w:val="24"/>
              </w:rPr>
              <w:t>:</w:t>
            </w:r>
            <w:r>
              <w:rPr>
                <w:rFonts w:hint="eastAsia" w:asciiTheme="minorEastAsia" w:hAnsiTheme="minorEastAsia"/>
                <w:bCs/>
                <w:iCs/>
                <w:color w:val="000000"/>
                <w:sz w:val="24"/>
              </w:rPr>
              <w:t>0</w:t>
            </w:r>
            <w:r>
              <w:rPr>
                <w:rFonts w:asciiTheme="minorEastAsia" w:hAnsiTheme="minorEastAsia"/>
                <w:bCs/>
                <w:iCs/>
                <w:color w:val="000000"/>
                <w:sz w:val="24"/>
              </w:rPr>
              <w:t>0</w:t>
            </w:r>
          </w:p>
        </w:tc>
      </w:tr>
      <w:tr w14:paraId="421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64" w:type="dxa"/>
            <w:tcBorders>
              <w:top w:val="single" w:color="auto" w:sz="4" w:space="0"/>
              <w:left w:val="single" w:color="auto" w:sz="4" w:space="0"/>
              <w:bottom w:val="single" w:color="auto" w:sz="4" w:space="0"/>
              <w:right w:val="single" w:color="auto" w:sz="4" w:space="0"/>
            </w:tcBorders>
            <w:vAlign w:val="center"/>
          </w:tcPr>
          <w:p w14:paraId="6FFEC512">
            <w:pPr>
              <w:spacing w:line="360" w:lineRule="auto"/>
              <w:jc w:val="center"/>
              <w:rPr>
                <w:rFonts w:hint="eastAsia" w:asciiTheme="minorEastAsia" w:hAnsiTheme="minorEastAsia"/>
                <w:bCs/>
                <w:iCs/>
                <w:color w:val="000000"/>
                <w:sz w:val="24"/>
              </w:rPr>
            </w:pPr>
            <w:r>
              <w:rPr>
                <w:rFonts w:hint="eastAsia" w:asciiTheme="minorEastAsia" w:hAnsiTheme="minorEastAsia"/>
                <w:bCs/>
                <w:iCs/>
                <w:color w:val="000000"/>
                <w:sz w:val="24"/>
              </w:rPr>
              <w:t>地点</w:t>
            </w:r>
          </w:p>
        </w:tc>
        <w:tc>
          <w:tcPr>
            <w:tcW w:w="6558" w:type="dxa"/>
            <w:tcBorders>
              <w:top w:val="single" w:color="auto" w:sz="4" w:space="0"/>
              <w:left w:val="single" w:color="auto" w:sz="4" w:space="0"/>
              <w:bottom w:val="single" w:color="auto" w:sz="4" w:space="0"/>
              <w:right w:val="single" w:color="auto" w:sz="4" w:space="0"/>
            </w:tcBorders>
            <w:vAlign w:val="center"/>
          </w:tcPr>
          <w:p w14:paraId="1BDB2B3E">
            <w:pPr>
              <w:spacing w:line="360" w:lineRule="auto"/>
              <w:rPr>
                <w:rFonts w:hint="eastAsia" w:asciiTheme="minorEastAsia" w:hAnsiTheme="minorEastAsia"/>
                <w:bCs/>
                <w:iCs/>
                <w:color w:val="000000"/>
                <w:sz w:val="24"/>
              </w:rPr>
            </w:pPr>
            <w:r>
              <w:rPr>
                <w:rFonts w:hint="eastAsia" w:cs="宋体" w:asciiTheme="minorEastAsia" w:hAnsiTheme="minorEastAsia"/>
                <w:bCs/>
                <w:color w:val="000000"/>
                <w:kern w:val="0"/>
                <w:sz w:val="24"/>
                <w:szCs w:val="24"/>
              </w:rPr>
              <w:t>上证路演中心</w:t>
            </w:r>
            <w:r>
              <w:rPr>
                <w:rFonts w:hint="eastAsia"/>
              </w:rPr>
              <w:fldChar w:fldCharType="begin"/>
            </w:r>
            <w:r>
              <w:instrText xml:space="preserve"> HYPERLINK "https://roadshow.sseinfo.com" </w:instrText>
            </w:r>
            <w:r>
              <w:rPr>
                <w:rFonts w:hint="eastAsia"/>
              </w:rPr>
              <w:fldChar w:fldCharType="separate"/>
            </w:r>
            <w:r>
              <w:rPr>
                <w:rStyle w:val="11"/>
                <w:rFonts w:hint="eastAsia" w:ascii="宋体" w:hAnsi="宋体"/>
                <w:bCs/>
                <w:sz w:val="24"/>
              </w:rPr>
              <w:t>https://roadshow.sseinfo.com</w:t>
            </w:r>
            <w:r>
              <w:rPr>
                <w:rStyle w:val="11"/>
                <w:rFonts w:hint="eastAsia" w:ascii="宋体" w:hAnsi="宋体"/>
                <w:bCs/>
                <w:sz w:val="24"/>
              </w:rPr>
              <w:fldChar w:fldCharType="end"/>
            </w:r>
          </w:p>
        </w:tc>
      </w:tr>
      <w:tr w14:paraId="7BA0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vAlign w:val="center"/>
          </w:tcPr>
          <w:p w14:paraId="77EA6D6F">
            <w:pPr>
              <w:spacing w:line="276" w:lineRule="auto"/>
              <w:jc w:val="center"/>
              <w:rPr>
                <w:rFonts w:hint="eastAsia" w:asciiTheme="minorEastAsia" w:hAnsiTheme="minorEastAsia"/>
                <w:bCs/>
                <w:iCs/>
                <w:color w:val="000000"/>
                <w:sz w:val="24"/>
              </w:rPr>
            </w:pPr>
            <w:r>
              <w:rPr>
                <w:rFonts w:hint="eastAsia" w:asciiTheme="minorEastAsia" w:hAnsiTheme="minorEastAsia"/>
                <w:bCs/>
                <w:iCs/>
                <w:color w:val="000000"/>
                <w:sz w:val="24"/>
              </w:rPr>
              <w:t>上市公司接待</w:t>
            </w:r>
          </w:p>
          <w:p w14:paraId="35818C02">
            <w:pPr>
              <w:spacing w:line="276" w:lineRule="auto"/>
              <w:jc w:val="center"/>
              <w:rPr>
                <w:rFonts w:hint="eastAsia" w:asciiTheme="minorEastAsia" w:hAnsiTheme="minorEastAsia"/>
                <w:bCs/>
                <w:iCs/>
                <w:color w:val="000000"/>
                <w:sz w:val="24"/>
              </w:rPr>
            </w:pPr>
            <w:r>
              <w:rPr>
                <w:rFonts w:hint="eastAsia" w:asciiTheme="minorEastAsia" w:hAnsiTheme="minorEastAsia"/>
                <w:bCs/>
                <w:iCs/>
                <w:color w:val="000000"/>
                <w:sz w:val="24"/>
              </w:rPr>
              <w:t>人员姓名</w:t>
            </w:r>
          </w:p>
        </w:tc>
        <w:tc>
          <w:tcPr>
            <w:tcW w:w="6558" w:type="dxa"/>
            <w:tcBorders>
              <w:top w:val="single" w:color="auto" w:sz="4" w:space="0"/>
              <w:left w:val="single" w:color="auto" w:sz="4" w:space="0"/>
              <w:bottom w:val="single" w:color="auto" w:sz="4" w:space="0"/>
              <w:right w:val="single" w:color="auto" w:sz="4" w:space="0"/>
            </w:tcBorders>
            <w:vAlign w:val="center"/>
          </w:tcPr>
          <w:p w14:paraId="45E4F53A">
            <w:pPr>
              <w:spacing w:before="156" w:beforeLines="50" w:after="156" w:afterLines="50" w:line="360" w:lineRule="auto"/>
              <w:rPr>
                <w:rFonts w:hint="eastAsia" w:asciiTheme="minorEastAsia" w:hAnsiTheme="minorEastAsia"/>
                <w:bCs/>
                <w:iCs/>
                <w:color w:val="000000"/>
                <w:sz w:val="24"/>
              </w:rPr>
            </w:pPr>
            <w:r>
              <w:rPr>
                <w:rFonts w:hint="eastAsia" w:asciiTheme="minorEastAsia" w:hAnsiTheme="minorEastAsia"/>
                <w:bCs/>
                <w:iCs/>
                <w:color w:val="000000"/>
                <w:sz w:val="24"/>
              </w:rPr>
              <w:t>董事长、总经理 权晓文；副总经理、董事会秘书 袁先登；财务总监 李慜丰；独立董事 谢青</w:t>
            </w:r>
          </w:p>
        </w:tc>
      </w:tr>
      <w:tr w14:paraId="5C17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vAlign w:val="center"/>
          </w:tcPr>
          <w:p w14:paraId="5BC1FD2F">
            <w:pPr>
              <w:spacing w:line="360" w:lineRule="auto"/>
              <w:jc w:val="center"/>
              <w:rPr>
                <w:rFonts w:hint="eastAsia" w:asciiTheme="minorEastAsia" w:hAnsiTheme="minorEastAsia"/>
                <w:bCs/>
                <w:iCs/>
                <w:color w:val="000000"/>
                <w:sz w:val="24"/>
              </w:rPr>
            </w:pPr>
            <w:r>
              <w:rPr>
                <w:rFonts w:hint="eastAsia" w:asciiTheme="minorEastAsia" w:hAnsiTheme="minorEastAsia"/>
                <w:bCs/>
                <w:iCs/>
                <w:color w:val="000000"/>
                <w:sz w:val="24"/>
              </w:rPr>
              <w:t>投资者关系活动主要内容介绍</w:t>
            </w:r>
          </w:p>
        </w:tc>
        <w:tc>
          <w:tcPr>
            <w:tcW w:w="6558" w:type="dxa"/>
            <w:tcBorders>
              <w:top w:val="single" w:color="auto" w:sz="4" w:space="0"/>
              <w:left w:val="single" w:color="auto" w:sz="4" w:space="0"/>
              <w:bottom w:val="single" w:color="auto" w:sz="4" w:space="0"/>
              <w:right w:val="single" w:color="auto" w:sz="4" w:space="0"/>
            </w:tcBorders>
          </w:tcPr>
          <w:p w14:paraId="0C93342D">
            <w:pPr>
              <w:spacing w:line="360" w:lineRule="auto"/>
              <w:rPr>
                <w:rFonts w:ascii="宋体"/>
                <w:sz w:val="24"/>
              </w:rPr>
            </w:pPr>
            <w:r>
              <w:rPr>
                <w:rFonts w:hint="eastAsia" w:ascii="宋体"/>
                <w:sz w:val="24"/>
              </w:rPr>
              <w:t>1</w:t>
            </w:r>
            <w:r>
              <w:rPr>
                <w:rFonts w:ascii="宋体"/>
                <w:sz w:val="24"/>
              </w:rPr>
              <w:t>、</w:t>
            </w:r>
            <w:r>
              <w:rPr>
                <w:rFonts w:hint="eastAsia" w:ascii="宋体"/>
                <w:sz w:val="24"/>
              </w:rPr>
              <w:t>关注到公司近期自主研发的200G高速链路加密网关产品完成了内部测试，产品具体的先进性是什么？市场空间如何？</w:t>
            </w:r>
          </w:p>
          <w:p w14:paraId="4442AE33">
            <w:pPr>
              <w:pStyle w:val="13"/>
              <w:widowControl/>
              <w:autoSpaceDE/>
              <w:autoSpaceDN/>
              <w:adjustRightInd/>
              <w:spacing w:after="156" w:afterLines="50" w:line="360" w:lineRule="auto"/>
              <w:rPr>
                <w:rFonts w:hint="eastAsia"/>
              </w:rPr>
            </w:pPr>
            <w:r>
              <w:t>答:</w:t>
            </w:r>
            <w:r>
              <w:rPr>
                <w:rFonts w:hint="eastAsia"/>
              </w:rPr>
              <w:t>尊敬的投资者，您好。近期，公司200G高速链路加密网关完成内部测试，性能数据首次公布：加密速率、吞吐量等指标较传统方案提升数倍至数十倍，加解密能力超200Gbps，时延低于5微秒。该产品性能已至国际水平，实测性能超国际主流百G产品，突破填补了“东数西算”及智算中心时代100G/200G骨干链路安全防护技术空白，为数字中国筑牢安全根基，在当前市场环境下，这个成果极具分量。产品推出后将广泛应用于金融、智算、数据中心等高价值领域，如金融高频交易等低时延场景、智算中心建设、数据中心建设、二地三中心等骨干网络安全互联互通场景。感谢您的关注与支持！</w:t>
            </w:r>
          </w:p>
          <w:p w14:paraId="02D9704F">
            <w:pPr>
              <w:pStyle w:val="13"/>
              <w:widowControl/>
              <w:spacing w:after="156" w:afterLines="50" w:line="360" w:lineRule="auto"/>
              <w:rPr>
                <w:rFonts w:hint="eastAsia" w:asciiTheme="minorEastAsia" w:hAnsiTheme="minorEastAsia" w:eastAsiaTheme="minorEastAsia"/>
                <w:bCs/>
              </w:rPr>
            </w:pPr>
            <w:r>
              <w:rPr>
                <w:rFonts w:hint="eastAsia" w:asciiTheme="minorEastAsia" w:hAnsiTheme="minorEastAsia" w:eastAsiaTheme="minorEastAsia"/>
                <w:bCs/>
              </w:rPr>
              <w:t>2、近一年，公司收购了卫星通信安全与密码领域的天御云安、投资了卫星通信设备商星展测控以及卫星制造独角兽微纳星空。请问贵司并购及投资这几家企业的思路是什么？</w:t>
            </w:r>
          </w:p>
          <w:p w14:paraId="681E4A61">
            <w:pPr>
              <w:pStyle w:val="13"/>
              <w:widowControl/>
              <w:spacing w:after="156" w:afterLines="50" w:line="360" w:lineRule="auto"/>
              <w:rPr>
                <w:rFonts w:hint="eastAsia" w:asciiTheme="minorEastAsia" w:hAnsiTheme="minorEastAsia" w:eastAsiaTheme="minorEastAsia"/>
                <w:bCs/>
              </w:rPr>
            </w:pPr>
            <w:r>
              <w:rPr>
                <w:rFonts w:hint="eastAsia" w:asciiTheme="minorEastAsia" w:hAnsiTheme="minorEastAsia" w:eastAsiaTheme="minorEastAsia"/>
                <w:bCs/>
              </w:rPr>
              <w:t>答:尊敬的投资者，您好。作为重要的战略发展方向，公司高度关注卫星互联网产业的安全需求与发展机遇，通过战略投资微纳星空、星展测控，并购天御云安，形成资本与产业协同。微纳星空专注小卫星研发制造，契合低轨星座化趋势；星展测控提供动中通设备和无人机系统，拓展低空经济与应急场景；天御云安强化卫星通信加密与安全检测能力。三者优势互补，助力公司构建“制造—设备—安全”全产业链布局，完善空天地一体化安全防护体系，推动卫星互联网安全业务快速发展。感谢您的关注与支持！</w:t>
            </w:r>
          </w:p>
          <w:p w14:paraId="6D185C3A">
            <w:pPr>
              <w:pStyle w:val="13"/>
              <w:widowControl/>
              <w:spacing w:after="156" w:afterLines="50" w:line="360" w:lineRule="auto"/>
              <w:rPr>
                <w:rFonts w:hint="eastAsia" w:asciiTheme="minorEastAsia" w:hAnsiTheme="minorEastAsia" w:eastAsiaTheme="minorEastAsia"/>
                <w:bCs/>
              </w:rPr>
            </w:pPr>
            <w:r>
              <w:rPr>
                <w:rFonts w:hint="eastAsia" w:asciiTheme="minorEastAsia" w:hAnsiTheme="minorEastAsia" w:eastAsiaTheme="minorEastAsia"/>
                <w:bCs/>
              </w:rPr>
              <w:t>3、公司在网络空间地图领域今年上半年的需求订单情况如何？展望全年在这一块的情况如何？</w:t>
            </w:r>
          </w:p>
          <w:p w14:paraId="71CC5DDD">
            <w:pPr>
              <w:pStyle w:val="13"/>
              <w:widowControl/>
              <w:spacing w:after="156" w:afterLines="50" w:line="360" w:lineRule="auto"/>
              <w:rPr>
                <w:rFonts w:hint="eastAsia" w:asciiTheme="minorEastAsia" w:hAnsiTheme="minorEastAsia" w:eastAsiaTheme="minorEastAsia"/>
                <w:bCs/>
              </w:rPr>
            </w:pPr>
            <w:r>
              <w:rPr>
                <w:rFonts w:hint="eastAsia" w:asciiTheme="minorEastAsia" w:hAnsiTheme="minorEastAsia" w:eastAsiaTheme="minorEastAsia"/>
                <w:bCs/>
              </w:rPr>
              <w:t>答:尊敬的投资者，您好。2025年上半年，公司看到网络空间地图类产品商机增多，公共安全行业对接明显增加。同时，公司针对产品在基础功能、漏洞库、AI引擎应用等方面进行升级，丰富了产品矩阵，并扩展到卫星领域。目前，网络空间地图类产品赛道竞争格局较为宽松，行业内具备成熟技术与完整解决方案的企业较少，全年业务增速主要依赖公共安全等核心需求端的持续稳定及公司在其他行业的推广情况。综合行业趋势与公司布局来看，公司对该业务板块未来发展依旧呈积极态度。感谢您的关注与支持！</w:t>
            </w:r>
          </w:p>
          <w:p w14:paraId="4839E384">
            <w:pPr>
              <w:pStyle w:val="13"/>
              <w:widowControl/>
              <w:spacing w:after="156" w:afterLines="50" w:line="360" w:lineRule="auto"/>
              <w:rPr>
                <w:rFonts w:hint="eastAsia" w:asciiTheme="minorEastAsia" w:hAnsiTheme="minorEastAsia" w:eastAsiaTheme="minorEastAsia"/>
                <w:bCs/>
              </w:rPr>
            </w:pPr>
            <w:r>
              <w:rPr>
                <w:rFonts w:hint="eastAsia" w:asciiTheme="minorEastAsia" w:hAnsiTheme="minorEastAsia" w:eastAsiaTheme="minorEastAsia"/>
                <w:bCs/>
              </w:rPr>
              <w:t>4、请问随着卫星发射数量增加，对公司卫星产品开拓是否有带动效果？</w:t>
            </w:r>
          </w:p>
          <w:p w14:paraId="22638689">
            <w:pPr>
              <w:pStyle w:val="13"/>
              <w:widowControl/>
              <w:autoSpaceDE/>
              <w:autoSpaceDN/>
              <w:adjustRightInd/>
              <w:spacing w:after="156" w:afterLines="50" w:line="360" w:lineRule="auto"/>
              <w:rPr>
                <w:rFonts w:hint="eastAsia" w:asciiTheme="minorEastAsia" w:hAnsiTheme="minorEastAsia" w:eastAsiaTheme="minorEastAsia"/>
                <w:bCs/>
              </w:rPr>
            </w:pPr>
            <w:r>
              <w:rPr>
                <w:rFonts w:hint="eastAsia" w:asciiTheme="minorEastAsia" w:hAnsiTheme="minorEastAsia" w:eastAsiaTheme="minorEastAsia"/>
                <w:bCs/>
              </w:rPr>
              <w:t>答:尊敬的投资者，您好。公司持续深耕卫星互联网安全领域，看到行业需求正在逐步加速，同时公司也在此方向持续投入研发及销售力量。卫星发射数量的增加，对公司业务产生积极影响，主要体现在两个方面：一是我们有星载安全的产品，它直接跟卫星的数量是线性相关；二是随着发星组网进程加快，地面端的建设也将逐步加速，公司产品在地面端的很多设备中可广泛应用，如低空场景、深海场景、能源类场景等。相信随着产业的不断发展，公司星载与地面端产品的市场空间将持续拓宽，公司将会继续完善卫星互联网安全产品体系，以更优质的产品与服务响应需求，为投资者创造更稳健的回报，与产业共成长。感谢您的关注与支持！</w:t>
            </w:r>
          </w:p>
          <w:p w14:paraId="1B1393AF">
            <w:pPr>
              <w:pStyle w:val="13"/>
              <w:widowControl/>
              <w:autoSpaceDE/>
              <w:autoSpaceDN/>
              <w:adjustRightInd/>
              <w:spacing w:after="156" w:afterLines="50" w:line="360" w:lineRule="auto"/>
              <w:rPr>
                <w:rFonts w:hint="eastAsia" w:asciiTheme="minorEastAsia" w:hAnsiTheme="minorEastAsia" w:eastAsiaTheme="minorEastAsia"/>
                <w:bCs/>
                <w:lang w:val="en-US" w:eastAsia="zh-CN"/>
              </w:rPr>
            </w:pPr>
            <w:r>
              <w:rPr>
                <w:rFonts w:hint="default" w:asciiTheme="minorEastAsia" w:hAnsiTheme="minorEastAsia" w:eastAsiaTheme="minorEastAsia"/>
                <w:bCs/>
                <w:lang w:val="en-US"/>
              </w:rPr>
              <w:t>5</w:t>
            </w:r>
            <w:r>
              <w:rPr>
                <w:rFonts w:hint="eastAsia" w:asciiTheme="minorEastAsia" w:hAnsiTheme="minorEastAsia" w:eastAsiaTheme="minorEastAsia"/>
                <w:bCs/>
                <w:lang w:val="en-US" w:eastAsia="zh-CN"/>
              </w:rPr>
              <w:t>、公司有哪些自主研发设计的芯片？对外单独销售吗？</w:t>
            </w:r>
          </w:p>
          <w:p w14:paraId="3C61EA4D">
            <w:pPr>
              <w:pStyle w:val="13"/>
              <w:widowControl/>
              <w:autoSpaceDE/>
              <w:autoSpaceDN/>
              <w:adjustRightInd/>
              <w:spacing w:after="156" w:afterLines="50" w:line="360" w:lineRule="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答：尊敬的投资者，您好。公司自主研发的产品包括嵌入式卫星加密模块、无人机加密模块等，已在市场上进行销售，并在公共安全、应急管理、交通、能源领域和乡村振兴领域实现落地应用。感谢您的关注与支持！</w:t>
            </w:r>
          </w:p>
          <w:p w14:paraId="437BBE40">
            <w:pPr>
              <w:pStyle w:val="13"/>
              <w:widowControl/>
              <w:autoSpaceDE/>
              <w:autoSpaceDN/>
              <w:adjustRightInd/>
              <w:spacing w:after="156" w:afterLines="50" w:line="360" w:lineRule="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6、公司的嵌入式卫星加密芯片模块为卫星制造企业供货吗？</w:t>
            </w:r>
          </w:p>
          <w:p w14:paraId="25B93BD8">
            <w:pPr>
              <w:pStyle w:val="13"/>
              <w:widowControl/>
              <w:autoSpaceDE/>
              <w:autoSpaceDN/>
              <w:adjustRightInd/>
              <w:spacing w:after="156" w:afterLines="50" w:line="360" w:lineRule="auto"/>
              <w:rPr>
                <w:rFonts w:hint="default" w:asciiTheme="minorEastAsia" w:hAnsiTheme="minorEastAsia" w:eastAsiaTheme="minorEastAsia"/>
                <w:bCs/>
                <w:lang w:val="en-US" w:eastAsia="zh-CN"/>
              </w:rPr>
            </w:pPr>
            <w:r>
              <w:rPr>
                <w:rFonts w:hint="eastAsia" w:asciiTheme="minorEastAsia" w:hAnsiTheme="minorEastAsia" w:eastAsiaTheme="minorEastAsia"/>
                <w:bCs/>
                <w:lang w:val="en-US" w:eastAsia="zh-CN"/>
              </w:rPr>
              <w:t>答：</w:t>
            </w:r>
            <w:r>
              <w:rPr>
                <w:rFonts w:hint="default" w:asciiTheme="minorEastAsia" w:hAnsiTheme="minorEastAsia" w:eastAsiaTheme="minorEastAsia"/>
                <w:bCs/>
                <w:lang w:val="en-US" w:eastAsia="zh-CN"/>
              </w:rPr>
              <w:t>尊敬的投资者，您好。公司的嵌入式卫星加密模块由公司自主设计开发，并在市场上进行产品销售，最终用户包括卫星制造企业、卫星运营企业和卫星应用企业等。感谢您的关注与支持！</w:t>
            </w:r>
          </w:p>
          <w:p w14:paraId="6E80E76B">
            <w:pPr>
              <w:pStyle w:val="13"/>
              <w:widowControl/>
              <w:autoSpaceDE/>
              <w:autoSpaceDN/>
              <w:adjustRightInd/>
              <w:spacing w:after="156" w:afterLines="50" w:line="360" w:lineRule="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7、公司在量子科技方面有哪些业务？此外，一份2024年的调研纪要显示，盛邦安全投资的公司（天御云安）服务的客户也包括国盾量子、国科量子等量子科技企业。请问公司为以上两家企业提供具体什么业务？</w:t>
            </w:r>
          </w:p>
          <w:p w14:paraId="7B00662F">
            <w:pPr>
              <w:pStyle w:val="13"/>
              <w:widowControl/>
              <w:autoSpaceDE/>
              <w:autoSpaceDN/>
              <w:adjustRightInd/>
              <w:spacing w:after="156" w:afterLines="50" w:line="360" w:lineRule="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答：尊敬的投资者，您好，公司的高速链路加密产品支持量子密钥分发的接入，可广泛使用于量子通信及量子加密领域。感谢您的关注与支持！</w:t>
            </w:r>
          </w:p>
          <w:p w14:paraId="24851DE8">
            <w:pPr>
              <w:pStyle w:val="13"/>
              <w:widowControl/>
              <w:autoSpaceDE/>
              <w:autoSpaceDN/>
              <w:adjustRightInd/>
              <w:spacing w:after="156" w:afterLines="50" w:line="360" w:lineRule="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8、公司上市以来，一直处于破发状态，管理层对此有何措施？</w:t>
            </w:r>
          </w:p>
          <w:p w14:paraId="2EE577F4">
            <w:pPr>
              <w:pStyle w:val="13"/>
              <w:widowControl/>
              <w:autoSpaceDE/>
              <w:autoSpaceDN/>
              <w:adjustRightInd/>
              <w:spacing w:after="156" w:afterLines="50" w:line="360" w:lineRule="auto"/>
              <w:rPr>
                <w:rFonts w:hint="default" w:asciiTheme="minorEastAsia" w:hAnsiTheme="minorEastAsia" w:eastAsiaTheme="minorEastAsia"/>
                <w:bCs/>
                <w:lang w:val="en-US" w:eastAsia="zh-CN"/>
              </w:rPr>
            </w:pPr>
            <w:r>
              <w:rPr>
                <w:rFonts w:hint="eastAsia" w:asciiTheme="minorEastAsia" w:hAnsiTheme="minorEastAsia" w:eastAsiaTheme="minorEastAsia"/>
                <w:bCs/>
                <w:lang w:val="en-US" w:eastAsia="zh-CN"/>
              </w:rPr>
              <w:t>答：尊敬的投资者，您好。股价受宏观经济环境、行业周期波动、市场情绪等多重因素综合影响，存在一定不确定性。公司上市以来，为增强核心竞争力，扩充了销售团队规模，持续增加研发投入，研发投入2024年同比增长32.87%、2025年上半年同比增长33.43%，持续的研发投入为持续创新提供了有力支撑，为公司未来的发展打下良好基础。公司始终高度重视股东回报与市值管理工作，主要通过两个方面推进：一是持续深耕核心业务领域，通过优化经营管理、推进技术创新等举措提升核心竞争力，不断提升公司内在价值与可持续发展能力，加强优化财务管理工作，推进降本增效，持续提高运营效率，为市值稳定提供根本支撑；二是科学运用合规的市值管理手段，平衡好短期波动与长期价值的关系，多举措开展市值管理，包括完善公司治理、加强投资者关系管理、提升信息披露透明度、建立持续、稳定、科学的投资者回报机制等，切实向市场传递公司经营理念与投资价值。感谢您的关注与支持！</w:t>
            </w:r>
          </w:p>
        </w:tc>
      </w:tr>
      <w:tr w14:paraId="3831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vAlign w:val="center"/>
          </w:tcPr>
          <w:p w14:paraId="1F18ADBA">
            <w:pPr>
              <w:spacing w:line="360" w:lineRule="auto"/>
              <w:jc w:val="center"/>
              <w:rPr>
                <w:rFonts w:hint="eastAsia" w:asciiTheme="minorEastAsia" w:hAnsiTheme="minorEastAsia"/>
                <w:bCs/>
                <w:iCs/>
                <w:color w:val="000000"/>
                <w:sz w:val="24"/>
              </w:rPr>
            </w:pPr>
            <w:r>
              <w:rPr>
                <w:rFonts w:asciiTheme="minorEastAsia" w:hAnsiTheme="minorEastAsia"/>
                <w:bCs/>
                <w:iCs/>
                <w:color w:val="000000"/>
                <w:sz w:val="24"/>
              </w:rPr>
              <w:t>附件清单（如有）</w:t>
            </w:r>
          </w:p>
        </w:tc>
        <w:tc>
          <w:tcPr>
            <w:tcW w:w="6558" w:type="dxa"/>
            <w:tcBorders>
              <w:top w:val="single" w:color="auto" w:sz="4" w:space="0"/>
              <w:left w:val="single" w:color="auto" w:sz="4" w:space="0"/>
              <w:bottom w:val="single" w:color="auto" w:sz="4" w:space="0"/>
              <w:right w:val="single" w:color="auto" w:sz="4" w:space="0"/>
            </w:tcBorders>
            <w:vAlign w:val="center"/>
          </w:tcPr>
          <w:p w14:paraId="10CD89F2">
            <w:pPr>
              <w:spacing w:line="360" w:lineRule="auto"/>
              <w:rPr>
                <w:rFonts w:hint="eastAsia" w:asciiTheme="minorEastAsia" w:hAnsiTheme="minorEastAsia"/>
                <w:bCs/>
                <w:iCs/>
                <w:color w:val="000000"/>
                <w:sz w:val="24"/>
              </w:rPr>
            </w:pPr>
            <w:r>
              <w:rPr>
                <w:rFonts w:hint="eastAsia" w:asciiTheme="minorEastAsia" w:hAnsiTheme="minorEastAsia"/>
                <w:bCs/>
                <w:iCs/>
                <w:color w:val="000000"/>
                <w:sz w:val="24"/>
              </w:rPr>
              <w:t>无</w:t>
            </w:r>
          </w:p>
        </w:tc>
      </w:tr>
      <w:tr w14:paraId="7AB2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vAlign w:val="center"/>
          </w:tcPr>
          <w:p w14:paraId="689648AB">
            <w:pPr>
              <w:spacing w:line="360" w:lineRule="auto"/>
              <w:jc w:val="center"/>
              <w:rPr>
                <w:rFonts w:hint="eastAsia" w:asciiTheme="minorEastAsia" w:hAnsiTheme="minorEastAsia"/>
                <w:bCs/>
                <w:iCs/>
                <w:color w:val="000000"/>
                <w:sz w:val="24"/>
              </w:rPr>
            </w:pPr>
            <w:r>
              <w:rPr>
                <w:rFonts w:hint="eastAsia" w:asciiTheme="minorEastAsia" w:hAnsiTheme="minorEastAsia"/>
                <w:bCs/>
                <w:iCs/>
                <w:color w:val="000000"/>
                <w:sz w:val="24"/>
              </w:rPr>
              <w:t>日期</w:t>
            </w:r>
          </w:p>
        </w:tc>
        <w:tc>
          <w:tcPr>
            <w:tcW w:w="6558" w:type="dxa"/>
            <w:tcBorders>
              <w:top w:val="single" w:color="auto" w:sz="4" w:space="0"/>
              <w:left w:val="single" w:color="auto" w:sz="4" w:space="0"/>
              <w:bottom w:val="single" w:color="auto" w:sz="4" w:space="0"/>
              <w:right w:val="single" w:color="auto" w:sz="4" w:space="0"/>
            </w:tcBorders>
            <w:vAlign w:val="center"/>
          </w:tcPr>
          <w:p w14:paraId="686EB8BC">
            <w:pPr>
              <w:spacing w:line="360" w:lineRule="auto"/>
              <w:rPr>
                <w:rFonts w:hint="eastAsia" w:asciiTheme="minorEastAsia" w:hAnsiTheme="minorEastAsia"/>
                <w:bCs/>
                <w:iCs/>
                <w:color w:val="000000"/>
                <w:sz w:val="24"/>
              </w:rPr>
            </w:pPr>
            <w:r>
              <w:rPr>
                <w:rFonts w:hint="eastAsia" w:asciiTheme="minorEastAsia" w:hAnsiTheme="minorEastAsia"/>
                <w:bCs/>
                <w:iCs/>
                <w:color w:val="000000"/>
                <w:sz w:val="24"/>
              </w:rPr>
              <w:t>2</w:t>
            </w:r>
            <w:r>
              <w:rPr>
                <w:rFonts w:asciiTheme="minorEastAsia" w:hAnsiTheme="minorEastAsia"/>
                <w:bCs/>
                <w:iCs/>
                <w:color w:val="000000"/>
                <w:sz w:val="24"/>
              </w:rPr>
              <w:t>025</w:t>
            </w:r>
            <w:r>
              <w:rPr>
                <w:rFonts w:hint="eastAsia" w:asciiTheme="minorEastAsia" w:hAnsiTheme="minorEastAsia"/>
                <w:bCs/>
                <w:iCs/>
                <w:color w:val="000000"/>
                <w:sz w:val="24"/>
              </w:rPr>
              <w:t>年</w:t>
            </w:r>
            <w:r>
              <w:rPr>
                <w:rFonts w:hint="eastAsia" w:asciiTheme="minorEastAsia" w:hAnsiTheme="minorEastAsia"/>
                <w:bCs/>
                <w:iCs/>
                <w:color w:val="000000"/>
                <w:sz w:val="24"/>
                <w:lang w:val="en-US" w:eastAsia="zh-CN"/>
              </w:rPr>
              <w:t>10</w:t>
            </w:r>
            <w:r>
              <w:rPr>
                <w:rFonts w:hint="eastAsia" w:asciiTheme="minorEastAsia" w:hAnsiTheme="minorEastAsia"/>
                <w:bCs/>
                <w:iCs/>
                <w:color w:val="000000"/>
                <w:sz w:val="24"/>
              </w:rPr>
              <w:t>月</w:t>
            </w:r>
            <w:r>
              <w:rPr>
                <w:rFonts w:hint="eastAsia" w:asciiTheme="minorEastAsia" w:hAnsiTheme="minorEastAsia"/>
                <w:bCs/>
                <w:iCs/>
                <w:color w:val="000000"/>
                <w:sz w:val="24"/>
                <w:lang w:val="en-US" w:eastAsia="zh-CN"/>
              </w:rPr>
              <w:t>14</w:t>
            </w:r>
            <w:r>
              <w:rPr>
                <w:rFonts w:hint="eastAsia" w:asciiTheme="minorEastAsia" w:hAnsiTheme="minorEastAsia"/>
                <w:bCs/>
                <w:iCs/>
                <w:color w:val="000000"/>
                <w:sz w:val="24"/>
              </w:rPr>
              <w:t>日</w:t>
            </w:r>
          </w:p>
        </w:tc>
      </w:tr>
    </w:tbl>
    <w:p w14:paraId="1A6C13C9">
      <w:pPr>
        <w:rPr>
          <w:rFonts w:hint="eastAsia" w:ascii="宋体" w:hAnsi="宋体"/>
          <w:bCs/>
          <w:iCs/>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NmIwOGE4ODAyNzczZjNjZjg0MTkyMzYwYjZhZTgifQ=="/>
  </w:docVars>
  <w:rsids>
    <w:rsidRoot w:val="372D2BC1"/>
    <w:rsid w:val="00001ED6"/>
    <w:rsid w:val="00012AB6"/>
    <w:rsid w:val="000161CA"/>
    <w:rsid w:val="000258EE"/>
    <w:rsid w:val="00027274"/>
    <w:rsid w:val="00045DD1"/>
    <w:rsid w:val="00062014"/>
    <w:rsid w:val="00071260"/>
    <w:rsid w:val="000A5718"/>
    <w:rsid w:val="000C7881"/>
    <w:rsid w:val="000D7999"/>
    <w:rsid w:val="000E4703"/>
    <w:rsid w:val="0010700B"/>
    <w:rsid w:val="00127D74"/>
    <w:rsid w:val="00141270"/>
    <w:rsid w:val="00147ACA"/>
    <w:rsid w:val="00187C86"/>
    <w:rsid w:val="001A285D"/>
    <w:rsid w:val="001E594F"/>
    <w:rsid w:val="001E5956"/>
    <w:rsid w:val="001F27AC"/>
    <w:rsid w:val="002012F3"/>
    <w:rsid w:val="00213C2F"/>
    <w:rsid w:val="00224AA7"/>
    <w:rsid w:val="0024755D"/>
    <w:rsid w:val="0027381C"/>
    <w:rsid w:val="00275BDE"/>
    <w:rsid w:val="002957BD"/>
    <w:rsid w:val="002B39AC"/>
    <w:rsid w:val="002D4462"/>
    <w:rsid w:val="00324BBE"/>
    <w:rsid w:val="00334BEE"/>
    <w:rsid w:val="0033589E"/>
    <w:rsid w:val="003515A4"/>
    <w:rsid w:val="003565D1"/>
    <w:rsid w:val="00376F9D"/>
    <w:rsid w:val="00393963"/>
    <w:rsid w:val="003A178C"/>
    <w:rsid w:val="003A2032"/>
    <w:rsid w:val="003A2128"/>
    <w:rsid w:val="003A3416"/>
    <w:rsid w:val="003B7B42"/>
    <w:rsid w:val="003E2C17"/>
    <w:rsid w:val="003E54EC"/>
    <w:rsid w:val="003F63A0"/>
    <w:rsid w:val="00467CC5"/>
    <w:rsid w:val="004831A6"/>
    <w:rsid w:val="00487241"/>
    <w:rsid w:val="004C2C84"/>
    <w:rsid w:val="004E7FE5"/>
    <w:rsid w:val="005172D7"/>
    <w:rsid w:val="00524415"/>
    <w:rsid w:val="005665EB"/>
    <w:rsid w:val="00593EE8"/>
    <w:rsid w:val="005C3B8A"/>
    <w:rsid w:val="005D2C55"/>
    <w:rsid w:val="005F2386"/>
    <w:rsid w:val="006604EF"/>
    <w:rsid w:val="006D5440"/>
    <w:rsid w:val="006D7CFC"/>
    <w:rsid w:val="006E7FDD"/>
    <w:rsid w:val="00704A4F"/>
    <w:rsid w:val="00737D54"/>
    <w:rsid w:val="007A61FF"/>
    <w:rsid w:val="007B6FDB"/>
    <w:rsid w:val="007D15FB"/>
    <w:rsid w:val="007D64F2"/>
    <w:rsid w:val="007E300E"/>
    <w:rsid w:val="007F186C"/>
    <w:rsid w:val="007F1D94"/>
    <w:rsid w:val="008048EB"/>
    <w:rsid w:val="0082017E"/>
    <w:rsid w:val="0088250D"/>
    <w:rsid w:val="00882BBF"/>
    <w:rsid w:val="00906C21"/>
    <w:rsid w:val="00922A37"/>
    <w:rsid w:val="00991B0D"/>
    <w:rsid w:val="009A5206"/>
    <w:rsid w:val="009B2336"/>
    <w:rsid w:val="009C1489"/>
    <w:rsid w:val="00A46702"/>
    <w:rsid w:val="00A548B2"/>
    <w:rsid w:val="00A66434"/>
    <w:rsid w:val="00A71D14"/>
    <w:rsid w:val="00AA4C23"/>
    <w:rsid w:val="00AB2959"/>
    <w:rsid w:val="00AB7D16"/>
    <w:rsid w:val="00AE3199"/>
    <w:rsid w:val="00B150CD"/>
    <w:rsid w:val="00B455CA"/>
    <w:rsid w:val="00B6649B"/>
    <w:rsid w:val="00BC6B58"/>
    <w:rsid w:val="00BD3F33"/>
    <w:rsid w:val="00BE1953"/>
    <w:rsid w:val="00BE7AD5"/>
    <w:rsid w:val="00BF0D55"/>
    <w:rsid w:val="00BF2263"/>
    <w:rsid w:val="00C1024A"/>
    <w:rsid w:val="00C561FE"/>
    <w:rsid w:val="00C57A77"/>
    <w:rsid w:val="00C67BB7"/>
    <w:rsid w:val="00C721A7"/>
    <w:rsid w:val="00CE22BA"/>
    <w:rsid w:val="00D567CE"/>
    <w:rsid w:val="00D56CEB"/>
    <w:rsid w:val="00D64893"/>
    <w:rsid w:val="00D82D60"/>
    <w:rsid w:val="00DA57E8"/>
    <w:rsid w:val="00DD4A86"/>
    <w:rsid w:val="00DD5626"/>
    <w:rsid w:val="00DE0700"/>
    <w:rsid w:val="00E40E16"/>
    <w:rsid w:val="00E62AEA"/>
    <w:rsid w:val="00E748C3"/>
    <w:rsid w:val="00E840FC"/>
    <w:rsid w:val="00EC4774"/>
    <w:rsid w:val="00EE2112"/>
    <w:rsid w:val="00EF172B"/>
    <w:rsid w:val="00EF5DC7"/>
    <w:rsid w:val="00EF6EC6"/>
    <w:rsid w:val="00F10BFD"/>
    <w:rsid w:val="00F14914"/>
    <w:rsid w:val="00F22D57"/>
    <w:rsid w:val="00F548FE"/>
    <w:rsid w:val="00F6579A"/>
    <w:rsid w:val="00F71DBE"/>
    <w:rsid w:val="00FB3997"/>
    <w:rsid w:val="00FC2758"/>
    <w:rsid w:val="00FC3508"/>
    <w:rsid w:val="00FE047D"/>
    <w:rsid w:val="02C75BAB"/>
    <w:rsid w:val="0B84338B"/>
    <w:rsid w:val="0C187ED3"/>
    <w:rsid w:val="0E19309F"/>
    <w:rsid w:val="0FA638D0"/>
    <w:rsid w:val="11301209"/>
    <w:rsid w:val="14930302"/>
    <w:rsid w:val="149E0ABD"/>
    <w:rsid w:val="16043C72"/>
    <w:rsid w:val="184E0FA9"/>
    <w:rsid w:val="18E611E1"/>
    <w:rsid w:val="198A7DBF"/>
    <w:rsid w:val="1D1335C4"/>
    <w:rsid w:val="1EBC2277"/>
    <w:rsid w:val="2070232D"/>
    <w:rsid w:val="20B85357"/>
    <w:rsid w:val="2256321D"/>
    <w:rsid w:val="22AC79CD"/>
    <w:rsid w:val="22D56A14"/>
    <w:rsid w:val="28CB2B2E"/>
    <w:rsid w:val="29312CED"/>
    <w:rsid w:val="2CB962A5"/>
    <w:rsid w:val="2D052EDE"/>
    <w:rsid w:val="2D331D0D"/>
    <w:rsid w:val="2D524C40"/>
    <w:rsid w:val="2EFA558F"/>
    <w:rsid w:val="2F67492B"/>
    <w:rsid w:val="34E76D9C"/>
    <w:rsid w:val="367D43C0"/>
    <w:rsid w:val="372D2BC1"/>
    <w:rsid w:val="37E52224"/>
    <w:rsid w:val="39343BEA"/>
    <w:rsid w:val="3B807F36"/>
    <w:rsid w:val="3F5C616D"/>
    <w:rsid w:val="3F7153F9"/>
    <w:rsid w:val="47F12E1A"/>
    <w:rsid w:val="48403BBB"/>
    <w:rsid w:val="4B683330"/>
    <w:rsid w:val="4C303F46"/>
    <w:rsid w:val="5221680B"/>
    <w:rsid w:val="53990623"/>
    <w:rsid w:val="5A1F7FAB"/>
    <w:rsid w:val="5AD36B10"/>
    <w:rsid w:val="5CCC3817"/>
    <w:rsid w:val="5F432E56"/>
    <w:rsid w:val="60603BC1"/>
    <w:rsid w:val="61D4389A"/>
    <w:rsid w:val="64525FEF"/>
    <w:rsid w:val="65507A25"/>
    <w:rsid w:val="67BA0B35"/>
    <w:rsid w:val="6869276B"/>
    <w:rsid w:val="6B45709F"/>
    <w:rsid w:val="6F8A5598"/>
    <w:rsid w:val="72434C03"/>
    <w:rsid w:val="777439DD"/>
    <w:rsid w:val="77A94A29"/>
    <w:rsid w:val="78C46E0E"/>
    <w:rsid w:val="79C1406B"/>
    <w:rsid w:val="7F051474"/>
    <w:rsid w:val="7F563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alloon Text"/>
    <w:basedOn w:val="1"/>
    <w:link w:val="19"/>
    <w:semiHidden/>
    <w:unhideWhenUsed/>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u w:val="single"/>
    </w:rPr>
  </w:style>
  <w:style w:type="character" w:styleId="12">
    <w:name w:val="annotation reference"/>
    <w:basedOn w:val="10"/>
    <w:semiHidden/>
    <w:unhideWhenUsed/>
    <w:qFormat/>
    <w:uiPriority w:val="0"/>
    <w:rPr>
      <w:sz w:val="21"/>
      <w:szCs w:val="21"/>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页眉 字符"/>
    <w:basedOn w:val="10"/>
    <w:link w:val="5"/>
    <w:qFormat/>
    <w:uiPriority w:val="99"/>
    <w:rPr>
      <w:kern w:val="2"/>
      <w:sz w:val="18"/>
      <w:szCs w:val="18"/>
    </w:rPr>
  </w:style>
  <w:style w:type="character" w:customStyle="1" w:styleId="15">
    <w:name w:val="页脚 字符"/>
    <w:basedOn w:val="10"/>
    <w:link w:val="4"/>
    <w:qFormat/>
    <w:uiPriority w:val="0"/>
    <w:rPr>
      <w:kern w:val="2"/>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0"/>
    <w:link w:val="2"/>
    <w:semiHidden/>
    <w:qFormat/>
    <w:uiPriority w:val="0"/>
    <w:rPr>
      <w:kern w:val="2"/>
      <w:sz w:val="21"/>
      <w:szCs w:val="22"/>
    </w:rPr>
  </w:style>
  <w:style w:type="character" w:customStyle="1" w:styleId="18">
    <w:name w:val="批注主题 字符"/>
    <w:basedOn w:val="17"/>
    <w:link w:val="7"/>
    <w:semiHidden/>
    <w:qFormat/>
    <w:uiPriority w:val="0"/>
    <w:rPr>
      <w:b/>
      <w:bCs/>
      <w:kern w:val="2"/>
      <w:sz w:val="21"/>
      <w:szCs w:val="22"/>
    </w:rPr>
  </w:style>
  <w:style w:type="character" w:customStyle="1" w:styleId="19">
    <w:name w:val="批注框文本 字符"/>
    <w:basedOn w:val="10"/>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6FAA-76B5-4FE0-A2CA-3ECBAA5238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1700</Words>
  <Characters>1831</Characters>
  <Lines>14</Lines>
  <Paragraphs>3</Paragraphs>
  <TotalTime>47</TotalTime>
  <ScaleCrop>false</ScaleCrop>
  <LinksUpToDate>false</LinksUpToDate>
  <CharactersWithSpaces>1900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2024-05-20T02:49:00Z</dcterms:created>
  <dc:creator>Lilac1425803577</dc:creator>
  <cp:lastModifiedBy>董怡君</cp:lastModifiedBy>
  <dcterms:modified xsi:type="dcterms:W3CDTF">2025-10-14T06:34:30Z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6FE1ADDF89DB459491E3934F54CBD60D_13</vt:lpwstr>
  </property>
  <property fmtid="{D5CDD505-2E9C-101B-9397-08002B2CF9AE}" pid="4" name="KSOTemplateDocerSaveRecord">
    <vt:lpwstr>eyJoZGlkIjoiN2U2MDFjOGU2N2Y0OWQ1NzY0ZTBkNzY3NWFkNTBlMTUiLCJ1c2VySWQiOiIzNjk3NDExMjYifQ==</vt:lpwstr>
  </property>
</Properties>
</file>