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943A9">
      <w:pPr>
        <w:snapToGrid w:val="0"/>
        <w:spacing w:line="360" w:lineRule="auto"/>
        <w:contextualSpacing/>
        <w:rPr>
          <w:rFonts w:ascii="宋体" w:hAnsi="宋体" w:cs="宋体"/>
          <w:sz w:val="24"/>
          <w:szCs w:val="24"/>
        </w:rPr>
      </w:pPr>
      <w:r>
        <w:rPr>
          <w:rFonts w:hint="eastAsia" w:ascii="宋体" w:hAnsi="宋体" w:cs="宋体"/>
          <w:sz w:val="24"/>
          <w:szCs w:val="24"/>
        </w:rPr>
        <w:t>证券代码：603257                                  证券简称：中国瑞林</w:t>
      </w:r>
    </w:p>
    <w:p w14:paraId="4FCD7751">
      <w:pPr>
        <w:snapToGrid w:val="0"/>
        <w:spacing w:line="360" w:lineRule="auto"/>
        <w:contextualSpacing/>
        <w:rPr>
          <w:rFonts w:ascii="黑体" w:hAnsi="黑体" w:eastAsia="黑体" w:cs="黑体"/>
          <w:color w:val="FF0000"/>
          <w:sz w:val="24"/>
          <w:szCs w:val="24"/>
        </w:rPr>
      </w:pPr>
    </w:p>
    <w:p w14:paraId="0FB095E9">
      <w:pPr>
        <w:spacing w:line="360" w:lineRule="auto"/>
        <w:jc w:val="center"/>
        <w:rPr>
          <w:rFonts w:ascii="宋体" w:hAnsi="宋体" w:cs="宋体"/>
          <w:b/>
          <w:iCs/>
          <w:color w:val="FF0000"/>
          <w:sz w:val="36"/>
          <w:szCs w:val="36"/>
        </w:rPr>
      </w:pPr>
      <w:r>
        <w:rPr>
          <w:rFonts w:hint="eastAsia" w:ascii="宋体" w:hAnsi="宋体" w:cs="宋体"/>
          <w:b/>
          <w:iCs/>
          <w:color w:val="FF0000"/>
          <w:sz w:val="36"/>
          <w:szCs w:val="36"/>
        </w:rPr>
        <w:t>中国瑞林工程技术股份有限公司</w:t>
      </w:r>
    </w:p>
    <w:p w14:paraId="4D14A2E4">
      <w:pPr>
        <w:spacing w:line="360" w:lineRule="auto"/>
        <w:jc w:val="center"/>
        <w:rPr>
          <w:rFonts w:ascii="宋体" w:hAnsi="宋体" w:cs="宋体"/>
          <w:b/>
          <w:iCs/>
          <w:color w:val="FF0000"/>
          <w:sz w:val="36"/>
          <w:szCs w:val="36"/>
        </w:rPr>
      </w:pPr>
      <w:r>
        <w:rPr>
          <w:rFonts w:hint="eastAsia" w:ascii="宋体" w:hAnsi="宋体" w:cs="宋体"/>
          <w:b/>
          <w:iCs/>
          <w:color w:val="FF0000"/>
          <w:sz w:val="36"/>
          <w:szCs w:val="36"/>
        </w:rPr>
        <w:t>投资者关系活动记录表</w:t>
      </w:r>
    </w:p>
    <w:p w14:paraId="57C939F6">
      <w:pPr>
        <w:spacing w:line="360" w:lineRule="auto"/>
        <w:jc w:val="right"/>
        <w:rPr>
          <w:rFonts w:ascii="宋体" w:hAnsi="宋体" w:cs="宋体"/>
          <w:bCs/>
          <w:iCs/>
          <w:color w:val="000000"/>
          <w:sz w:val="24"/>
          <w:szCs w:val="24"/>
        </w:rPr>
      </w:pPr>
    </w:p>
    <w:p w14:paraId="5CF27303">
      <w:pPr>
        <w:spacing w:line="360" w:lineRule="auto"/>
        <w:jc w:val="right"/>
        <w:rPr>
          <w:rFonts w:hint="eastAsia" w:ascii="宋体" w:hAnsi="宋体" w:eastAsia="宋体" w:cs="宋体"/>
          <w:bCs/>
          <w:iCs/>
          <w:color w:val="000000"/>
          <w:sz w:val="24"/>
          <w:szCs w:val="24"/>
          <w:lang w:eastAsia="zh-CN"/>
        </w:rPr>
      </w:pPr>
      <w:r>
        <w:rPr>
          <w:rFonts w:hint="eastAsia" w:ascii="宋体" w:hAnsi="宋体" w:cs="宋体"/>
          <w:bCs/>
          <w:iCs/>
          <w:color w:val="000000"/>
          <w:sz w:val="24"/>
          <w:szCs w:val="24"/>
        </w:rPr>
        <w:t>编号：2025-00</w:t>
      </w:r>
      <w:r>
        <w:rPr>
          <w:rFonts w:hint="eastAsia" w:ascii="宋体" w:hAnsi="宋体" w:cs="宋体"/>
          <w:bCs/>
          <w:iCs/>
          <w:color w:val="000000"/>
          <w:sz w:val="24"/>
          <w:szCs w:val="24"/>
          <w:lang w:val="en-US" w:eastAsia="zh-CN"/>
        </w:rPr>
        <w:t>5</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08"/>
        <w:gridCol w:w="6614"/>
      </w:tblGrid>
      <w:tr w14:paraId="32918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vAlign w:val="center"/>
          </w:tcPr>
          <w:p w14:paraId="52773174">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投资者关系</w:t>
            </w:r>
          </w:p>
          <w:p w14:paraId="232F5198">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活动类别</w:t>
            </w:r>
          </w:p>
          <w:p w14:paraId="660ADAE0">
            <w:pPr>
              <w:spacing w:line="360" w:lineRule="auto"/>
              <w:jc w:val="center"/>
              <w:rPr>
                <w:rFonts w:ascii="宋体" w:hAnsi="宋体" w:cs="宋体"/>
                <w:bCs/>
                <w:iCs/>
                <w:color w:val="000000"/>
                <w:sz w:val="24"/>
                <w:szCs w:val="24"/>
              </w:rPr>
            </w:pPr>
          </w:p>
        </w:tc>
        <w:tc>
          <w:tcPr>
            <w:tcW w:w="6614" w:type="dxa"/>
            <w:tcBorders>
              <w:tl2br w:val="nil"/>
              <w:tr2bl w:val="nil"/>
            </w:tcBorders>
            <w:vAlign w:val="center"/>
          </w:tcPr>
          <w:p w14:paraId="67E0204F">
            <w:pPr>
              <w:spacing w:line="360" w:lineRule="auto"/>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特定对象调研        </w:t>
            </w:r>
            <w:r>
              <w:rPr>
                <w:rFonts w:hint="eastAsia" w:ascii="宋体" w:hAnsi="宋体" w:cs="宋体"/>
                <w:bCs/>
                <w:iCs/>
                <w:color w:val="000000"/>
                <w:sz w:val="24"/>
                <w:szCs w:val="24"/>
              </w:rPr>
              <w:t>□</w:t>
            </w:r>
            <w:r>
              <w:rPr>
                <w:rFonts w:hint="eastAsia" w:ascii="宋体" w:hAnsi="宋体" w:cs="宋体"/>
                <w:color w:val="000000"/>
                <w:sz w:val="24"/>
                <w:szCs w:val="24"/>
              </w:rPr>
              <w:t>分析师会议</w:t>
            </w:r>
          </w:p>
          <w:p w14:paraId="61228F2D">
            <w:pPr>
              <w:spacing w:line="360" w:lineRule="auto"/>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媒体采访            </w:t>
            </w:r>
            <w:r>
              <w:rPr>
                <w:rFonts w:hint="eastAsia" w:ascii="宋体" w:hAnsi="宋体" w:cs="宋体"/>
                <w:bCs/>
                <w:iCs/>
                <w:color w:val="000000"/>
                <w:sz w:val="24"/>
                <w:szCs w:val="24"/>
              </w:rPr>
              <w:t>□</w:t>
            </w:r>
            <w:r>
              <w:rPr>
                <w:rFonts w:hint="eastAsia" w:ascii="宋体" w:hAnsi="宋体" w:cs="宋体"/>
                <w:color w:val="000000"/>
                <w:sz w:val="24"/>
                <w:szCs w:val="24"/>
              </w:rPr>
              <w:t>业绩说明会</w:t>
            </w:r>
          </w:p>
          <w:p w14:paraId="4BCB17DC">
            <w:pPr>
              <w:spacing w:line="360" w:lineRule="auto"/>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新闻发布会          </w:t>
            </w:r>
            <w:r>
              <w:rPr>
                <w:rFonts w:hint="eastAsia" w:ascii="宋体" w:hAnsi="宋体" w:cs="宋体"/>
                <w:bCs/>
                <w:iCs/>
                <w:color w:val="000000"/>
                <w:sz w:val="24"/>
                <w:szCs w:val="24"/>
              </w:rPr>
              <w:t>□</w:t>
            </w:r>
            <w:r>
              <w:rPr>
                <w:rFonts w:hint="eastAsia" w:ascii="宋体" w:hAnsi="宋体" w:cs="宋体"/>
                <w:color w:val="000000"/>
                <w:sz w:val="24"/>
                <w:szCs w:val="24"/>
              </w:rPr>
              <w:t>路演活动</w:t>
            </w:r>
          </w:p>
          <w:p w14:paraId="605AA9E4">
            <w:pPr>
              <w:tabs>
                <w:tab w:val="left" w:pos="3045"/>
                <w:tab w:val="center" w:pos="3199"/>
              </w:tabs>
              <w:spacing w:line="360" w:lineRule="auto"/>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现场参观            </w:t>
            </w:r>
            <w:r>
              <w:rPr>
                <w:rFonts w:hint="eastAsia" w:ascii="宋体" w:hAnsi="宋体" w:cs="宋体"/>
                <w:bCs/>
                <w:iCs/>
                <w:color w:val="000000"/>
                <w:sz w:val="24"/>
                <w:szCs w:val="24"/>
              </w:rPr>
              <w:t>□</w:t>
            </w:r>
            <w:r>
              <w:rPr>
                <w:rFonts w:hint="eastAsia" w:ascii="宋体" w:hAnsi="宋体" w:cs="宋体"/>
                <w:color w:val="000000"/>
                <w:sz w:val="24"/>
                <w:szCs w:val="24"/>
              </w:rPr>
              <w:t>其他</w:t>
            </w:r>
          </w:p>
        </w:tc>
      </w:tr>
      <w:tr w14:paraId="2D9D2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908" w:type="dxa"/>
            <w:tcBorders>
              <w:tl2br w:val="nil"/>
              <w:tr2bl w:val="nil"/>
            </w:tcBorders>
            <w:vAlign w:val="center"/>
          </w:tcPr>
          <w:p w14:paraId="1138309C">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参与单位名称</w:t>
            </w:r>
          </w:p>
        </w:tc>
        <w:tc>
          <w:tcPr>
            <w:tcW w:w="6614" w:type="dxa"/>
            <w:tcBorders>
              <w:tl2br w:val="nil"/>
              <w:tr2bl w:val="nil"/>
            </w:tcBorders>
            <w:vAlign w:val="center"/>
          </w:tcPr>
          <w:p w14:paraId="116EED6E">
            <w:pPr>
              <w:spacing w:line="360" w:lineRule="auto"/>
              <w:rPr>
                <w:rFonts w:ascii="宋体" w:hAnsi="宋体" w:cs="宋体"/>
                <w:bCs/>
                <w:iCs/>
                <w:color w:val="000000"/>
                <w:sz w:val="24"/>
                <w:szCs w:val="24"/>
              </w:rPr>
            </w:pPr>
            <w:r>
              <w:rPr>
                <w:rFonts w:hint="eastAsia" w:ascii="宋体" w:hAnsi="宋体" w:cs="宋体"/>
                <w:bCs/>
                <w:iCs/>
                <w:color w:val="000000"/>
                <w:sz w:val="24"/>
                <w:szCs w:val="24"/>
              </w:rPr>
              <w:t>国金证券、固禾投资、银华基金、华泰柏瑞基金、易方达、平安资产</w:t>
            </w:r>
          </w:p>
        </w:tc>
      </w:tr>
      <w:tr w14:paraId="50583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vAlign w:val="center"/>
          </w:tcPr>
          <w:p w14:paraId="42940B0A">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时间</w:t>
            </w:r>
          </w:p>
        </w:tc>
        <w:tc>
          <w:tcPr>
            <w:tcW w:w="6614" w:type="dxa"/>
            <w:tcBorders>
              <w:tl2br w:val="nil"/>
              <w:tr2bl w:val="nil"/>
            </w:tcBorders>
            <w:vAlign w:val="center"/>
          </w:tcPr>
          <w:p w14:paraId="0354AA2A">
            <w:pPr>
              <w:spacing w:line="360" w:lineRule="auto"/>
              <w:rPr>
                <w:rFonts w:ascii="宋体" w:hAnsi="宋体" w:cs="宋体"/>
                <w:bCs/>
                <w:iCs/>
                <w:color w:val="000000"/>
                <w:sz w:val="24"/>
                <w:szCs w:val="24"/>
              </w:rPr>
            </w:pPr>
            <w:r>
              <w:rPr>
                <w:rFonts w:hint="eastAsia" w:ascii="宋体" w:hAnsi="宋体" w:cs="宋体"/>
                <w:bCs/>
                <w:iCs/>
                <w:color w:val="000000"/>
                <w:sz w:val="24"/>
                <w:szCs w:val="24"/>
              </w:rPr>
              <w:t>2025年10月14日</w:t>
            </w:r>
          </w:p>
        </w:tc>
      </w:tr>
      <w:tr w14:paraId="1E5A1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vAlign w:val="center"/>
          </w:tcPr>
          <w:p w14:paraId="42CE6298">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地点</w:t>
            </w:r>
          </w:p>
        </w:tc>
        <w:tc>
          <w:tcPr>
            <w:tcW w:w="6614" w:type="dxa"/>
            <w:tcBorders>
              <w:tl2br w:val="nil"/>
              <w:tr2bl w:val="nil"/>
            </w:tcBorders>
            <w:vAlign w:val="center"/>
          </w:tcPr>
          <w:p w14:paraId="133C57FB">
            <w:pPr>
              <w:spacing w:line="360" w:lineRule="auto"/>
              <w:jc w:val="left"/>
              <w:rPr>
                <w:rFonts w:ascii="宋体" w:hAnsi="宋体" w:cs="宋体"/>
                <w:bCs/>
                <w:iCs/>
                <w:color w:val="000000"/>
                <w:sz w:val="24"/>
                <w:szCs w:val="24"/>
              </w:rPr>
            </w:pPr>
            <w:r>
              <w:rPr>
                <w:rFonts w:hint="eastAsia" w:ascii="宋体" w:hAnsi="宋体" w:cs="宋体"/>
                <w:sz w:val="24"/>
                <w:szCs w:val="24"/>
              </w:rPr>
              <w:t>中国瑞林</w:t>
            </w:r>
          </w:p>
        </w:tc>
      </w:tr>
      <w:tr w14:paraId="2E0A0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vAlign w:val="center"/>
          </w:tcPr>
          <w:p w14:paraId="0A936C4C">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上市公司接待</w:t>
            </w:r>
          </w:p>
          <w:p w14:paraId="3A2DE527">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人员姓名</w:t>
            </w:r>
          </w:p>
        </w:tc>
        <w:tc>
          <w:tcPr>
            <w:tcW w:w="6614" w:type="dxa"/>
            <w:tcBorders>
              <w:tl2br w:val="nil"/>
              <w:tr2bl w:val="nil"/>
            </w:tcBorders>
            <w:vAlign w:val="center"/>
          </w:tcPr>
          <w:p w14:paraId="21E7EC3E">
            <w:pPr>
              <w:spacing w:line="360" w:lineRule="auto"/>
              <w:rPr>
                <w:rFonts w:ascii="宋体" w:hAnsi="宋体" w:cs="宋体"/>
                <w:bCs/>
                <w:iCs/>
                <w:color w:val="000000"/>
                <w:sz w:val="24"/>
                <w:szCs w:val="24"/>
              </w:rPr>
            </w:pPr>
            <w:r>
              <w:rPr>
                <w:rFonts w:hint="eastAsia" w:ascii="宋体" w:hAnsi="宋体" w:cs="宋体"/>
                <w:bCs/>
                <w:iCs/>
                <w:color w:val="000000"/>
                <w:sz w:val="24"/>
                <w:szCs w:val="24"/>
              </w:rPr>
              <w:t>董事会秘书：方填三先生</w:t>
            </w:r>
          </w:p>
          <w:p w14:paraId="41399BD0">
            <w:pPr>
              <w:spacing w:line="360" w:lineRule="auto"/>
              <w:rPr>
                <w:rFonts w:ascii="宋体" w:hAnsi="宋体" w:cs="宋体"/>
                <w:bCs/>
                <w:iCs/>
                <w:color w:val="000000"/>
                <w:sz w:val="24"/>
                <w:szCs w:val="24"/>
              </w:rPr>
            </w:pPr>
            <w:r>
              <w:rPr>
                <w:rFonts w:hint="eastAsia" w:ascii="宋体" w:hAnsi="宋体" w:cs="宋体"/>
                <w:bCs/>
                <w:iCs/>
                <w:color w:val="000000"/>
                <w:sz w:val="24"/>
                <w:szCs w:val="24"/>
              </w:rPr>
              <w:t>财务部部长：廖云女士</w:t>
            </w:r>
          </w:p>
          <w:p w14:paraId="076E4589">
            <w:pPr>
              <w:spacing w:line="360" w:lineRule="auto"/>
              <w:rPr>
                <w:rFonts w:ascii="宋体" w:hAnsi="宋体" w:cs="宋体"/>
                <w:bCs/>
                <w:iCs/>
                <w:color w:val="000000"/>
                <w:sz w:val="24"/>
                <w:szCs w:val="24"/>
              </w:rPr>
            </w:pPr>
            <w:r>
              <w:rPr>
                <w:rFonts w:hint="eastAsia" w:ascii="宋体" w:hAnsi="宋体" w:cs="宋体"/>
                <w:bCs/>
                <w:iCs/>
                <w:color w:val="000000"/>
                <w:sz w:val="24"/>
                <w:szCs w:val="24"/>
              </w:rPr>
              <w:t>证券事务代表：郭兰宇先生</w:t>
            </w:r>
          </w:p>
        </w:tc>
      </w:tr>
      <w:tr w14:paraId="5EDEBA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908" w:type="dxa"/>
            <w:tcBorders>
              <w:tl2br w:val="nil"/>
              <w:tr2bl w:val="nil"/>
            </w:tcBorders>
            <w:vAlign w:val="center"/>
          </w:tcPr>
          <w:p w14:paraId="22DCC55D">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投资者关系活动主要内容介绍</w:t>
            </w:r>
          </w:p>
          <w:p w14:paraId="22D3E716">
            <w:pPr>
              <w:spacing w:line="360" w:lineRule="auto"/>
              <w:jc w:val="center"/>
              <w:rPr>
                <w:rFonts w:ascii="宋体" w:hAnsi="宋体" w:cs="宋体"/>
                <w:bCs/>
                <w:iCs/>
                <w:color w:val="000000"/>
                <w:sz w:val="24"/>
                <w:szCs w:val="24"/>
              </w:rPr>
            </w:pPr>
          </w:p>
        </w:tc>
        <w:tc>
          <w:tcPr>
            <w:tcW w:w="6614" w:type="dxa"/>
            <w:tcBorders>
              <w:tl2br w:val="nil"/>
              <w:tr2bl w:val="nil"/>
            </w:tcBorders>
            <w:vAlign w:val="center"/>
          </w:tcPr>
          <w:p w14:paraId="4625E1A6">
            <w:pPr>
              <w:spacing w:line="360" w:lineRule="auto"/>
              <w:ind w:firstLine="480" w:firstLineChars="200"/>
              <w:rPr>
                <w:rFonts w:ascii="宋体" w:hAnsi="宋体" w:cs="宋体"/>
                <w:bCs/>
                <w:iCs/>
                <w:color w:val="000000"/>
                <w:sz w:val="24"/>
                <w:szCs w:val="24"/>
              </w:rPr>
            </w:pPr>
            <w:r>
              <w:rPr>
                <w:rFonts w:hint="eastAsia" w:ascii="宋体" w:hAnsi="宋体" w:cs="宋体"/>
                <w:bCs/>
                <w:iCs/>
                <w:color w:val="000000"/>
                <w:sz w:val="24"/>
                <w:szCs w:val="24"/>
              </w:rPr>
              <w:t>中国瑞林工程技术股份有限公司于2025年10月14日（星期二）以现场交流的形式与投资者进行交流，董事会秘书方填三先生简要介绍了公司概况及半年度经营情况，主要问答情况如下：</w:t>
            </w:r>
          </w:p>
          <w:p w14:paraId="08A46FC6">
            <w:pPr>
              <w:spacing w:line="360" w:lineRule="auto"/>
              <w:rPr>
                <w:rFonts w:ascii="宋体" w:hAnsi="宋体" w:cs="宋体"/>
                <w:b/>
                <w:bCs/>
                <w:iCs/>
                <w:color w:val="000000"/>
                <w:sz w:val="24"/>
                <w:szCs w:val="24"/>
              </w:rPr>
            </w:pPr>
            <w:r>
              <w:rPr>
                <w:rFonts w:hint="eastAsia" w:ascii="宋体" w:hAnsi="宋体" w:cs="宋体"/>
                <w:b/>
                <w:iCs/>
                <w:color w:val="000000"/>
                <w:sz w:val="24"/>
                <w:szCs w:val="24"/>
              </w:rPr>
              <w:t>问题1、上半年公司净利润和营业收入情况如何？净利润增长的原因有哪些？</w:t>
            </w:r>
          </w:p>
          <w:p w14:paraId="73A44B5A">
            <w:pPr>
              <w:spacing w:line="360" w:lineRule="auto"/>
              <w:rPr>
                <w:rFonts w:ascii="宋体" w:hAnsi="宋体" w:cs="宋体"/>
                <w:bCs/>
                <w:iCs/>
                <w:color w:val="000000"/>
                <w:sz w:val="24"/>
                <w:szCs w:val="24"/>
              </w:rPr>
            </w:pPr>
            <w:r>
              <w:rPr>
                <w:rFonts w:hint="eastAsia" w:ascii="宋体" w:hAnsi="宋体" w:cs="宋体"/>
                <w:bCs/>
                <w:iCs/>
                <w:color w:val="000000"/>
                <w:sz w:val="24"/>
                <w:szCs w:val="24"/>
              </w:rPr>
              <w:t>答：公司上半年实现营业收入92,120.83万元，比上年同期增长2.59%；实现归属于母公司所有者的净利润7,474.61万元，较上年同期增加26.77%。其中，工程设计咨询业务实现营业收入33,201.74万元，较上年同期增长6.31%；装备集成业务实现营业收入50,966.22万元，较上年同期上涨123.99%。报告期内，公司实现境外收入48,539.89万元，占营业收入的比重为52.92%，较上年同期上涨167.66%；境外业务毛利率37.40%，较上年同期上涨10.70%。</w:t>
            </w:r>
          </w:p>
          <w:p w14:paraId="2AAC939A">
            <w:pPr>
              <w:spacing w:line="360" w:lineRule="auto"/>
              <w:ind w:firstLine="480" w:firstLineChars="200"/>
              <w:rPr>
                <w:rFonts w:ascii="宋体" w:hAnsi="宋体" w:cs="宋体"/>
                <w:bCs/>
                <w:iCs/>
                <w:color w:val="000000"/>
                <w:sz w:val="24"/>
                <w:szCs w:val="24"/>
              </w:rPr>
            </w:pPr>
            <w:r>
              <w:rPr>
                <w:rFonts w:hint="eastAsia" w:ascii="宋体" w:hAnsi="宋体" w:cs="宋体"/>
                <w:bCs/>
                <w:iCs/>
                <w:color w:val="000000"/>
                <w:sz w:val="24"/>
                <w:szCs w:val="24"/>
              </w:rPr>
              <w:t>净利润增长原因，一是公司战略导向，业务结构持续调整优化，高收入、低毛利的E</w:t>
            </w:r>
            <w:r>
              <w:rPr>
                <w:rFonts w:ascii="宋体" w:hAnsi="宋体" w:cs="宋体"/>
                <w:bCs/>
                <w:iCs/>
                <w:color w:val="000000"/>
                <w:sz w:val="24"/>
                <w:szCs w:val="24"/>
              </w:rPr>
              <w:t>PC</w:t>
            </w:r>
            <w:r>
              <w:rPr>
                <w:rFonts w:hint="eastAsia" w:ascii="宋体" w:hAnsi="宋体" w:cs="宋体"/>
                <w:bCs/>
                <w:iCs/>
                <w:color w:val="000000"/>
                <w:sz w:val="24"/>
                <w:szCs w:val="24"/>
              </w:rPr>
              <w:t>总承包业务占比降低，毛利率较高的设计咨询和装备集成业务占比提高；二是公司积极拓展境外业务，提高毛利率较高的境外业务占比。</w:t>
            </w:r>
          </w:p>
          <w:p w14:paraId="2C23F479">
            <w:pPr>
              <w:spacing w:line="360" w:lineRule="auto"/>
              <w:rPr>
                <w:rFonts w:ascii="Helvetica" w:hAnsi="Helvetica" w:eastAsia="Helvetica" w:cs="Helvetica"/>
                <w:color w:val="333333"/>
                <w:sz w:val="24"/>
                <w:szCs w:val="24"/>
                <w:shd w:val="clear" w:color="auto" w:fill="F7F7F7"/>
              </w:rPr>
            </w:pPr>
          </w:p>
          <w:p w14:paraId="084DB2B0">
            <w:pPr>
              <w:pStyle w:val="5"/>
              <w:numPr>
                <w:ilvl w:val="0"/>
                <w:numId w:val="0"/>
              </w:numPr>
              <w:spacing w:after="156"/>
              <w:rPr>
                <w:rFonts w:ascii="宋体" w:hAnsi="宋体" w:cs="宋体"/>
                <w:bCs w:val="0"/>
                <w:iCs/>
                <w:color w:val="000000"/>
                <w:sz w:val="24"/>
                <w:szCs w:val="24"/>
              </w:rPr>
            </w:pPr>
            <w:r>
              <w:rPr>
                <w:rFonts w:hint="eastAsia" w:ascii="宋体" w:hAnsi="宋体" w:cs="宋体"/>
                <w:bCs w:val="0"/>
                <w:iCs/>
                <w:color w:val="000000"/>
                <w:sz w:val="24"/>
                <w:szCs w:val="24"/>
              </w:rPr>
              <w:t>问题2、公司装备集成业务目前营收增速较快，这部分业务的核心优势与市场前景如何</w:t>
            </w:r>
            <w:r>
              <w:rPr>
                <w:rFonts w:hint="eastAsia" w:ascii="宋体" w:hAnsi="宋体"/>
                <w:sz w:val="24"/>
                <w:szCs w:val="24"/>
              </w:rPr>
              <w:t>？</w:t>
            </w:r>
          </w:p>
          <w:p w14:paraId="54C375EB">
            <w:pPr>
              <w:spacing w:line="360" w:lineRule="auto"/>
              <w:rPr>
                <w:rFonts w:ascii="宋体" w:hAnsi="宋体" w:cs="宋体"/>
                <w:bCs/>
                <w:iCs/>
                <w:color w:val="000000"/>
                <w:sz w:val="24"/>
                <w:szCs w:val="24"/>
              </w:rPr>
            </w:pPr>
            <w:r>
              <w:rPr>
                <w:rFonts w:hint="eastAsia" w:ascii="宋体" w:hAnsi="宋体" w:cs="宋体"/>
                <w:bCs/>
                <w:iCs/>
                <w:color w:val="000000"/>
                <w:sz w:val="24"/>
                <w:szCs w:val="24"/>
              </w:rPr>
              <w:t>答：公司装备集成业务的收入确认在财务上采用终验法一次性确认收入，项目的验收投产及达产达标时间存在不确定性，因此收入有一定的波动性。公司在装备集成业务板块上，以铜冶炼核心设备为主，拥有自主知识产权，技术壁垒较高，通过非标定制化装备实现差异化竞争。公司近年来承接设计的几个海外大型铜冶炼项目均采购了公司的装备，业主接受度持续提升。发展装备集成业务一是能发挥该业务与设计咨询的协同作用，从而增加新的收入与利润增长点；二是能保护公司自有核心技术和知识产权，强化对核心工艺、装备的全流程控制。</w:t>
            </w:r>
          </w:p>
          <w:p w14:paraId="25A48F92">
            <w:pPr>
              <w:spacing w:line="360" w:lineRule="auto"/>
              <w:rPr>
                <w:rFonts w:ascii="宋体" w:hAnsi="宋体" w:cs="宋体"/>
                <w:bCs/>
                <w:iCs/>
                <w:color w:val="000000"/>
                <w:sz w:val="24"/>
                <w:szCs w:val="24"/>
              </w:rPr>
            </w:pPr>
          </w:p>
          <w:p w14:paraId="34067A46">
            <w:pPr>
              <w:spacing w:line="360" w:lineRule="auto"/>
              <w:rPr>
                <w:rFonts w:ascii="宋体" w:hAnsi="宋体" w:cs="宋体"/>
                <w:b/>
                <w:bCs/>
                <w:iCs/>
                <w:color w:val="000000"/>
                <w:sz w:val="24"/>
                <w:szCs w:val="24"/>
              </w:rPr>
            </w:pPr>
            <w:r>
              <w:rPr>
                <w:rFonts w:hint="eastAsia" w:ascii="宋体" w:hAnsi="宋体" w:cs="宋体"/>
                <w:b/>
                <w:iCs/>
                <w:color w:val="000000"/>
                <w:sz w:val="24"/>
                <w:szCs w:val="24"/>
              </w:rPr>
              <w:t>问题3、公司未来业务发展的增长点在哪？</w:t>
            </w:r>
          </w:p>
          <w:p w14:paraId="182B03E3">
            <w:pPr>
              <w:spacing w:line="360" w:lineRule="auto"/>
              <w:rPr>
                <w:rFonts w:ascii="宋体" w:hAnsi="宋体" w:cs="宋体"/>
                <w:bCs/>
                <w:iCs/>
                <w:color w:val="000000"/>
                <w:sz w:val="24"/>
                <w:szCs w:val="24"/>
              </w:rPr>
            </w:pPr>
            <w:r>
              <w:rPr>
                <w:rFonts w:hint="eastAsia" w:ascii="宋体" w:hAnsi="宋体" w:cs="宋体"/>
                <w:bCs/>
                <w:iCs/>
                <w:color w:val="000000"/>
                <w:sz w:val="24"/>
                <w:szCs w:val="24"/>
              </w:rPr>
              <w:t>答：公司未来将围绕有色金属产业链开拓市场：1、矿山板块，紧跟国家新一轮找矿突破战略行动，持续跟踪国内外矿山的开发，寻找业务机会；2、冶炼板块，跟踪落后产能技术升级改造和新建产能的业务机会；3、为国内外矿业及冶炼企业的智能化升级、数字化提升提供服务。</w:t>
            </w:r>
          </w:p>
          <w:p w14:paraId="1B5D4B1D">
            <w:pPr>
              <w:spacing w:line="360" w:lineRule="auto"/>
              <w:ind w:firstLine="480" w:firstLineChars="200"/>
              <w:rPr>
                <w:rFonts w:ascii="宋体" w:hAnsi="宋体" w:cs="宋体"/>
                <w:bCs/>
                <w:iCs/>
                <w:color w:val="000000"/>
                <w:sz w:val="24"/>
                <w:szCs w:val="24"/>
              </w:rPr>
            </w:pPr>
            <w:r>
              <w:rPr>
                <w:rFonts w:hint="eastAsia" w:ascii="宋体" w:hAnsi="宋体" w:cs="宋体"/>
                <w:bCs/>
                <w:iCs/>
                <w:color w:val="000000"/>
                <w:sz w:val="24"/>
                <w:szCs w:val="24"/>
              </w:rPr>
              <w:t>在夯实主业的基础上，公司积极研究进入矿山投资领域和冶炼厂开车运维服务领域的机会，为公司发展创造新的增长点。</w:t>
            </w:r>
            <w:bookmarkStart w:id="0" w:name="_GoBack"/>
            <w:bookmarkEnd w:id="0"/>
          </w:p>
        </w:tc>
      </w:tr>
      <w:tr w14:paraId="7F4AD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vAlign w:val="center"/>
          </w:tcPr>
          <w:p w14:paraId="4DECC40D">
            <w:pPr>
              <w:spacing w:line="360" w:lineRule="auto"/>
              <w:jc w:val="center"/>
              <w:rPr>
                <w:rFonts w:ascii="宋体" w:hAnsi="宋体" w:cs="宋体"/>
                <w:b/>
                <w:bCs/>
                <w:sz w:val="20"/>
                <w:szCs w:val="20"/>
              </w:rPr>
            </w:pPr>
            <w:r>
              <w:rPr>
                <w:rFonts w:hint="eastAsia" w:ascii="宋体" w:hAnsi="宋体" w:cs="宋体"/>
                <w:bCs/>
                <w:iCs/>
                <w:color w:val="000000"/>
                <w:sz w:val="24"/>
                <w:szCs w:val="24"/>
              </w:rPr>
              <w:t>关于本次活动是否涉及应披露重大信息的说明</w:t>
            </w:r>
          </w:p>
        </w:tc>
        <w:tc>
          <w:tcPr>
            <w:tcW w:w="6614" w:type="dxa"/>
            <w:tcBorders>
              <w:tl2br w:val="nil"/>
              <w:tr2bl w:val="nil"/>
            </w:tcBorders>
            <w:vAlign w:val="center"/>
          </w:tcPr>
          <w:p w14:paraId="347E8476">
            <w:pPr>
              <w:pStyle w:val="6"/>
              <w:autoSpaceDE w:val="0"/>
              <w:autoSpaceDN w:val="0"/>
              <w:spacing w:before="100" w:beforeAutospacing="1" w:line="360" w:lineRule="auto"/>
              <w:rPr>
                <w:rFonts w:ascii="宋体" w:hAnsi="宋体" w:cs="宋体"/>
                <w:sz w:val="20"/>
                <w:szCs w:val="20"/>
              </w:rPr>
            </w:pPr>
            <w:r>
              <w:rPr>
                <w:rFonts w:hint="eastAsia" w:ascii="宋体" w:hAnsi="宋体" w:cs="宋体"/>
                <w:bCs/>
                <w:iCs/>
                <w:color w:val="000000"/>
                <w:sz w:val="24"/>
                <w:szCs w:val="24"/>
              </w:rPr>
              <w:t>本次活动不涉及未公开披露的重大信息。</w:t>
            </w:r>
          </w:p>
        </w:tc>
      </w:tr>
      <w:tr w14:paraId="0CC88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vAlign w:val="center"/>
          </w:tcPr>
          <w:p w14:paraId="6475AF91">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附件清单</w:t>
            </w:r>
          </w:p>
        </w:tc>
        <w:tc>
          <w:tcPr>
            <w:tcW w:w="6614" w:type="dxa"/>
            <w:tcBorders>
              <w:tl2br w:val="nil"/>
              <w:tr2bl w:val="nil"/>
            </w:tcBorders>
            <w:vAlign w:val="center"/>
          </w:tcPr>
          <w:p w14:paraId="5C193D32">
            <w:pPr>
              <w:spacing w:line="360" w:lineRule="auto"/>
              <w:rPr>
                <w:rFonts w:ascii="宋体" w:hAnsi="宋体" w:cs="宋体"/>
                <w:bCs/>
                <w:iCs/>
                <w:color w:val="000000"/>
                <w:sz w:val="24"/>
                <w:szCs w:val="24"/>
              </w:rPr>
            </w:pPr>
            <w:r>
              <w:rPr>
                <w:rFonts w:hint="eastAsia" w:ascii="宋体" w:hAnsi="宋体" w:cs="宋体"/>
                <w:bCs/>
                <w:iCs/>
                <w:color w:val="000000"/>
                <w:sz w:val="24"/>
                <w:szCs w:val="24"/>
              </w:rPr>
              <w:t>无</w:t>
            </w:r>
          </w:p>
        </w:tc>
      </w:tr>
      <w:tr w14:paraId="18D33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vAlign w:val="center"/>
          </w:tcPr>
          <w:p w14:paraId="3DE0727A">
            <w:pPr>
              <w:spacing w:line="360" w:lineRule="auto"/>
              <w:jc w:val="center"/>
              <w:rPr>
                <w:rFonts w:ascii="宋体" w:hAnsi="宋体" w:cs="宋体"/>
                <w:bCs/>
                <w:iCs/>
                <w:color w:val="000000"/>
                <w:sz w:val="24"/>
                <w:szCs w:val="24"/>
              </w:rPr>
            </w:pPr>
            <w:r>
              <w:rPr>
                <w:rFonts w:hint="eastAsia" w:ascii="宋体" w:hAnsi="宋体" w:cs="宋体"/>
                <w:bCs/>
                <w:iCs/>
                <w:color w:val="000000"/>
                <w:sz w:val="24"/>
                <w:szCs w:val="24"/>
              </w:rPr>
              <w:t>日期</w:t>
            </w:r>
          </w:p>
        </w:tc>
        <w:tc>
          <w:tcPr>
            <w:tcW w:w="6614" w:type="dxa"/>
            <w:tcBorders>
              <w:tl2br w:val="nil"/>
              <w:tr2bl w:val="nil"/>
            </w:tcBorders>
            <w:vAlign w:val="center"/>
          </w:tcPr>
          <w:p w14:paraId="204EE0A8">
            <w:pPr>
              <w:spacing w:line="360" w:lineRule="auto"/>
              <w:rPr>
                <w:rFonts w:ascii="宋体" w:hAnsi="宋体" w:cs="宋体"/>
                <w:bCs/>
                <w:iCs/>
                <w:color w:val="000000"/>
                <w:sz w:val="24"/>
                <w:szCs w:val="24"/>
              </w:rPr>
            </w:pPr>
            <w:r>
              <w:rPr>
                <w:rFonts w:hint="eastAsia" w:ascii="宋体" w:hAnsi="宋体" w:cs="宋体"/>
                <w:bCs/>
                <w:iCs/>
                <w:color w:val="000000"/>
                <w:sz w:val="24"/>
                <w:szCs w:val="24"/>
              </w:rPr>
              <w:t>2025年10月14日</w:t>
            </w:r>
          </w:p>
        </w:tc>
      </w:tr>
    </w:tbl>
    <w:p w14:paraId="45E60CD2"/>
    <w:p w14:paraId="60BBD897"/>
    <w:p w14:paraId="36B853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5D48"/>
    <w:multiLevelType w:val="multilevel"/>
    <w:tmpl w:val="0C775D48"/>
    <w:lvl w:ilvl="0" w:tentative="0">
      <w:start w:val="1"/>
      <w:numFmt w:val="decimal"/>
      <w:pStyle w:val="5"/>
      <w:suff w:val="nothing"/>
      <w:lvlText w:val="%1）"/>
      <w:lvlJc w:val="left"/>
      <w:pPr>
        <w:ind w:left="3261" w:firstLine="0"/>
      </w:pPr>
      <w:rPr>
        <w:rFonts w:hint="eastAsia"/>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31B3"/>
    <w:rsid w:val="00044C66"/>
    <w:rsid w:val="000F7560"/>
    <w:rsid w:val="00223315"/>
    <w:rsid w:val="005A0F3B"/>
    <w:rsid w:val="00A3526D"/>
    <w:rsid w:val="00AA554D"/>
    <w:rsid w:val="00D60BA5"/>
    <w:rsid w:val="00E71E44"/>
    <w:rsid w:val="0141379C"/>
    <w:rsid w:val="035B7317"/>
    <w:rsid w:val="03903984"/>
    <w:rsid w:val="04A537A1"/>
    <w:rsid w:val="04D628B2"/>
    <w:rsid w:val="04D6437B"/>
    <w:rsid w:val="0507192F"/>
    <w:rsid w:val="053B226F"/>
    <w:rsid w:val="054602C9"/>
    <w:rsid w:val="06002C43"/>
    <w:rsid w:val="07015C02"/>
    <w:rsid w:val="07B332B2"/>
    <w:rsid w:val="08101412"/>
    <w:rsid w:val="08527448"/>
    <w:rsid w:val="087C2200"/>
    <w:rsid w:val="09CA542C"/>
    <w:rsid w:val="09F84688"/>
    <w:rsid w:val="0AE628F6"/>
    <w:rsid w:val="0B354D92"/>
    <w:rsid w:val="0C861C95"/>
    <w:rsid w:val="0D346115"/>
    <w:rsid w:val="0DA27E6B"/>
    <w:rsid w:val="0E370198"/>
    <w:rsid w:val="0E762342"/>
    <w:rsid w:val="0E823D71"/>
    <w:rsid w:val="0F164D87"/>
    <w:rsid w:val="0FFF2AE3"/>
    <w:rsid w:val="10BC128B"/>
    <w:rsid w:val="1165566D"/>
    <w:rsid w:val="117A0A25"/>
    <w:rsid w:val="1184546F"/>
    <w:rsid w:val="11907962"/>
    <w:rsid w:val="125C4427"/>
    <w:rsid w:val="126352F8"/>
    <w:rsid w:val="13702473"/>
    <w:rsid w:val="13951D37"/>
    <w:rsid w:val="139C0FA5"/>
    <w:rsid w:val="14CC37B9"/>
    <w:rsid w:val="14CD3C5A"/>
    <w:rsid w:val="157A6306"/>
    <w:rsid w:val="15C37AEB"/>
    <w:rsid w:val="16054376"/>
    <w:rsid w:val="17297A1F"/>
    <w:rsid w:val="1837299F"/>
    <w:rsid w:val="189D14D9"/>
    <w:rsid w:val="18C075F4"/>
    <w:rsid w:val="193E5A6E"/>
    <w:rsid w:val="19537669"/>
    <w:rsid w:val="1960677D"/>
    <w:rsid w:val="19DE4BD8"/>
    <w:rsid w:val="1AAD4BDA"/>
    <w:rsid w:val="1AB53871"/>
    <w:rsid w:val="1AF00CE9"/>
    <w:rsid w:val="1C0549E3"/>
    <w:rsid w:val="1CDC6B86"/>
    <w:rsid w:val="1CE60476"/>
    <w:rsid w:val="1D2357B3"/>
    <w:rsid w:val="1E646784"/>
    <w:rsid w:val="1F037C33"/>
    <w:rsid w:val="1F8A1B98"/>
    <w:rsid w:val="1FC0452C"/>
    <w:rsid w:val="204443F3"/>
    <w:rsid w:val="20E54640"/>
    <w:rsid w:val="21000E6D"/>
    <w:rsid w:val="21BE55D7"/>
    <w:rsid w:val="22114E93"/>
    <w:rsid w:val="2269434D"/>
    <w:rsid w:val="22B24B09"/>
    <w:rsid w:val="22BF68FE"/>
    <w:rsid w:val="24E345A6"/>
    <w:rsid w:val="25452C1C"/>
    <w:rsid w:val="254775BE"/>
    <w:rsid w:val="25D86CE3"/>
    <w:rsid w:val="261C37E8"/>
    <w:rsid w:val="269F0287"/>
    <w:rsid w:val="27454826"/>
    <w:rsid w:val="28031DFF"/>
    <w:rsid w:val="28B223C0"/>
    <w:rsid w:val="291200C2"/>
    <w:rsid w:val="296868BE"/>
    <w:rsid w:val="29776318"/>
    <w:rsid w:val="2A8049CB"/>
    <w:rsid w:val="2BB4034F"/>
    <w:rsid w:val="2DC02CAD"/>
    <w:rsid w:val="2EBE3B65"/>
    <w:rsid w:val="2F7B201C"/>
    <w:rsid w:val="31911A3C"/>
    <w:rsid w:val="31924B3E"/>
    <w:rsid w:val="32A6059B"/>
    <w:rsid w:val="32BF5675"/>
    <w:rsid w:val="32C77198"/>
    <w:rsid w:val="333113F6"/>
    <w:rsid w:val="33B45CDD"/>
    <w:rsid w:val="33E70751"/>
    <w:rsid w:val="33F279C9"/>
    <w:rsid w:val="342A1781"/>
    <w:rsid w:val="34381F14"/>
    <w:rsid w:val="346B298C"/>
    <w:rsid w:val="35A16FBE"/>
    <w:rsid w:val="365D3198"/>
    <w:rsid w:val="37C67857"/>
    <w:rsid w:val="396C5440"/>
    <w:rsid w:val="3BEE6465"/>
    <w:rsid w:val="3C4D6F56"/>
    <w:rsid w:val="3D5D1DBB"/>
    <w:rsid w:val="3DE73CFA"/>
    <w:rsid w:val="3DFB38C5"/>
    <w:rsid w:val="40082355"/>
    <w:rsid w:val="40BA4DB0"/>
    <w:rsid w:val="40F01A89"/>
    <w:rsid w:val="41233BF4"/>
    <w:rsid w:val="444628B0"/>
    <w:rsid w:val="44757F5F"/>
    <w:rsid w:val="44CB18BA"/>
    <w:rsid w:val="44D00711"/>
    <w:rsid w:val="45D77D8A"/>
    <w:rsid w:val="46216684"/>
    <w:rsid w:val="465D526B"/>
    <w:rsid w:val="46771545"/>
    <w:rsid w:val="47163F31"/>
    <w:rsid w:val="477E6C71"/>
    <w:rsid w:val="47A8084F"/>
    <w:rsid w:val="490C7E10"/>
    <w:rsid w:val="49501E9D"/>
    <w:rsid w:val="4A4E4F5F"/>
    <w:rsid w:val="4B295164"/>
    <w:rsid w:val="4B336E94"/>
    <w:rsid w:val="4BFF20AD"/>
    <w:rsid w:val="4C354DB6"/>
    <w:rsid w:val="4D144414"/>
    <w:rsid w:val="4FF23AA6"/>
    <w:rsid w:val="50C6555A"/>
    <w:rsid w:val="50F70163"/>
    <w:rsid w:val="50F75D20"/>
    <w:rsid w:val="5197079B"/>
    <w:rsid w:val="526F4C0A"/>
    <w:rsid w:val="52CE43C6"/>
    <w:rsid w:val="556541E4"/>
    <w:rsid w:val="56BC3A85"/>
    <w:rsid w:val="57E77C3F"/>
    <w:rsid w:val="5814471C"/>
    <w:rsid w:val="593531E0"/>
    <w:rsid w:val="5A1C6E3B"/>
    <w:rsid w:val="5A7C5AB7"/>
    <w:rsid w:val="5BC002A7"/>
    <w:rsid w:val="5BC30EFB"/>
    <w:rsid w:val="5E667870"/>
    <w:rsid w:val="5EA50009"/>
    <w:rsid w:val="5EC732C5"/>
    <w:rsid w:val="5ED449A6"/>
    <w:rsid w:val="5F1C7419"/>
    <w:rsid w:val="5F503301"/>
    <w:rsid w:val="60874142"/>
    <w:rsid w:val="60B573EC"/>
    <w:rsid w:val="60C761C3"/>
    <w:rsid w:val="61816F34"/>
    <w:rsid w:val="630B6BBF"/>
    <w:rsid w:val="63395122"/>
    <w:rsid w:val="63C250AF"/>
    <w:rsid w:val="63FF151B"/>
    <w:rsid w:val="653D0D6E"/>
    <w:rsid w:val="67100319"/>
    <w:rsid w:val="687057B8"/>
    <w:rsid w:val="687F0E2B"/>
    <w:rsid w:val="691C2ED9"/>
    <w:rsid w:val="69377594"/>
    <w:rsid w:val="6970393A"/>
    <w:rsid w:val="69C7507B"/>
    <w:rsid w:val="6A2C09A8"/>
    <w:rsid w:val="6BBF44D0"/>
    <w:rsid w:val="6BFC6414"/>
    <w:rsid w:val="6C0137AE"/>
    <w:rsid w:val="6C542DC7"/>
    <w:rsid w:val="6D1779A2"/>
    <w:rsid w:val="6E064EDC"/>
    <w:rsid w:val="6E611AA6"/>
    <w:rsid w:val="6E6209F8"/>
    <w:rsid w:val="6EB4620F"/>
    <w:rsid w:val="6EEC07E9"/>
    <w:rsid w:val="6F282E41"/>
    <w:rsid w:val="6F300141"/>
    <w:rsid w:val="700437BA"/>
    <w:rsid w:val="706E7503"/>
    <w:rsid w:val="722E1C16"/>
    <w:rsid w:val="723B1F15"/>
    <w:rsid w:val="734E03CA"/>
    <w:rsid w:val="736B7EE9"/>
    <w:rsid w:val="73997AD0"/>
    <w:rsid w:val="742E3FAD"/>
    <w:rsid w:val="74DC09BE"/>
    <w:rsid w:val="75D57876"/>
    <w:rsid w:val="76BA0529"/>
    <w:rsid w:val="76FB61DD"/>
    <w:rsid w:val="7735543C"/>
    <w:rsid w:val="77BA3253"/>
    <w:rsid w:val="78D131BA"/>
    <w:rsid w:val="791A5957"/>
    <w:rsid w:val="79EA5423"/>
    <w:rsid w:val="7A5E5C19"/>
    <w:rsid w:val="7CA04FC7"/>
    <w:rsid w:val="7D2E75B6"/>
    <w:rsid w:val="7D700F27"/>
    <w:rsid w:val="7E7D6486"/>
    <w:rsid w:val="7F9115BC"/>
    <w:rsid w:val="7FE7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4级标题"/>
    <w:basedOn w:val="2"/>
    <w:next w:val="1"/>
    <w:qFormat/>
    <w:uiPriority w:val="0"/>
    <w:pPr>
      <w:numPr>
        <w:ilvl w:val="0"/>
        <w:numId w:val="1"/>
      </w:numPr>
      <w:spacing w:before="0" w:after="50" w:line="360" w:lineRule="auto"/>
      <w:jc w:val="left"/>
    </w:pPr>
    <w:rPr>
      <w:rFonts w:eastAsia="宋体"/>
      <w:sz w:val="21"/>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1103</Words>
  <Characters>1211</Characters>
  <Lines>9</Lines>
  <Paragraphs>2</Paragraphs>
  <TotalTime>6</TotalTime>
  <ScaleCrop>false</ScaleCrop>
  <LinksUpToDate>false</LinksUpToDate>
  <CharactersWithSpaces>1287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2025-10-14T03:45:00Z</dcterms:created>
  <dc:creator>Hanlu</dc:creator>
  <cp:lastModifiedBy>Hanlu</cp:lastModifiedBy>
  <dcterms:modified xsi:type="dcterms:W3CDTF">2025-10-14T08:45:38Z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FF96D4DE162445ABA77253C5073F772B_11</vt:lpwstr>
  </property>
  <property fmtid="{D5CDD505-2E9C-101B-9397-08002B2CF9AE}" pid="4" name="KSOTemplateDocerSaveRecord">
    <vt:lpwstr>eyJoZGlkIjoiNTY5ZTI3OWQ2Y2M4MzRiOGU4OTQ2ZWQyM2I4OGJmYTciLCJ1c2VySWQiOiIxMjgzNzcxMTQ4In0=</vt:lpwstr>
  </property>
</Properties>
</file>