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ZWMY6BA7RSA00BG9ZR80LJ87ZC0O7VREO0XOJEDXFBRTEWTZIBRVC0IFS6TPB8RBXM69OLIZH078LNJENFT0FFW89C0WMLB8UOOKHB32D71C0E03C826C400ED0F85301970197" Type="http://schemas.microsoft.com/office/2006/relationships/officeDocumentExtend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CZWFY6BU796A0VHGQARNKL007NL0OSVREO06NJDBXGORTQLT68BRYC0HFY9TPCRRXNMX5OZMZHK78HNJQUFAQFFT8RL0WMLBAOOORHB3D3084A7976B1601D1D58328A499A05B5" Type="http://schemas.microsoft.com/office/2006/relationships/officeDocumentMain" Target="NUL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E120" w14:textId="21B67F2C" w:rsidR="00B618D8" w:rsidRPr="00BD1CE3" w:rsidRDefault="00B618D8" w:rsidP="005B71F1">
      <w:pPr>
        <w:snapToGrid w:val="0"/>
        <w:spacing w:line="360" w:lineRule="auto"/>
        <w:rPr>
          <w:rFonts w:ascii="宋体" w:hAnsi="宋体"/>
          <w:bCs/>
          <w:iCs/>
          <w:color w:val="000000"/>
          <w:sz w:val="24"/>
          <w:szCs w:val="24"/>
        </w:rPr>
      </w:pPr>
      <w:r w:rsidRPr="00BD1CE3">
        <w:rPr>
          <w:rFonts w:ascii="宋体" w:hAnsi="宋体" w:hint="eastAsia"/>
          <w:bCs/>
          <w:iCs/>
          <w:color w:val="000000"/>
          <w:sz w:val="24"/>
          <w:szCs w:val="24"/>
        </w:rPr>
        <w:t>证券代码：</w:t>
      </w:r>
      <w:r w:rsidR="00CB1E33" w:rsidRPr="00BD1CE3">
        <w:rPr>
          <w:rFonts w:ascii="宋体" w:hAnsi="宋体" w:hint="eastAsia"/>
          <w:bCs/>
          <w:iCs/>
          <w:color w:val="000000"/>
          <w:sz w:val="24"/>
          <w:szCs w:val="24"/>
        </w:rPr>
        <w:t>6</w:t>
      </w:r>
      <w:r w:rsidR="00CB1E33" w:rsidRPr="00BD1CE3">
        <w:rPr>
          <w:rFonts w:ascii="宋体" w:hAnsi="宋体"/>
          <w:bCs/>
          <w:iCs/>
          <w:color w:val="000000"/>
          <w:sz w:val="24"/>
          <w:szCs w:val="24"/>
        </w:rPr>
        <w:t>00662</w:t>
      </w:r>
      <w:r w:rsidRPr="00BD1CE3"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                      </w:t>
      </w:r>
      <w:r w:rsidR="00BD1CE3">
        <w:rPr>
          <w:rFonts w:ascii="宋体" w:hAnsi="宋体"/>
          <w:bCs/>
          <w:iCs/>
          <w:color w:val="000000"/>
          <w:sz w:val="24"/>
          <w:szCs w:val="24"/>
        </w:rPr>
        <w:t xml:space="preserve">          </w:t>
      </w:r>
      <w:r w:rsidRPr="00BD1CE3">
        <w:rPr>
          <w:rFonts w:ascii="宋体" w:hAnsi="宋体" w:hint="eastAsia"/>
          <w:bCs/>
          <w:iCs/>
          <w:color w:val="000000"/>
          <w:sz w:val="24"/>
          <w:szCs w:val="24"/>
        </w:rPr>
        <w:t>证券简称：</w:t>
      </w:r>
      <w:r w:rsidR="00CB1E33" w:rsidRPr="00BD1CE3">
        <w:rPr>
          <w:rFonts w:ascii="宋体" w:hAnsi="宋体" w:hint="eastAsia"/>
          <w:bCs/>
          <w:iCs/>
          <w:color w:val="000000"/>
          <w:sz w:val="24"/>
          <w:szCs w:val="24"/>
        </w:rPr>
        <w:t>外服控股</w:t>
      </w:r>
    </w:p>
    <w:p w14:paraId="48C6C2AF" w14:textId="77777777" w:rsidR="00BD1CE3" w:rsidRPr="008322D0" w:rsidRDefault="00BD1CE3" w:rsidP="005B71F1">
      <w:pPr>
        <w:snapToGrid w:val="0"/>
        <w:spacing w:line="360" w:lineRule="auto"/>
        <w:rPr>
          <w:rFonts w:ascii="仿宋" w:eastAsia="仿宋" w:hAnsi="仿宋"/>
          <w:bCs/>
          <w:iCs/>
          <w:color w:val="000000"/>
          <w:sz w:val="28"/>
          <w:szCs w:val="28"/>
        </w:rPr>
      </w:pPr>
    </w:p>
    <w:p w14:paraId="656222B9" w14:textId="77777777" w:rsidR="00155339" w:rsidRDefault="00CB1E33" w:rsidP="00BD1CE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iCs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iCs/>
          <w:color w:val="000000"/>
          <w:sz w:val="32"/>
          <w:szCs w:val="32"/>
        </w:rPr>
        <w:t>上海外服控股集团</w:t>
      </w:r>
      <w:r w:rsidR="00B618D8" w:rsidRPr="008729B5">
        <w:rPr>
          <w:rFonts w:ascii="华文中宋" w:eastAsia="华文中宋" w:hAnsi="华文中宋" w:hint="eastAsia"/>
          <w:b/>
          <w:bCs/>
          <w:iCs/>
          <w:color w:val="000000"/>
          <w:sz w:val="32"/>
          <w:szCs w:val="32"/>
        </w:rPr>
        <w:t>股份有限公司</w:t>
      </w:r>
    </w:p>
    <w:p w14:paraId="268351C2" w14:textId="7FF14146" w:rsidR="00B618D8" w:rsidRPr="008729B5" w:rsidRDefault="00B618D8" w:rsidP="00BD1CE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iCs/>
          <w:color w:val="000000"/>
          <w:sz w:val="32"/>
          <w:szCs w:val="32"/>
        </w:rPr>
      </w:pPr>
      <w:r w:rsidRPr="008729B5">
        <w:rPr>
          <w:rFonts w:ascii="华文中宋" w:eastAsia="华文中宋" w:hAnsi="华文中宋" w:hint="eastAsia"/>
          <w:b/>
          <w:bCs/>
          <w:iCs/>
          <w:color w:val="000000"/>
          <w:sz w:val="32"/>
          <w:szCs w:val="32"/>
        </w:rPr>
        <w:t>投资者关系活动记录表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458"/>
      </w:tblGrid>
      <w:tr w:rsidR="00B618D8" w:rsidRPr="00E50B1C" w14:paraId="55A4D2B6" w14:textId="77777777" w:rsidTr="00DF68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79B0" w14:textId="3FD6597D" w:rsidR="00B618D8" w:rsidRPr="00155339" w:rsidRDefault="00B618D8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84642B6" w14:textId="77777777" w:rsidR="00B618D8" w:rsidRPr="00155339" w:rsidRDefault="00B618D8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F790" w14:textId="77777777" w:rsidR="00B618D8" w:rsidRPr="00155339" w:rsidRDefault="00B618D8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特定对象调研        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分析师会议</w:t>
            </w:r>
          </w:p>
          <w:p w14:paraId="141B390A" w14:textId="30B9B663" w:rsidR="00B618D8" w:rsidRPr="00155339" w:rsidRDefault="00B618D8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媒体采访            </w:t>
            </w:r>
            <w:r w:rsidR="00B534EF"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sym w:font="Wingdings" w:char="F0FC"/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业绩说明会</w:t>
            </w:r>
          </w:p>
          <w:p w14:paraId="7367F36B" w14:textId="77777777" w:rsidR="00B618D8" w:rsidRPr="00155339" w:rsidRDefault="00B618D8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新闻发布会          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路演活动</w:t>
            </w:r>
          </w:p>
          <w:p w14:paraId="75F25850" w14:textId="77777777" w:rsidR="00B618D8" w:rsidRPr="00155339" w:rsidRDefault="00B618D8" w:rsidP="00DF6819">
            <w:pPr>
              <w:tabs>
                <w:tab w:val="left" w:pos="3045"/>
                <w:tab w:val="center" w:pos="3199"/>
              </w:tabs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现场参观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6D32EC6C" w14:textId="77777777" w:rsidR="00B618D8" w:rsidRPr="00155339" w:rsidRDefault="00B618D8" w:rsidP="00DF6819">
            <w:pPr>
              <w:tabs>
                <w:tab w:val="center" w:pos="3199"/>
              </w:tabs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其他 （</w:t>
            </w:r>
            <w:proofErr w:type="gramStart"/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>请文字</w:t>
            </w:r>
            <w:proofErr w:type="gramEnd"/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>说明其他活动内容）</w:t>
            </w:r>
          </w:p>
        </w:tc>
      </w:tr>
      <w:tr w:rsidR="00B618D8" w:rsidRPr="00E50B1C" w14:paraId="558C5BC4" w14:textId="77777777" w:rsidTr="00DF68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641D" w14:textId="2019E21C" w:rsidR="00B618D8" w:rsidRPr="00155339" w:rsidRDefault="00B618D8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参与</w:t>
            </w:r>
            <w:r w:rsidR="00155339" w:rsidRPr="00155339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人员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77C4" w14:textId="751A667C" w:rsidR="00B618D8" w:rsidRPr="00155339" w:rsidRDefault="0015533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参与公司2</w:t>
            </w:r>
            <w:r w:rsidR="00CE2FD5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02</w:t>
            </w:r>
            <w:r w:rsidR="00D95773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5</w:t>
            </w:r>
            <w:r w:rsidR="00D9577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年半年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度业绩说明会的投资者</w:t>
            </w:r>
          </w:p>
        </w:tc>
      </w:tr>
      <w:tr w:rsidR="00B618D8" w:rsidRPr="00E50B1C" w14:paraId="390F961F" w14:textId="77777777" w:rsidTr="00DF68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4593" w14:textId="528B54B8" w:rsidR="00B618D8" w:rsidRPr="00155339" w:rsidRDefault="0015533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会议</w:t>
            </w:r>
            <w:r w:rsidR="00B618D8"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3EF" w14:textId="39D8C8DF" w:rsidR="00B618D8" w:rsidRPr="00155339" w:rsidRDefault="0015533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2</w:t>
            </w:r>
            <w:r w:rsidRPr="0015533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02</w:t>
            </w:r>
            <w:r w:rsidR="009A33D1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5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D9577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D95773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D9577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E90DE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4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D9577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9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:0</w:t>
            </w:r>
            <w:r w:rsidRPr="0015533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0-1</w:t>
            </w:r>
            <w:r w:rsidR="00D95773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D95773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B618D8" w:rsidRPr="00E50B1C" w14:paraId="6C471B46" w14:textId="77777777" w:rsidTr="00DF68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E520" w14:textId="463DEBE3" w:rsidR="00B618D8" w:rsidRPr="00155339" w:rsidRDefault="0015533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会议</w:t>
            </w:r>
            <w:r w:rsidR="00B618D8"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AC4B" w14:textId="77777777" w:rsidR="00BD1CE3" w:rsidRDefault="0015533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上海证券交易所</w:t>
            </w:r>
            <w:proofErr w:type="gramStart"/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上证路演</w:t>
            </w:r>
            <w:proofErr w:type="gramEnd"/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中心</w:t>
            </w:r>
          </w:p>
          <w:p w14:paraId="3EA8C980" w14:textId="144C88CC" w:rsidR="00B618D8" w:rsidRPr="00155339" w:rsidRDefault="0015533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（h</w:t>
            </w:r>
            <w:r w:rsidRPr="0015533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ttp://roadshow.sseinfo.com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155339" w:rsidRPr="00E50B1C" w14:paraId="6BCADE38" w14:textId="77777777" w:rsidTr="00DF68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2029" w14:textId="0DA63BB1" w:rsidR="00155339" w:rsidRPr="00155339" w:rsidRDefault="0015533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会议形式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8F85" w14:textId="1994C6F7" w:rsidR="00155339" w:rsidRPr="00155339" w:rsidRDefault="00DF681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上证路演中心</w:t>
            </w:r>
            <w:r w:rsidR="00155339"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网络</w:t>
            </w:r>
            <w:r w:rsidR="00C2654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文字</w:t>
            </w:r>
            <w:bookmarkStart w:id="0" w:name="_GoBack"/>
            <w:bookmarkEnd w:id="0"/>
            <w:r w:rsidR="00155339"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互动</w:t>
            </w:r>
          </w:p>
        </w:tc>
      </w:tr>
      <w:tr w:rsidR="00B618D8" w:rsidRPr="00E50B1C" w14:paraId="6E23BC16" w14:textId="77777777" w:rsidTr="00DF68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3C38" w14:textId="6D403056" w:rsidR="00B618D8" w:rsidRPr="00155339" w:rsidRDefault="00B618D8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公司接待人员姓名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30D9" w14:textId="54015CA0" w:rsidR="00155339" w:rsidRPr="00155339" w:rsidRDefault="0015533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董事长陈伟权先生，</w:t>
            </w:r>
            <w:r w:rsidR="007C777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董事、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总裁、董事会秘书朱海元先生，财务总监</w:t>
            </w:r>
            <w:r w:rsidR="00CE2FD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徐骏先生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，独立董事</w:t>
            </w:r>
            <w:r w:rsidR="00D9577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朱伟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先生</w:t>
            </w:r>
          </w:p>
        </w:tc>
      </w:tr>
      <w:tr w:rsidR="00B618D8" w:rsidRPr="00E50B1C" w14:paraId="41EEDB52" w14:textId="77777777" w:rsidTr="00DF68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8E3A" w14:textId="77777777" w:rsidR="00B618D8" w:rsidRPr="00155339" w:rsidRDefault="00B618D8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79A4392F" w14:textId="77777777" w:rsidR="00B618D8" w:rsidRPr="00155339" w:rsidRDefault="00B618D8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FABD" w14:textId="634C2B6B" w:rsidR="00AA4A7F" w:rsidRPr="00DF6819" w:rsidRDefault="00AA4A7F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投资者提出的问题及公司回复情况：</w:t>
            </w:r>
          </w:p>
          <w:p w14:paraId="0C68EE1C" w14:textId="1BE35158" w:rsidR="00DF6819" w:rsidRPr="00DF6819" w:rsidRDefault="00DF681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DF6819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Pr="00DF68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、9月出台的社保新政会给公司带来哪些影响？</w:t>
            </w:r>
          </w:p>
          <w:p w14:paraId="07257D7E" w14:textId="77777777" w:rsidR="00DF6819" w:rsidRDefault="00DF681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DF68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新政的出台显示了政府对劳动者权益的重视，</w:t>
            </w:r>
            <w:r w:rsidRPr="00DF681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有利于人力资源服务行业规范化发展</w:t>
            </w: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。对公司而言，代扣代缴社保这项业务已经营了4</w:t>
            </w:r>
            <w:r w:rsidRPr="00DF681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</w:t>
            </w: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多年，在系统支持、服务交付等方面积累了丰富的经验，具有覆盖全国的服务能力。公司愿意通过自身的专业能力，为政府和企业搭建桥梁，为落实全民社保提供有力支持。</w:t>
            </w:r>
          </w:p>
          <w:p w14:paraId="1ACAD185" w14:textId="71D4AE09" w:rsidR="00DF6819" w:rsidRPr="00DF6819" w:rsidRDefault="00DF6819" w:rsidP="00DF6819">
            <w:pPr>
              <w:adjustRightInd w:val="0"/>
              <w:snapToGrid w:val="0"/>
              <w:spacing w:line="360" w:lineRule="auto"/>
              <w:ind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关于新政对业务的影响，公司秉持谨慎乐观的态度。新政出台后，公司确实收到一些中大型企业的服务需求，且民营企业</w:t>
            </w:r>
            <w:proofErr w:type="gramStart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占比较</w:t>
            </w:r>
            <w:proofErr w:type="gramEnd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高。公司将积极对接客户需求，持续发挥在服务、系统、全国网络等方面的既有优势，为客户提供高品质</w:t>
            </w: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lastRenderedPageBreak/>
              <w:t>服务，协助政府落实社保新政，为社保体系的持续完备</w:t>
            </w:r>
            <w:proofErr w:type="gramStart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作出</w:t>
            </w:r>
            <w:proofErr w:type="gramEnd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积极贡献。</w:t>
            </w:r>
          </w:p>
          <w:p w14:paraId="747EC1D8" w14:textId="0B63F9E0" w:rsidR="00DF6819" w:rsidRPr="00DF6819" w:rsidRDefault="00DF681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DF68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2、公司如何通过AI赋能招聘、灵活用工等业务发展？</w:t>
            </w:r>
          </w:p>
          <w:p w14:paraId="3DDF78E6" w14:textId="2230DAC0" w:rsidR="00DF6819" w:rsidRPr="00DF6819" w:rsidRDefault="00DF6819" w:rsidP="00DF681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DF68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目前，公司已将AI技术广泛应用于招聘、灵活用工等服务场景之中。在基础岗位招聘中，可通过AI技术自动筛选简历、</w:t>
            </w:r>
            <w:proofErr w:type="gramStart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跟踪触达候选人</w:t>
            </w:r>
            <w:proofErr w:type="gramEnd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，实现人才寻访的全流程自动化；在中高端岗位招聘中，可通过AI技术</w:t>
            </w:r>
            <w:proofErr w:type="gramStart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进行人岗匹配</w:t>
            </w:r>
            <w:proofErr w:type="gramEnd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分析，帮助招聘顾问更快更准地锁定目标人选。在灵活用工业务领域，可依托AI技术分析历史用工情况和市场需求波动情况，预测不同项目的服务周期，完成岗位技能需求与人员技能标签的匹配，提升用工质量和到岗速度。</w:t>
            </w:r>
          </w:p>
          <w:p w14:paraId="0A1A6658" w14:textId="6A07A7C0" w:rsidR="00DF6819" w:rsidRPr="00DF6819" w:rsidRDefault="00DF6819" w:rsidP="00DF6819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DF68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3、人事管理业务的客户增长情况如何？</w:t>
            </w:r>
          </w:p>
          <w:p w14:paraId="31D4F6FE" w14:textId="35629220" w:rsidR="00DF6819" w:rsidRPr="00DF6819" w:rsidRDefault="00DF6819" w:rsidP="00DF6819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DF6819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人事管理业务是公司的基本盘，客户品质高且稳定性好。上半年，新增客户数量与去年基本持平，且民企需求明显增长，6</w:t>
            </w:r>
            <w:r w:rsidRPr="00DF681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0%</w:t>
            </w: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的新增客户来自国内企业。此外，通过4</w:t>
            </w:r>
            <w:r w:rsidRPr="00DF681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</w:t>
            </w:r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余年的精耕细作，公司的人事管理业务积累了丰富的客户资源，建立起了较高的品牌信任度，可为其他业务的拓展进行引流，形成了低成本、高效率</w:t>
            </w:r>
            <w:proofErr w:type="gramStart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的获客模式</w:t>
            </w:r>
            <w:proofErr w:type="gramEnd"/>
            <w:r w:rsidRPr="00DF681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4A89E8AF" w14:textId="19A95BB3" w:rsidR="00EA2EAB" w:rsidRPr="00EA2EAB" w:rsidRDefault="00EA2EAB" w:rsidP="00EA2EA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EA2EA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4、上半年，公司人事管理业务的毛利率比去年有所下降，原因是什么？</w:t>
            </w:r>
          </w:p>
          <w:p w14:paraId="06D38C63" w14:textId="5F3916BF" w:rsidR="00EA2EAB" w:rsidRDefault="00EA2EAB" w:rsidP="00EA2EAB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EA2EA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EA2EA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人事管理业务是公司的传统业务，其毛利率在上半年略有下降有两方面的原因：一是受到经济周期波动的影响；二是为满足客户不断提升的服务要求，投入有所增加。针对以上情况，公司积极采取数字化手段进行降本增效。为此，虽然人事管理业务的毛利率出现小幅下降，但仍保持在相对高位。未来，公司将对人事管理业务的价值链进行全面梳理，积极推广政策咨询、社保合</w:t>
            </w:r>
            <w:proofErr w:type="gramStart"/>
            <w:r w:rsidRPr="00EA2EA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规</w:t>
            </w:r>
            <w:proofErr w:type="gramEnd"/>
            <w:r w:rsidRPr="00EA2EA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审计、专项事务办理等新服务，确保人事管理业务毛利率的稳定性。</w:t>
            </w:r>
          </w:p>
          <w:p w14:paraId="2CC63A86" w14:textId="77777777" w:rsidR="00EA2EAB" w:rsidRPr="00EA2EAB" w:rsidRDefault="00EA2EAB" w:rsidP="00EA2EA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EA2EA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5、</w:t>
            </w:r>
            <w:r w:rsidRPr="00EA2EAB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公司借壳上市后，二级市场股价一直萎靡不振，公司是否</w:t>
            </w:r>
            <w:r w:rsidRPr="00EA2EAB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不重视市值管理，觉得是国企，旱涝保收？公司有没有考虑进行更大一点的资本运作，例如收购其他优质公司？</w:t>
            </w:r>
          </w:p>
          <w:p w14:paraId="7D85ADC9" w14:textId="3089AD33" w:rsidR="00DF6819" w:rsidRPr="00EA2EAB" w:rsidRDefault="00EA2EAB" w:rsidP="00EA2EAB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EA2EA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EA2EA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公司始终把做好企业经营管理作为价值维护的核心，提升公司核心竞争力及内在价值。公司重视产品升级和市场开拓，推动业务稳步增长，开展上下游投资并购，争取以优秀的业绩回报广大投资者。同时，公司还通过股东大会、业绩说明会、上证E互动等渠道加强与资本市场的沟通，增进投资者对公司价值的了解，提振投资者信心。资本化驱动是公司主要发展战略之一，近年来，公司下属子公司上海外</w:t>
            </w:r>
            <w:proofErr w:type="gramStart"/>
            <w:r w:rsidRPr="00EA2EA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服先后</w:t>
            </w:r>
            <w:proofErr w:type="gramEnd"/>
            <w:r w:rsidRPr="00EA2EA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收购</w:t>
            </w:r>
            <w:proofErr w:type="gramStart"/>
            <w:r w:rsidRPr="00EA2EA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了远茂股</w:t>
            </w:r>
            <w:proofErr w:type="gramEnd"/>
            <w:r w:rsidRPr="00EA2EA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份和</w:t>
            </w:r>
            <w:proofErr w:type="gramStart"/>
            <w:r w:rsidRPr="00EA2EA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绛</w:t>
            </w:r>
            <w:proofErr w:type="gramEnd"/>
            <w:r w:rsidRPr="00EA2EAB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门科技部分股份并实现了对收购标的并表，有效拓展了公司在业务外包垂直细分领域的服务覆盖和专业能力。后续，公司将继续秉持内生发展和外延发展并重的双轮驱动模式，在人力资源产业链上下游和价值链的核心环节加快并购，进一步扩大市场占有率，补足发展短板，提高资产利用效率。</w:t>
            </w:r>
          </w:p>
          <w:p w14:paraId="598C0559" w14:textId="342FA99B" w:rsidR="00EA2EAB" w:rsidRPr="00EA2EAB" w:rsidRDefault="00EA2EAB" w:rsidP="00EA2EAB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EA2EAB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6</w:t>
            </w:r>
            <w:r w:rsidRPr="00EA2EA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、如何看待外包业务的快速增长？今后的增长空间如何？</w:t>
            </w:r>
            <w:r w:rsidRPr="00EA2EAB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6BB605AA" w14:textId="3FF7D298" w:rsidR="00EA2EAB" w:rsidRDefault="00EA2EAB" w:rsidP="00EA2EAB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EA2EA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EA2EA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总体而言，业务外包是个潜力巨大的增量市场。一方面，国家积极鼓励并大力支持灵活就业市场发展；另一方面，随着就业理念的不断成熟，越来越多的求职者开始接受外包这种就业形式。公司预见到了其中的发展机遇，近年来接连收购专业赛道外包公司股份，包括以技能人才外包为核心</w:t>
            </w:r>
            <w:proofErr w:type="gramStart"/>
            <w:r w:rsidRPr="00EA2EA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的远茂股份</w:t>
            </w:r>
            <w:proofErr w:type="gramEnd"/>
            <w:r w:rsidRPr="00EA2EA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和以信息技术人才外包为核心的</w:t>
            </w:r>
            <w:proofErr w:type="gramStart"/>
            <w:r w:rsidRPr="00EA2EA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绛门科</w:t>
            </w:r>
            <w:proofErr w:type="gramEnd"/>
            <w:r w:rsidRPr="00EA2EA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技，加上公司原本聚焦的金融行业外包和消费品行业外包，公司已在多个外包专业赛道进行了布局与深耕。未来，公司将持续加大在业务外包领域的投入，探索从现有的通用岗位外包中培育新的专业赛道，如游戏行业、白酒行业等，保持业务外包业务的高速增长。</w:t>
            </w:r>
          </w:p>
          <w:p w14:paraId="0EFEC68B" w14:textId="58F02EB5" w:rsidR="004B71A4" w:rsidRPr="004B71A4" w:rsidRDefault="004B71A4" w:rsidP="004B71A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4B71A4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7</w:t>
            </w:r>
            <w:r w:rsidRPr="004B71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、公司业务外包业务在上半年取得了较快的增长，主要来自哪些行业的贡献？</w:t>
            </w:r>
          </w:p>
          <w:p w14:paraId="5F137E4A" w14:textId="4FF02585" w:rsidR="004B71A4" w:rsidRPr="004B71A4" w:rsidRDefault="004B71A4" w:rsidP="004B71A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4B71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答：</w:t>
            </w:r>
            <w:r w:rsidRPr="004B71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总体而言，公司的业务外包业务分为两大类：一是通用岗位的外包，涉及各个行业；二是专业领域的外包，涉及金融行业、消费品行业、技能人才和信息技术人才等细分赛道。上半年，公司的这两大类外包业务都取得了较好的增长。相比较而言，信息技术人才外包、消费品行业外包增长态势良好，可达到两位数增长；金融行业外包可达到8</w:t>
            </w:r>
            <w:r w:rsidRPr="004B71A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%</w:t>
            </w:r>
            <w:r w:rsidRPr="004B71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左右增长，制造业技能人才外包的增长稍缓一些。</w:t>
            </w:r>
          </w:p>
          <w:p w14:paraId="3DB6E329" w14:textId="00D69F2F" w:rsidR="002E6426" w:rsidRPr="002E6426" w:rsidRDefault="004B71A4" w:rsidP="002E6426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8</w:t>
            </w:r>
            <w:r w:rsidR="002E6426" w:rsidRPr="002E6426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、公司的海外业务上半年发展怎么样？未来有什么规划？</w:t>
            </w:r>
            <w:r w:rsidR="002E6426" w:rsidRPr="002E6426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2C704CF0" w14:textId="77777777" w:rsidR="006844DF" w:rsidRDefault="002E6426" w:rsidP="006844D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2E6426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2E64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上半年，公司以FSG-TG和香港公司为抓手，积极开拓以东南亚为主阵地的海外市场。FSG-TG新签1</w:t>
            </w:r>
            <w:r w:rsidRPr="002E6426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9</w:t>
            </w:r>
            <w:r w:rsidRPr="002E64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家客户，累计服务“走出去”企业1</w:t>
            </w:r>
            <w:r w:rsidRPr="002E6426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67</w:t>
            </w:r>
            <w:r w:rsidRPr="002E64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家。香港公司成功获</w:t>
            </w:r>
            <w:proofErr w:type="gramStart"/>
            <w:r w:rsidRPr="002E64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批职业</w:t>
            </w:r>
            <w:proofErr w:type="gramEnd"/>
            <w:r w:rsidRPr="002E64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介绍所牌照。海外投资咨询、国际薪酬等业务纷纷落地东南亚。公司在亚太地区的合作伙伴网络基本搭建完成。此外，由公司负责运营的虹桥海外发展服务中心秉承“政府引导、市场主体、政策支持、多方联动”的原则，积极为企业打造迈向国际市场的一站</w:t>
            </w:r>
            <w:proofErr w:type="gramStart"/>
            <w:r w:rsidRPr="002E64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式解决</w:t>
            </w:r>
            <w:proofErr w:type="gramEnd"/>
            <w:r w:rsidRPr="002E642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方案。未来，公司也将考虑通过资本化手段，进一步加快国际化进程。</w:t>
            </w:r>
          </w:p>
          <w:p w14:paraId="1966B5DA" w14:textId="1EBDB500" w:rsidR="006844DF" w:rsidRDefault="004B71A4" w:rsidP="006844D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9</w:t>
            </w:r>
            <w:r w:rsidR="006844DF" w:rsidRPr="006844DF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、</w:t>
            </w:r>
            <w:r w:rsidR="006844DF" w:rsidRPr="006844DF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公司控股股东为东</w:t>
            </w:r>
            <w:proofErr w:type="gramStart"/>
            <w:r w:rsidR="006844DF" w:rsidRPr="006844DF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浩</w:t>
            </w:r>
            <w:proofErr w:type="gramEnd"/>
            <w:r w:rsidR="006844DF" w:rsidRPr="006844DF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兰生集团。请问：①是否存在关联交易定价公允性的审查机制？②针对政府</w:t>
            </w:r>
            <w:proofErr w:type="gramStart"/>
            <w:r w:rsidR="006844DF" w:rsidRPr="006844DF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补助占</w:t>
            </w:r>
            <w:proofErr w:type="gramEnd"/>
            <w:r w:rsidR="006844DF" w:rsidRPr="006844DF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净利润48.4%的情况，是否建议建立补助依赖度预警指标？③作为独立董事，如何监督数字化转型和业务外包中的信息安全风险？</w:t>
            </w:r>
          </w:p>
          <w:p w14:paraId="70F1BF75" w14:textId="77777777" w:rsidR="00734864" w:rsidRDefault="006844DF" w:rsidP="0073486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6844DF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6844DF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公司独立董事专门会议会对需披露的关联交易事项进行事先审议。公司的日常关联交易符合公司实际情况，为公司正常生产经营所必需，有利于各方专业协作、优势互补，实现资源合理配置。日常关联交易参照市场价协定交易价格，公平合理，不存在损害公司及股东特别是中小股东利益的情形。作为独立董事，关注公司营收、利润等财务指标的增长情况，提醒公司对政府补助等进行财务分析。同时，积极了解公司在信息安全方面的管理机制和风险防范举措，督促公</w:t>
            </w:r>
            <w:r w:rsidRPr="006844DF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lastRenderedPageBreak/>
              <w:t>司通过制度、技术等多元手段加强管理。</w:t>
            </w:r>
          </w:p>
          <w:p w14:paraId="22E823AE" w14:textId="3D7713E9" w:rsidR="00734864" w:rsidRDefault="004B71A4" w:rsidP="0073486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10</w:t>
            </w:r>
            <w:r w:rsidR="00734864" w:rsidRPr="0073486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、</w:t>
            </w:r>
            <w:r w:rsidR="00734864" w:rsidRPr="00734864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上半年经营活动现金流净额-2.32亿元，投资活动流出4.05亿元主要用于购买定期存款。请问：①现金流为负是否因季节性因素或业务模式调整？②大额购买定期存款的收益率及风险管控措施？③未来是否会通过资产证券化或轻资产运营优化现金流？</w:t>
            </w:r>
          </w:p>
          <w:p w14:paraId="25E5DF1F" w14:textId="16136874" w:rsidR="00734864" w:rsidRDefault="00734864" w:rsidP="0073486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6844DF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73486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公司经营性现金</w:t>
            </w:r>
            <w:proofErr w:type="gramStart"/>
            <w:r w:rsidRPr="0073486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流由于</w:t>
            </w:r>
            <w:proofErr w:type="gramEnd"/>
            <w:r w:rsidRPr="0073486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代收代付款支付时间性差异的短期影响，一定时期内为负数。公司整体现金</w:t>
            </w:r>
            <w:proofErr w:type="gramStart"/>
            <w:r w:rsidRPr="0073486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流比较</w:t>
            </w:r>
            <w:proofErr w:type="gramEnd"/>
            <w:r w:rsidRPr="0073486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稳定。为提高资金使用效率，公司使用闲置自有资金进行管理投资，增加公司投资收益，为公司及股东获取更多回报。</w:t>
            </w:r>
          </w:p>
          <w:p w14:paraId="019ADA8C" w14:textId="3DF79B0D" w:rsidR="00734864" w:rsidRPr="004B71A4" w:rsidRDefault="004B71A4" w:rsidP="0073486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 w:rsidRPr="004B71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Pr="004B71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、</w:t>
            </w:r>
            <w:proofErr w:type="gramStart"/>
            <w:r w:rsidRPr="004B71A4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财报显示</w:t>
            </w:r>
            <w:proofErr w:type="gramEnd"/>
            <w:r w:rsidRPr="004B71A4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新兴业务、区域业务和内资业务营收占比上升。请问：①具体哪些新兴业务（如：灵活用工、AI招聘）贡献显著？②内资业务中，国企客户与民企客户的收入占比结构如何？③未来是否计划通过并购拓展高附加值领域（如：职业教育、高端猎头）？</w:t>
            </w:r>
          </w:p>
          <w:p w14:paraId="33A53E6A" w14:textId="0802C8B9" w:rsidR="00734864" w:rsidRPr="004B71A4" w:rsidRDefault="004B71A4" w:rsidP="0073486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4B71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4B71A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新兴业务营收增长主要来自业务外包业务的快速增长。上半年，公司揭牌成立</w:t>
            </w:r>
            <w:proofErr w:type="gramStart"/>
            <w:r w:rsidRPr="004B71A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上海产训融合</w:t>
            </w:r>
            <w:proofErr w:type="gramEnd"/>
            <w:r w:rsidRPr="004B71A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技能发展中心。推出第一批12 类36门技能培训课程，涵盖人工智能、集成电路、生物医药等多个产业领域。</w:t>
            </w:r>
          </w:p>
          <w:p w14:paraId="03A48CB7" w14:textId="3988AD2B" w:rsidR="00734864" w:rsidRPr="004B71A4" w:rsidRDefault="004B71A4" w:rsidP="0073486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、</w:t>
            </w:r>
            <w:proofErr w:type="gramStart"/>
            <w:r w:rsidRPr="004B71A4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财报披露</w:t>
            </w:r>
            <w:proofErr w:type="gramEnd"/>
            <w:r w:rsidRPr="004B71A4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  <w:szCs w:val="24"/>
              </w:rPr>
              <w:t>完成部分股份支付，但核心人才流失率是否披露？请问：①现有股权激励是否覆盖核心技术团队？②针对行业人才竞争加剧，公司如何通过薪酬体系留住数字化和国际化人才？③是否建议将ESG（环境、社会、治理）指标纳入高管考核？</w:t>
            </w:r>
          </w:p>
          <w:p w14:paraId="0670A960" w14:textId="6E3DB9E9" w:rsidR="004B71A4" w:rsidRDefault="004B71A4" w:rsidP="0073486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4B71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4B71A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公司实施股权激励的目的是为了留住核心人才，鼓励内部协同，提升整体效益，通过股权激励杠杆实现个人收益提升并与企业长期价值成长相匹配，助力公司高质量与可持续发展。今年，公司积极响应上海市国资委号召，为增强公司可持续发展内生动力，提升公司在资本市场的品牌形象，发</w:t>
            </w:r>
            <w:r w:rsidRPr="004B71A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lastRenderedPageBreak/>
              <w:t>布了首份ESG报告。</w:t>
            </w:r>
          </w:p>
          <w:p w14:paraId="511223E4" w14:textId="77777777" w:rsidR="004B71A4" w:rsidRPr="004B71A4" w:rsidRDefault="004B71A4" w:rsidP="0073486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  <w:p w14:paraId="35315DF9" w14:textId="3EADA027" w:rsidR="007A341F" w:rsidRPr="007E480A" w:rsidRDefault="00155339" w:rsidP="0073486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480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注：</w:t>
            </w:r>
            <w:r w:rsidRPr="007E480A">
              <w:rPr>
                <w:rFonts w:asciiTheme="minorEastAsia" w:eastAsiaTheme="minorEastAsia" w:hAnsiTheme="minorEastAsia" w:hint="eastAsia"/>
                <w:sz w:val="24"/>
                <w:szCs w:val="24"/>
              </w:rPr>
              <w:t>投资者可以通过上</w:t>
            </w:r>
            <w:proofErr w:type="gramStart"/>
            <w:r w:rsidRPr="007E480A">
              <w:rPr>
                <w:rFonts w:asciiTheme="minorEastAsia" w:eastAsiaTheme="minorEastAsia" w:hAnsiTheme="minorEastAsia" w:hint="eastAsia"/>
                <w:sz w:val="24"/>
                <w:szCs w:val="24"/>
              </w:rPr>
              <w:t>证路演中心</w:t>
            </w:r>
            <w:proofErr w:type="gramEnd"/>
            <w:r w:rsidRPr="007E480A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网站（</w:t>
            </w:r>
            <w:r w:rsidR="00B614A6" w:rsidRPr="007E480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h</w:t>
            </w:r>
            <w:r w:rsidR="00B614A6" w:rsidRPr="007E480A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ttp://roadshow.sseinfo.com</w:t>
            </w:r>
            <w:r w:rsidRPr="007E48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）查看本次业绩说明的召开情况及主要内容。</w:t>
            </w:r>
          </w:p>
        </w:tc>
      </w:tr>
      <w:tr w:rsidR="00B618D8" w:rsidRPr="00E50B1C" w14:paraId="462B1B33" w14:textId="77777777" w:rsidTr="007602EB">
        <w:trPr>
          <w:trHeight w:val="1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5AB" w14:textId="64D7113C" w:rsidR="00B618D8" w:rsidRPr="00155339" w:rsidRDefault="00C46976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5289" w14:textId="2D6CFF10" w:rsidR="00B618D8" w:rsidRPr="00155339" w:rsidRDefault="00C46976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sz w:val="24"/>
                <w:szCs w:val="24"/>
              </w:rPr>
              <w:t>业绩说明会召开过程中，公司严格按照有关制度要求，没有出现未公开重大信息泄露等情况。</w:t>
            </w:r>
          </w:p>
        </w:tc>
      </w:tr>
    </w:tbl>
    <w:p w14:paraId="7E0C2EFC" w14:textId="77777777" w:rsidR="00B618D8" w:rsidRPr="008322D0" w:rsidRDefault="00B618D8" w:rsidP="006C2A3C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sectPr w:rsidR="00B618D8" w:rsidRPr="008322D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0230D" w14:textId="77777777" w:rsidR="00521B49" w:rsidRDefault="00521B49" w:rsidP="00893217">
      <w:r>
        <w:separator/>
      </w:r>
    </w:p>
  </w:endnote>
  <w:endnote w:type="continuationSeparator" w:id="0">
    <w:p w14:paraId="0AFC9B91" w14:textId="77777777" w:rsidR="00521B49" w:rsidRDefault="00521B49" w:rsidP="0089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简体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FDB0" w14:textId="591BF697" w:rsidR="00D33C3B" w:rsidRDefault="00D33C3B">
    <w:pPr>
      <w:pStyle w:val="a5"/>
      <w:jc w:val="center"/>
    </w:pPr>
  </w:p>
  <w:p w14:paraId="18B93EBA" w14:textId="77777777" w:rsidR="00D33C3B" w:rsidRDefault="00D33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B735F" w14:textId="77777777" w:rsidR="00521B49" w:rsidRDefault="00521B49" w:rsidP="00893217">
      <w:r>
        <w:separator/>
      </w:r>
    </w:p>
  </w:footnote>
  <w:footnote w:type="continuationSeparator" w:id="0">
    <w:p w14:paraId="614B31F0" w14:textId="77777777" w:rsidR="00521B49" w:rsidRDefault="00521B49" w:rsidP="0089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9CD"/>
    <w:multiLevelType w:val="hybridMultilevel"/>
    <w:tmpl w:val="AA5AC30C"/>
    <w:lvl w:ilvl="0" w:tplc="23AAB388">
      <w:start w:val="1"/>
      <w:numFmt w:val="decimalEnclosedCircle"/>
      <w:lvlText w:val="%1"/>
      <w:lvlJc w:val="left"/>
      <w:pPr>
        <w:ind w:left="780" w:hanging="36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674348A"/>
    <w:multiLevelType w:val="multilevel"/>
    <w:tmpl w:val="8C9E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487176"/>
    <w:multiLevelType w:val="hybridMultilevel"/>
    <w:tmpl w:val="B9187062"/>
    <w:lvl w:ilvl="0" w:tplc="E670F0DC">
      <w:start w:val="1"/>
      <w:numFmt w:val="decimal"/>
      <w:lvlText w:val="%1、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3" w15:restartNumberingAfterBreak="0">
    <w:nsid w:val="10D731E9"/>
    <w:multiLevelType w:val="hybridMultilevel"/>
    <w:tmpl w:val="0644D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31718"/>
    <w:multiLevelType w:val="hybridMultilevel"/>
    <w:tmpl w:val="E91454EC"/>
    <w:lvl w:ilvl="0" w:tplc="8B327B9E">
      <w:start w:val="1"/>
      <w:numFmt w:val="decimal"/>
      <w:lvlText w:val="%1、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5" w15:restartNumberingAfterBreak="0">
    <w:nsid w:val="1FB468D9"/>
    <w:multiLevelType w:val="hybridMultilevel"/>
    <w:tmpl w:val="7ABE7180"/>
    <w:lvl w:ilvl="0" w:tplc="86A04BB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ACE531A"/>
    <w:multiLevelType w:val="hybridMultilevel"/>
    <w:tmpl w:val="C6508310"/>
    <w:lvl w:ilvl="0" w:tplc="442C9AC4">
      <w:start w:val="9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883458E"/>
    <w:multiLevelType w:val="hybridMultilevel"/>
    <w:tmpl w:val="C1F2EA34"/>
    <w:lvl w:ilvl="0" w:tplc="B31481A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2B84D32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F6A3FD6">
      <w:start w:val="2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0312AD"/>
    <w:multiLevelType w:val="hybridMultilevel"/>
    <w:tmpl w:val="B9129BA2"/>
    <w:lvl w:ilvl="0" w:tplc="6E3A2D4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8BC6C396">
      <w:start w:val="1"/>
      <w:numFmt w:val="decimal"/>
      <w:lvlText w:val="%2、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BA26509"/>
    <w:multiLevelType w:val="hybridMultilevel"/>
    <w:tmpl w:val="D9DC8F52"/>
    <w:lvl w:ilvl="0" w:tplc="0FA6D58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F897FD3"/>
    <w:multiLevelType w:val="hybridMultilevel"/>
    <w:tmpl w:val="31723BA8"/>
    <w:lvl w:ilvl="0" w:tplc="497C7E4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EE7043"/>
    <w:multiLevelType w:val="hybridMultilevel"/>
    <w:tmpl w:val="047E9958"/>
    <w:lvl w:ilvl="0" w:tplc="2E68B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BAE4C02"/>
    <w:multiLevelType w:val="hybridMultilevel"/>
    <w:tmpl w:val="2B20C556"/>
    <w:lvl w:ilvl="0" w:tplc="24620B3A">
      <w:start w:val="1"/>
      <w:numFmt w:val="decimalEnclosedCircle"/>
      <w:lvlText w:val="%1"/>
      <w:lvlJc w:val="left"/>
      <w:pPr>
        <w:ind w:left="780" w:hanging="36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EA73C64"/>
    <w:multiLevelType w:val="hybridMultilevel"/>
    <w:tmpl w:val="567C2570"/>
    <w:lvl w:ilvl="0" w:tplc="DEF86DF8">
      <w:start w:val="1"/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4" w15:restartNumberingAfterBreak="0">
    <w:nsid w:val="7C535F90"/>
    <w:multiLevelType w:val="hybridMultilevel"/>
    <w:tmpl w:val="9654AF70"/>
    <w:lvl w:ilvl="0" w:tplc="418AAB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0CA278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C7"/>
    <w:rsid w:val="00000760"/>
    <w:rsid w:val="00017330"/>
    <w:rsid w:val="00020FEE"/>
    <w:rsid w:val="00021249"/>
    <w:rsid w:val="000217CC"/>
    <w:rsid w:val="00032B42"/>
    <w:rsid w:val="00036C31"/>
    <w:rsid w:val="00040B0B"/>
    <w:rsid w:val="00047460"/>
    <w:rsid w:val="000534FF"/>
    <w:rsid w:val="0005646B"/>
    <w:rsid w:val="000570DC"/>
    <w:rsid w:val="00071393"/>
    <w:rsid w:val="000850E0"/>
    <w:rsid w:val="00090D31"/>
    <w:rsid w:val="0009135D"/>
    <w:rsid w:val="00096403"/>
    <w:rsid w:val="000B616A"/>
    <w:rsid w:val="000B6D71"/>
    <w:rsid w:val="000C0420"/>
    <w:rsid w:val="000C19BA"/>
    <w:rsid w:val="000C4C0C"/>
    <w:rsid w:val="000C52C5"/>
    <w:rsid w:val="000D6EEC"/>
    <w:rsid w:val="000E016E"/>
    <w:rsid w:val="000E03EE"/>
    <w:rsid w:val="000E41FD"/>
    <w:rsid w:val="000E46D1"/>
    <w:rsid w:val="000F3C01"/>
    <w:rsid w:val="00101B6B"/>
    <w:rsid w:val="00101E58"/>
    <w:rsid w:val="001038FD"/>
    <w:rsid w:val="001049D8"/>
    <w:rsid w:val="001224BC"/>
    <w:rsid w:val="00130FB3"/>
    <w:rsid w:val="00133DB5"/>
    <w:rsid w:val="001353F6"/>
    <w:rsid w:val="00151D20"/>
    <w:rsid w:val="00155339"/>
    <w:rsid w:val="00157EA2"/>
    <w:rsid w:val="0016222E"/>
    <w:rsid w:val="001641E0"/>
    <w:rsid w:val="00172591"/>
    <w:rsid w:val="001877B1"/>
    <w:rsid w:val="001D0D0B"/>
    <w:rsid w:val="001E4AF9"/>
    <w:rsid w:val="001F4C14"/>
    <w:rsid w:val="0020392E"/>
    <w:rsid w:val="002339BD"/>
    <w:rsid w:val="002350AC"/>
    <w:rsid w:val="00253294"/>
    <w:rsid w:val="00264E51"/>
    <w:rsid w:val="0029551D"/>
    <w:rsid w:val="00296064"/>
    <w:rsid w:val="00297CCB"/>
    <w:rsid w:val="002C1BE8"/>
    <w:rsid w:val="002C296A"/>
    <w:rsid w:val="002C5F88"/>
    <w:rsid w:val="002D0E08"/>
    <w:rsid w:val="002E6426"/>
    <w:rsid w:val="002F2C8D"/>
    <w:rsid w:val="002F2D8C"/>
    <w:rsid w:val="002F4F0B"/>
    <w:rsid w:val="0030167B"/>
    <w:rsid w:val="00310141"/>
    <w:rsid w:val="00320369"/>
    <w:rsid w:val="00322DBA"/>
    <w:rsid w:val="00340453"/>
    <w:rsid w:val="003464F5"/>
    <w:rsid w:val="00347C77"/>
    <w:rsid w:val="00352BCB"/>
    <w:rsid w:val="00376505"/>
    <w:rsid w:val="00376B2F"/>
    <w:rsid w:val="00381E11"/>
    <w:rsid w:val="00385F13"/>
    <w:rsid w:val="00392FE0"/>
    <w:rsid w:val="003A53BB"/>
    <w:rsid w:val="003B0448"/>
    <w:rsid w:val="003B0604"/>
    <w:rsid w:val="003B11B2"/>
    <w:rsid w:val="003B11C4"/>
    <w:rsid w:val="003B6D9E"/>
    <w:rsid w:val="003C5681"/>
    <w:rsid w:val="003D0493"/>
    <w:rsid w:val="003D3AF0"/>
    <w:rsid w:val="003D6140"/>
    <w:rsid w:val="003D715F"/>
    <w:rsid w:val="003F0D3D"/>
    <w:rsid w:val="003F1393"/>
    <w:rsid w:val="003F7368"/>
    <w:rsid w:val="003F7511"/>
    <w:rsid w:val="0040048E"/>
    <w:rsid w:val="004026EF"/>
    <w:rsid w:val="00404B8E"/>
    <w:rsid w:val="00404D87"/>
    <w:rsid w:val="00406DCD"/>
    <w:rsid w:val="004146FA"/>
    <w:rsid w:val="0042526C"/>
    <w:rsid w:val="0043137E"/>
    <w:rsid w:val="00436D53"/>
    <w:rsid w:val="00450949"/>
    <w:rsid w:val="004511E9"/>
    <w:rsid w:val="00454C50"/>
    <w:rsid w:val="00456D53"/>
    <w:rsid w:val="004641D2"/>
    <w:rsid w:val="00465195"/>
    <w:rsid w:val="0046708E"/>
    <w:rsid w:val="00474BFE"/>
    <w:rsid w:val="004758C4"/>
    <w:rsid w:val="004820FB"/>
    <w:rsid w:val="004845FF"/>
    <w:rsid w:val="00492744"/>
    <w:rsid w:val="004951B3"/>
    <w:rsid w:val="004952AC"/>
    <w:rsid w:val="004B1627"/>
    <w:rsid w:val="004B1C85"/>
    <w:rsid w:val="004B3739"/>
    <w:rsid w:val="004B71A4"/>
    <w:rsid w:val="004C12E4"/>
    <w:rsid w:val="004D5D8B"/>
    <w:rsid w:val="004F7080"/>
    <w:rsid w:val="005006EF"/>
    <w:rsid w:val="0050072E"/>
    <w:rsid w:val="0050536A"/>
    <w:rsid w:val="005107BE"/>
    <w:rsid w:val="00511D07"/>
    <w:rsid w:val="00521B49"/>
    <w:rsid w:val="005307C1"/>
    <w:rsid w:val="00534EC7"/>
    <w:rsid w:val="00585797"/>
    <w:rsid w:val="00590E90"/>
    <w:rsid w:val="00591585"/>
    <w:rsid w:val="00593BFF"/>
    <w:rsid w:val="00594F2B"/>
    <w:rsid w:val="00595098"/>
    <w:rsid w:val="005B60A9"/>
    <w:rsid w:val="005B71F1"/>
    <w:rsid w:val="005C3518"/>
    <w:rsid w:val="005D5F2D"/>
    <w:rsid w:val="005E4E09"/>
    <w:rsid w:val="005F15A9"/>
    <w:rsid w:val="005F229B"/>
    <w:rsid w:val="0060389B"/>
    <w:rsid w:val="00612FEE"/>
    <w:rsid w:val="00614381"/>
    <w:rsid w:val="006317A3"/>
    <w:rsid w:val="00643070"/>
    <w:rsid w:val="0064406A"/>
    <w:rsid w:val="006444E7"/>
    <w:rsid w:val="00651303"/>
    <w:rsid w:val="006529B5"/>
    <w:rsid w:val="00653185"/>
    <w:rsid w:val="00655CFE"/>
    <w:rsid w:val="00664B9B"/>
    <w:rsid w:val="00672FE9"/>
    <w:rsid w:val="00681B40"/>
    <w:rsid w:val="006844DF"/>
    <w:rsid w:val="00696AAE"/>
    <w:rsid w:val="00697323"/>
    <w:rsid w:val="0069776F"/>
    <w:rsid w:val="006B3ABB"/>
    <w:rsid w:val="006B4337"/>
    <w:rsid w:val="006B78C9"/>
    <w:rsid w:val="006C2A3C"/>
    <w:rsid w:val="006C7D25"/>
    <w:rsid w:val="006D3B78"/>
    <w:rsid w:val="006D5C12"/>
    <w:rsid w:val="006E359C"/>
    <w:rsid w:val="006F6D59"/>
    <w:rsid w:val="006F7454"/>
    <w:rsid w:val="00700F95"/>
    <w:rsid w:val="00701E0D"/>
    <w:rsid w:val="00714657"/>
    <w:rsid w:val="00717CD8"/>
    <w:rsid w:val="007229E7"/>
    <w:rsid w:val="007259C2"/>
    <w:rsid w:val="00733881"/>
    <w:rsid w:val="00734314"/>
    <w:rsid w:val="00734864"/>
    <w:rsid w:val="00736E19"/>
    <w:rsid w:val="007423AC"/>
    <w:rsid w:val="007459B0"/>
    <w:rsid w:val="00745D47"/>
    <w:rsid w:val="00751CCA"/>
    <w:rsid w:val="00756FD4"/>
    <w:rsid w:val="007602EB"/>
    <w:rsid w:val="00760F70"/>
    <w:rsid w:val="00760F78"/>
    <w:rsid w:val="00764C7B"/>
    <w:rsid w:val="00772232"/>
    <w:rsid w:val="007767AC"/>
    <w:rsid w:val="00782B9A"/>
    <w:rsid w:val="007870FF"/>
    <w:rsid w:val="007954EA"/>
    <w:rsid w:val="007A341F"/>
    <w:rsid w:val="007A438D"/>
    <w:rsid w:val="007A51E5"/>
    <w:rsid w:val="007A56FB"/>
    <w:rsid w:val="007B1D0B"/>
    <w:rsid w:val="007B444F"/>
    <w:rsid w:val="007C7772"/>
    <w:rsid w:val="007D2DDF"/>
    <w:rsid w:val="007E480A"/>
    <w:rsid w:val="007E6063"/>
    <w:rsid w:val="007E7E36"/>
    <w:rsid w:val="00800E75"/>
    <w:rsid w:val="00803137"/>
    <w:rsid w:val="00814EE5"/>
    <w:rsid w:val="008322D0"/>
    <w:rsid w:val="00832EA1"/>
    <w:rsid w:val="00834BC5"/>
    <w:rsid w:val="00837906"/>
    <w:rsid w:val="008445DE"/>
    <w:rsid w:val="00855980"/>
    <w:rsid w:val="00856D91"/>
    <w:rsid w:val="008729B5"/>
    <w:rsid w:val="0087479E"/>
    <w:rsid w:val="00877228"/>
    <w:rsid w:val="008840A3"/>
    <w:rsid w:val="00884AD7"/>
    <w:rsid w:val="00886A5F"/>
    <w:rsid w:val="00893217"/>
    <w:rsid w:val="008963C2"/>
    <w:rsid w:val="00897A6D"/>
    <w:rsid w:val="008A0338"/>
    <w:rsid w:val="008A2F7F"/>
    <w:rsid w:val="008A635E"/>
    <w:rsid w:val="008A6560"/>
    <w:rsid w:val="008B10A2"/>
    <w:rsid w:val="008C2201"/>
    <w:rsid w:val="008C2CD5"/>
    <w:rsid w:val="008D0241"/>
    <w:rsid w:val="008D61B4"/>
    <w:rsid w:val="008E25B5"/>
    <w:rsid w:val="008F2FA9"/>
    <w:rsid w:val="00910595"/>
    <w:rsid w:val="009211B2"/>
    <w:rsid w:val="0092649C"/>
    <w:rsid w:val="00934F6B"/>
    <w:rsid w:val="009446A2"/>
    <w:rsid w:val="00961296"/>
    <w:rsid w:val="00967C4A"/>
    <w:rsid w:val="009721D7"/>
    <w:rsid w:val="009748A9"/>
    <w:rsid w:val="00975E41"/>
    <w:rsid w:val="00982812"/>
    <w:rsid w:val="00986B61"/>
    <w:rsid w:val="009875A5"/>
    <w:rsid w:val="009A33D1"/>
    <w:rsid w:val="009A7A77"/>
    <w:rsid w:val="009B0CE4"/>
    <w:rsid w:val="009B2449"/>
    <w:rsid w:val="009B3750"/>
    <w:rsid w:val="009B5F9C"/>
    <w:rsid w:val="009C7949"/>
    <w:rsid w:val="009D090F"/>
    <w:rsid w:val="009D4ABA"/>
    <w:rsid w:val="009D50AC"/>
    <w:rsid w:val="009D7FF0"/>
    <w:rsid w:val="009F3620"/>
    <w:rsid w:val="00A02E45"/>
    <w:rsid w:val="00A10272"/>
    <w:rsid w:val="00A10B2E"/>
    <w:rsid w:val="00A20B7D"/>
    <w:rsid w:val="00A32446"/>
    <w:rsid w:val="00A40573"/>
    <w:rsid w:val="00A462D8"/>
    <w:rsid w:val="00A5453E"/>
    <w:rsid w:val="00A80829"/>
    <w:rsid w:val="00A80B6D"/>
    <w:rsid w:val="00A90040"/>
    <w:rsid w:val="00A92284"/>
    <w:rsid w:val="00AA4464"/>
    <w:rsid w:val="00AA4A7F"/>
    <w:rsid w:val="00AB489B"/>
    <w:rsid w:val="00AB49E7"/>
    <w:rsid w:val="00AB4F12"/>
    <w:rsid w:val="00AB70B2"/>
    <w:rsid w:val="00AC1EFF"/>
    <w:rsid w:val="00AC5C1A"/>
    <w:rsid w:val="00AC6D19"/>
    <w:rsid w:val="00AD1147"/>
    <w:rsid w:val="00AD47A5"/>
    <w:rsid w:val="00AF4B2E"/>
    <w:rsid w:val="00AF7AEF"/>
    <w:rsid w:val="00B04AC2"/>
    <w:rsid w:val="00B15790"/>
    <w:rsid w:val="00B167A3"/>
    <w:rsid w:val="00B23C25"/>
    <w:rsid w:val="00B273EB"/>
    <w:rsid w:val="00B27F9A"/>
    <w:rsid w:val="00B534EF"/>
    <w:rsid w:val="00B614A6"/>
    <w:rsid w:val="00B618D8"/>
    <w:rsid w:val="00B6326B"/>
    <w:rsid w:val="00B756AB"/>
    <w:rsid w:val="00B7749C"/>
    <w:rsid w:val="00B90989"/>
    <w:rsid w:val="00B9363C"/>
    <w:rsid w:val="00BB0971"/>
    <w:rsid w:val="00BB28BF"/>
    <w:rsid w:val="00BC2613"/>
    <w:rsid w:val="00BC276E"/>
    <w:rsid w:val="00BC46B8"/>
    <w:rsid w:val="00BC46DB"/>
    <w:rsid w:val="00BD0D22"/>
    <w:rsid w:val="00BD1CE3"/>
    <w:rsid w:val="00BD429E"/>
    <w:rsid w:val="00BD5C43"/>
    <w:rsid w:val="00BE4DEC"/>
    <w:rsid w:val="00BE79CF"/>
    <w:rsid w:val="00BF25FB"/>
    <w:rsid w:val="00C26549"/>
    <w:rsid w:val="00C312C2"/>
    <w:rsid w:val="00C369ED"/>
    <w:rsid w:val="00C44FE4"/>
    <w:rsid w:val="00C46976"/>
    <w:rsid w:val="00C52216"/>
    <w:rsid w:val="00C57BD2"/>
    <w:rsid w:val="00C608F8"/>
    <w:rsid w:val="00C72FDC"/>
    <w:rsid w:val="00C826B3"/>
    <w:rsid w:val="00C84FE7"/>
    <w:rsid w:val="00C925D1"/>
    <w:rsid w:val="00C958AE"/>
    <w:rsid w:val="00CA2592"/>
    <w:rsid w:val="00CA4537"/>
    <w:rsid w:val="00CA7701"/>
    <w:rsid w:val="00CB0A79"/>
    <w:rsid w:val="00CB1E33"/>
    <w:rsid w:val="00CB38AE"/>
    <w:rsid w:val="00CB54C8"/>
    <w:rsid w:val="00CB7E82"/>
    <w:rsid w:val="00CC1F6B"/>
    <w:rsid w:val="00CD0875"/>
    <w:rsid w:val="00CD7725"/>
    <w:rsid w:val="00CE2FD5"/>
    <w:rsid w:val="00CE547C"/>
    <w:rsid w:val="00CE6C8E"/>
    <w:rsid w:val="00CF24AA"/>
    <w:rsid w:val="00D03D61"/>
    <w:rsid w:val="00D06009"/>
    <w:rsid w:val="00D104FA"/>
    <w:rsid w:val="00D15ABE"/>
    <w:rsid w:val="00D33C3B"/>
    <w:rsid w:val="00D342D7"/>
    <w:rsid w:val="00D42D1A"/>
    <w:rsid w:val="00D55C69"/>
    <w:rsid w:val="00D5720F"/>
    <w:rsid w:val="00D81B30"/>
    <w:rsid w:val="00D84A00"/>
    <w:rsid w:val="00D95328"/>
    <w:rsid w:val="00D95773"/>
    <w:rsid w:val="00DC0D0B"/>
    <w:rsid w:val="00DC3FD9"/>
    <w:rsid w:val="00DC4EF4"/>
    <w:rsid w:val="00DD5F05"/>
    <w:rsid w:val="00DE1C1C"/>
    <w:rsid w:val="00DE3C2E"/>
    <w:rsid w:val="00DE5254"/>
    <w:rsid w:val="00DF5D77"/>
    <w:rsid w:val="00DF669F"/>
    <w:rsid w:val="00DF6819"/>
    <w:rsid w:val="00E008AE"/>
    <w:rsid w:val="00E4008F"/>
    <w:rsid w:val="00E42879"/>
    <w:rsid w:val="00E50B1C"/>
    <w:rsid w:val="00E515B4"/>
    <w:rsid w:val="00E65F58"/>
    <w:rsid w:val="00E6640E"/>
    <w:rsid w:val="00E67637"/>
    <w:rsid w:val="00E67E6E"/>
    <w:rsid w:val="00E72347"/>
    <w:rsid w:val="00E73609"/>
    <w:rsid w:val="00E90DE4"/>
    <w:rsid w:val="00E920B5"/>
    <w:rsid w:val="00E93B15"/>
    <w:rsid w:val="00EA2EAB"/>
    <w:rsid w:val="00EA47AD"/>
    <w:rsid w:val="00EB0F3A"/>
    <w:rsid w:val="00EB2B16"/>
    <w:rsid w:val="00EB5CDF"/>
    <w:rsid w:val="00EB6DC9"/>
    <w:rsid w:val="00EE681B"/>
    <w:rsid w:val="00EF62A3"/>
    <w:rsid w:val="00F0499A"/>
    <w:rsid w:val="00F17B51"/>
    <w:rsid w:val="00F207DB"/>
    <w:rsid w:val="00F225F9"/>
    <w:rsid w:val="00F22C14"/>
    <w:rsid w:val="00F331BD"/>
    <w:rsid w:val="00F4071F"/>
    <w:rsid w:val="00F4097F"/>
    <w:rsid w:val="00F40C20"/>
    <w:rsid w:val="00F51431"/>
    <w:rsid w:val="00F57F21"/>
    <w:rsid w:val="00F60335"/>
    <w:rsid w:val="00F61C39"/>
    <w:rsid w:val="00F63D93"/>
    <w:rsid w:val="00F706BB"/>
    <w:rsid w:val="00F70E42"/>
    <w:rsid w:val="00F71CF3"/>
    <w:rsid w:val="00F7681B"/>
    <w:rsid w:val="00F85C28"/>
    <w:rsid w:val="00F970A4"/>
    <w:rsid w:val="00F97CC5"/>
    <w:rsid w:val="00FB0856"/>
    <w:rsid w:val="00FB4B4C"/>
    <w:rsid w:val="00FB50E6"/>
    <w:rsid w:val="00FD3711"/>
    <w:rsid w:val="00FE0070"/>
    <w:rsid w:val="00FE28FB"/>
    <w:rsid w:val="00FE66FE"/>
    <w:rsid w:val="00FF078A"/>
    <w:rsid w:val="00FF525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90DF"/>
  <w15:docId w15:val="{BA858A33-FE67-4CB9-B21B-9EAC0AD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2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2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2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9321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93217"/>
    <w:pPr>
      <w:jc w:val="left"/>
    </w:pPr>
    <w:rPr>
      <w:szCs w:val="24"/>
    </w:rPr>
  </w:style>
  <w:style w:type="character" w:customStyle="1" w:styleId="a9">
    <w:name w:val="批注文字 字符"/>
    <w:basedOn w:val="a0"/>
    <w:link w:val="a8"/>
    <w:uiPriority w:val="99"/>
    <w:semiHidden/>
    <w:rsid w:val="00893217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32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93217"/>
    <w:rPr>
      <w:rFonts w:ascii="Times New Roman" w:eastAsia="宋体" w:hAnsi="Times New Roman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37906"/>
    <w:rPr>
      <w:b/>
      <w:bCs/>
      <w:szCs w:val="20"/>
    </w:rPr>
  </w:style>
  <w:style w:type="character" w:customStyle="1" w:styleId="ad">
    <w:name w:val="批注主题 字符"/>
    <w:basedOn w:val="a9"/>
    <w:link w:val="ac"/>
    <w:uiPriority w:val="99"/>
    <w:semiHidden/>
    <w:rsid w:val="00837906"/>
    <w:rPr>
      <w:rFonts w:ascii="Times New Roman" w:eastAsia="宋体" w:hAnsi="Times New Roman" w:cs="Times New Roman"/>
      <w:b/>
      <w:bCs/>
      <w:szCs w:val="20"/>
    </w:rPr>
  </w:style>
  <w:style w:type="character" w:customStyle="1" w:styleId="ng-binding">
    <w:name w:val="ng-binding"/>
    <w:basedOn w:val="a0"/>
    <w:rsid w:val="002C296A"/>
  </w:style>
  <w:style w:type="paragraph" w:styleId="ae">
    <w:name w:val="List Paragraph"/>
    <w:basedOn w:val="a"/>
    <w:uiPriority w:val="34"/>
    <w:qFormat/>
    <w:rsid w:val="004952AC"/>
    <w:pPr>
      <w:ind w:firstLineChars="200" w:firstLine="420"/>
    </w:pPr>
  </w:style>
  <w:style w:type="paragraph" w:styleId="af">
    <w:name w:val="Revision"/>
    <w:hidden/>
    <w:uiPriority w:val="99"/>
    <w:semiHidden/>
    <w:rsid w:val="00AD47A5"/>
    <w:rPr>
      <w:rFonts w:ascii="Times New Roman" w:eastAsia="宋体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C57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DF68-7BEF-4E9F-A3FC-08FE69096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FC278-BEBC-42A5-B820-CCD868AC3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827DC-EA26-4EAA-8882-A01B9C6A8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90283D-6CA0-4F13-82D7-49B13F6A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王芳[fwang]</dc:creator>
  <cp:lastModifiedBy>庄欢</cp:lastModifiedBy>
  <cp:revision>10</cp:revision>
  <dcterms:created xsi:type="dcterms:W3CDTF">2025-10-14T05:13:00Z</dcterms:created>
  <dcterms:modified xsi:type="dcterms:W3CDTF">2025-10-14T06:47:00Z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</Properties>
</file>