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21A8B">
      <w:pPr>
        <w:spacing w:before="156" w:beforeLines="50" w:after="156" w:afterLines="50" w:line="400" w:lineRule="exact"/>
        <w:rPr>
          <w:rFonts w:ascii="Times New Roman" w:hAnsi="Times New Roman"/>
          <w:bCs/>
          <w:iCs/>
          <w:color w:val="000000"/>
          <w:sz w:val="24"/>
        </w:rPr>
      </w:pPr>
      <w:r>
        <w:rPr>
          <w:rFonts w:hint="eastAsia" w:ascii="Times New Roman" w:hAnsi="Times New Roman"/>
          <w:bCs/>
          <w:iCs/>
          <w:color w:val="000000"/>
          <w:sz w:val="24"/>
        </w:rPr>
        <w:t>证券代码：600</w:t>
      </w:r>
      <w:r>
        <w:rPr>
          <w:rFonts w:ascii="Times New Roman" w:hAnsi="Times New Roman"/>
          <w:bCs/>
          <w:iCs/>
          <w:color w:val="000000"/>
          <w:sz w:val="24"/>
        </w:rPr>
        <w:t>489</w:t>
      </w:r>
      <w:r>
        <w:rPr>
          <w:rFonts w:hint="eastAsia" w:ascii="Times New Roman" w:hAnsi="Times New Roman"/>
          <w:bCs/>
          <w:iCs/>
          <w:color w:val="000000"/>
          <w:sz w:val="24"/>
        </w:rPr>
        <w:t xml:space="preserve">                               </w:t>
      </w:r>
      <w:r>
        <w:rPr>
          <w:rFonts w:ascii="Times New Roman" w:hAnsi="Times New Roman"/>
          <w:bCs/>
          <w:iCs/>
          <w:color w:val="000000"/>
          <w:sz w:val="24"/>
        </w:rPr>
        <w:t xml:space="preserve">    </w:t>
      </w:r>
      <w:r>
        <w:rPr>
          <w:rFonts w:hint="eastAsia" w:ascii="Times New Roman" w:hAnsi="Times New Roman"/>
          <w:bCs/>
          <w:iCs/>
          <w:color w:val="000000"/>
          <w:sz w:val="24"/>
        </w:rPr>
        <w:t>证券简称：中金黄金</w:t>
      </w:r>
    </w:p>
    <w:p w14:paraId="02FE05F5">
      <w:pPr>
        <w:jc w:val="center"/>
        <w:rPr>
          <w:rFonts w:ascii="Times New Roman" w:hAnsi="Times New Roman"/>
          <w:b/>
          <w:bCs/>
          <w:sz w:val="30"/>
          <w:szCs w:val="30"/>
        </w:rPr>
      </w:pPr>
      <w:r>
        <w:rPr>
          <w:rFonts w:hint="eastAsia" w:ascii="Times New Roman" w:hAnsi="Times New Roman"/>
          <w:b/>
          <w:bCs/>
          <w:sz w:val="30"/>
          <w:szCs w:val="30"/>
        </w:rPr>
        <w:t>中金黄金股份有限公司投资者关系活动记录表</w:t>
      </w:r>
    </w:p>
    <w:p w14:paraId="4ABCD409">
      <w:pPr>
        <w:spacing w:line="400" w:lineRule="exact"/>
        <w:rPr>
          <w:rFonts w:ascii="Times New Roman" w:hAnsi="Times New Roman"/>
          <w:bCs/>
          <w:iCs/>
          <w:color w:val="000000"/>
          <w:sz w:val="24"/>
        </w:rPr>
      </w:pPr>
      <w:r>
        <w:rPr>
          <w:rFonts w:hint="eastAsia" w:ascii="Times New Roman" w:hAnsi="Times New Roman"/>
          <w:bCs/>
          <w:iCs/>
          <w:color w:val="000000"/>
          <w:sz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5CF2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6B819FD">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投资者关系活动类别</w:t>
            </w:r>
          </w:p>
          <w:p w14:paraId="25BEB3B1">
            <w:pPr>
              <w:spacing w:line="360" w:lineRule="auto"/>
              <w:rPr>
                <w:rFonts w:ascii="Times New Roman" w:hAnsi="Times New Roman"/>
                <w:b/>
                <w:bCs/>
                <w:iCs/>
                <w:color w:val="000000"/>
                <w:sz w:val="24"/>
                <w:szCs w:val="24"/>
              </w:rPr>
            </w:pP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3C9FCCAE">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w:t>
            </w:r>
            <w:r>
              <w:rPr>
                <w:rFonts w:hint="eastAsia" w:ascii="Times New Roman" w:hAnsi="Times New Roman"/>
                <w:sz w:val="24"/>
                <w:szCs w:val="24"/>
              </w:rPr>
              <w:t xml:space="preserve">特定对象调研       </w:t>
            </w:r>
            <w:r>
              <w:rPr>
                <w:rFonts w:ascii="Times New Roman" w:hAnsi="Times New Roman"/>
                <w:sz w:val="24"/>
                <w:szCs w:val="24"/>
              </w:rPr>
              <w:t xml:space="preserve"> </w:t>
            </w:r>
            <w:r>
              <w:rPr>
                <w:rFonts w:hint="eastAsia" w:ascii="Times New Roman" w:hAnsi="Times New Roman"/>
                <w:bCs/>
                <w:iCs/>
                <w:color w:val="000000"/>
                <w:sz w:val="24"/>
                <w:szCs w:val="24"/>
              </w:rPr>
              <w:t>□</w:t>
            </w:r>
            <w:r>
              <w:rPr>
                <w:rFonts w:hint="eastAsia" w:ascii="Times New Roman" w:hAnsi="Times New Roman"/>
                <w:sz w:val="24"/>
                <w:szCs w:val="24"/>
              </w:rPr>
              <w:t>分析师会议</w:t>
            </w:r>
          </w:p>
          <w:p w14:paraId="2694C818">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w:t>
            </w:r>
            <w:r>
              <w:rPr>
                <w:rFonts w:hint="eastAsia" w:ascii="Times New Roman" w:hAnsi="Times New Roman"/>
                <w:sz w:val="24"/>
                <w:szCs w:val="24"/>
              </w:rPr>
              <w:t xml:space="preserve">媒体采访            </w:t>
            </w:r>
            <w:r>
              <w:rPr>
                <w:rFonts w:hint="eastAsia" w:ascii="Times New Roman" w:hAnsi="Times New Roman"/>
                <w:bCs/>
                <w:iCs/>
                <w:color w:val="000000"/>
                <w:sz w:val="24"/>
                <w:szCs w:val="24"/>
              </w:rPr>
              <w:sym w:font="Wingdings 2" w:char="0052"/>
            </w:r>
            <w:r>
              <w:rPr>
                <w:rFonts w:hint="eastAsia" w:ascii="Times New Roman" w:hAnsi="Times New Roman"/>
                <w:sz w:val="24"/>
                <w:szCs w:val="24"/>
              </w:rPr>
              <w:t>业绩说明会</w:t>
            </w:r>
          </w:p>
          <w:p w14:paraId="5EE33868">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w:t>
            </w:r>
            <w:r>
              <w:rPr>
                <w:rFonts w:hint="eastAsia" w:ascii="Times New Roman" w:hAnsi="Times New Roman"/>
                <w:sz w:val="24"/>
                <w:szCs w:val="24"/>
              </w:rPr>
              <w:t xml:space="preserve">新闻发布会          </w:t>
            </w:r>
            <w:r>
              <w:rPr>
                <w:rFonts w:hint="eastAsia" w:ascii="Times New Roman" w:hAnsi="Times New Roman"/>
                <w:bCs/>
                <w:iCs/>
                <w:color w:val="000000"/>
                <w:sz w:val="24"/>
                <w:szCs w:val="24"/>
              </w:rPr>
              <w:t>□</w:t>
            </w:r>
            <w:r>
              <w:rPr>
                <w:rFonts w:hint="eastAsia" w:ascii="Times New Roman" w:hAnsi="Times New Roman"/>
                <w:sz w:val="24"/>
                <w:szCs w:val="24"/>
              </w:rPr>
              <w:t>路演活动</w:t>
            </w:r>
          </w:p>
          <w:p w14:paraId="45214FA8">
            <w:pPr>
              <w:tabs>
                <w:tab w:val="left" w:pos="3045"/>
                <w:tab w:val="center" w:pos="3199"/>
              </w:tabs>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w:t>
            </w:r>
            <w:r>
              <w:rPr>
                <w:rFonts w:hint="eastAsia" w:ascii="Times New Roman" w:hAnsi="Times New Roman"/>
                <w:sz w:val="24"/>
                <w:szCs w:val="24"/>
              </w:rPr>
              <w:t>现场参观</w:t>
            </w:r>
            <w:r>
              <w:rPr>
                <w:rFonts w:hint="eastAsia" w:ascii="Times New Roman" w:hAnsi="Times New Roman"/>
                <w:bCs/>
                <w:iCs/>
                <w:color w:val="000000"/>
                <w:sz w:val="24"/>
                <w:szCs w:val="24"/>
              </w:rPr>
              <w:tab/>
            </w:r>
          </w:p>
          <w:p w14:paraId="50E4E9FD">
            <w:pPr>
              <w:tabs>
                <w:tab w:val="center" w:pos="3199"/>
              </w:tabs>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w:t>
            </w:r>
            <w:r>
              <w:rPr>
                <w:rFonts w:hint="eastAsia" w:ascii="Times New Roman" w:hAnsi="Times New Roman"/>
                <w:sz w:val="24"/>
                <w:szCs w:val="24"/>
              </w:rPr>
              <w:t xml:space="preserve">其他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w:t>
            </w:r>
          </w:p>
        </w:tc>
      </w:tr>
      <w:tr w14:paraId="55B5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5FBABA8">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参与单位名称及人员姓名</w:t>
            </w:r>
          </w:p>
        </w:tc>
        <w:tc>
          <w:tcPr>
            <w:tcW w:w="6316" w:type="dxa"/>
            <w:tcBorders>
              <w:top w:val="single" w:color="auto" w:sz="4" w:space="0"/>
              <w:left w:val="single" w:color="auto" w:sz="4" w:space="0"/>
              <w:bottom w:val="single" w:color="auto" w:sz="4" w:space="0"/>
              <w:right w:val="single" w:color="auto" w:sz="4" w:space="0"/>
            </w:tcBorders>
            <w:shd w:val="clear" w:color="auto" w:fill="auto"/>
            <w:vAlign w:val="center"/>
          </w:tcPr>
          <w:p w14:paraId="1D95A2ED">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参与公司202</w:t>
            </w:r>
            <w:r>
              <w:rPr>
                <w:rFonts w:hint="default" w:ascii="Times New Roman" w:hAnsi="Times New Roman"/>
                <w:bCs/>
                <w:iCs/>
                <w:color w:val="000000"/>
                <w:sz w:val="24"/>
                <w:szCs w:val="24"/>
                <w:lang w:val="en-US" w:eastAsia="zh-CN"/>
              </w:rPr>
              <w:t>5</w:t>
            </w:r>
            <w:r>
              <w:rPr>
                <w:rFonts w:hint="eastAsia" w:ascii="Times New Roman" w:hAnsi="Times New Roman"/>
                <w:bCs/>
                <w:iCs/>
                <w:color w:val="000000"/>
                <w:sz w:val="24"/>
                <w:szCs w:val="24"/>
              </w:rPr>
              <w:t>年半年度业绩说明会的投资者</w:t>
            </w:r>
          </w:p>
        </w:tc>
      </w:tr>
      <w:tr w14:paraId="4BB2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52B6C39">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时间</w:t>
            </w: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0110574B">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202</w:t>
            </w:r>
            <w:r>
              <w:rPr>
                <w:rFonts w:hint="default" w:ascii="Times New Roman" w:hAnsi="Times New Roman"/>
                <w:bCs/>
                <w:iCs/>
                <w:color w:val="000000"/>
                <w:sz w:val="24"/>
                <w:szCs w:val="24"/>
                <w:lang w:val="en-US" w:eastAsia="zh-CN"/>
              </w:rPr>
              <w:t>5</w:t>
            </w:r>
            <w:r>
              <w:rPr>
                <w:rFonts w:hint="eastAsia" w:ascii="Times New Roman" w:hAnsi="Times New Roman"/>
                <w:bCs/>
                <w:iCs/>
                <w:color w:val="000000"/>
                <w:sz w:val="24"/>
                <w:szCs w:val="24"/>
              </w:rPr>
              <w:t>年</w:t>
            </w:r>
            <w:r>
              <w:rPr>
                <w:rFonts w:hint="default" w:ascii="Times New Roman" w:hAnsi="Times New Roman"/>
                <w:bCs/>
                <w:iCs/>
                <w:color w:val="000000"/>
                <w:sz w:val="24"/>
                <w:szCs w:val="24"/>
                <w:lang w:val="en-US"/>
              </w:rPr>
              <w:t>10</w:t>
            </w:r>
            <w:r>
              <w:rPr>
                <w:rFonts w:hint="eastAsia" w:ascii="Times New Roman" w:hAnsi="Times New Roman"/>
                <w:bCs/>
                <w:iCs/>
                <w:color w:val="000000"/>
                <w:sz w:val="24"/>
                <w:szCs w:val="24"/>
              </w:rPr>
              <w:t>月</w:t>
            </w:r>
            <w:r>
              <w:rPr>
                <w:rFonts w:hint="eastAsia" w:ascii="Times New Roman" w:hAnsi="Times New Roman"/>
                <w:bCs/>
                <w:iCs/>
                <w:color w:val="000000"/>
                <w:sz w:val="24"/>
                <w:szCs w:val="24"/>
                <w:lang w:val="en-US" w:eastAsia="zh-CN"/>
              </w:rPr>
              <w:t>1</w:t>
            </w:r>
            <w:r>
              <w:rPr>
                <w:rFonts w:hint="default" w:ascii="Times New Roman" w:hAnsi="Times New Roman"/>
                <w:bCs/>
                <w:iCs/>
                <w:color w:val="000000"/>
                <w:sz w:val="24"/>
                <w:szCs w:val="24"/>
                <w:lang w:val="en-US" w:eastAsia="zh-CN"/>
              </w:rPr>
              <w:t>5</w:t>
            </w:r>
            <w:r>
              <w:rPr>
                <w:rFonts w:hint="eastAsia" w:ascii="Times New Roman" w:hAnsi="Times New Roman"/>
                <w:bCs/>
                <w:iCs/>
                <w:color w:val="000000"/>
                <w:sz w:val="24"/>
                <w:szCs w:val="24"/>
              </w:rPr>
              <w:t>日(星期</w:t>
            </w:r>
            <w:r>
              <w:rPr>
                <w:rFonts w:hint="eastAsia" w:ascii="Times New Roman" w:hAnsi="Times New Roman"/>
                <w:bCs/>
                <w:iCs/>
                <w:color w:val="000000"/>
                <w:sz w:val="24"/>
                <w:szCs w:val="24"/>
                <w:lang w:val="en-US" w:eastAsia="zh-CN"/>
              </w:rPr>
              <w:t>三</w:t>
            </w:r>
            <w:r>
              <w:rPr>
                <w:rFonts w:hint="eastAsia" w:ascii="Times New Roman" w:hAnsi="Times New Roman"/>
                <w:bCs/>
                <w:iCs/>
                <w:color w:val="000000"/>
                <w:sz w:val="24"/>
                <w:szCs w:val="24"/>
              </w:rPr>
              <w:t>)上午</w:t>
            </w:r>
            <w:r>
              <w:rPr>
                <w:rFonts w:hint="eastAsia" w:ascii="Times New Roman" w:hAnsi="Times New Roman"/>
                <w:bCs/>
                <w:iCs/>
                <w:color w:val="000000"/>
                <w:sz w:val="24"/>
                <w:szCs w:val="24"/>
                <w:lang w:val="en-US" w:eastAsia="zh-CN"/>
              </w:rPr>
              <w:t>9</w:t>
            </w:r>
            <w:r>
              <w:rPr>
                <w:rFonts w:hint="eastAsia" w:ascii="Times New Roman" w:hAnsi="Times New Roman"/>
                <w:bCs/>
                <w:iCs/>
                <w:color w:val="000000"/>
                <w:sz w:val="24"/>
                <w:szCs w:val="24"/>
              </w:rPr>
              <w:t>:00-1</w:t>
            </w:r>
            <w:r>
              <w:rPr>
                <w:rFonts w:hint="eastAsia" w:ascii="Times New Roman" w:hAnsi="Times New Roman"/>
                <w:bCs/>
                <w:iCs/>
                <w:color w:val="000000"/>
                <w:sz w:val="24"/>
                <w:szCs w:val="24"/>
                <w:lang w:val="en-US" w:eastAsia="zh-CN"/>
              </w:rPr>
              <w:t>0</w:t>
            </w:r>
            <w:r>
              <w:rPr>
                <w:rFonts w:hint="eastAsia" w:ascii="Times New Roman" w:hAnsi="Times New Roman"/>
                <w:bCs/>
                <w:iCs/>
                <w:color w:val="000000"/>
                <w:sz w:val="24"/>
                <w:szCs w:val="24"/>
              </w:rPr>
              <w:t>:00</w:t>
            </w:r>
          </w:p>
        </w:tc>
      </w:tr>
      <w:tr w14:paraId="09AD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414A6F9">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地点</w:t>
            </w: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05231319">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上海证券交易所上证路演中心（网址：http://roadshow.sseinfo.com/）</w:t>
            </w:r>
          </w:p>
        </w:tc>
      </w:tr>
      <w:tr w14:paraId="12DE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40DEE9F">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上市公司接待人员姓名</w:t>
            </w: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2A7F53A7">
            <w:pPr>
              <w:spacing w:line="360" w:lineRule="auto"/>
              <w:rPr>
                <w:rFonts w:hint="eastAsia" w:ascii="Times New Roman" w:hAnsi="Times New Roman"/>
                <w:bCs/>
                <w:iCs/>
                <w:color w:val="000000"/>
                <w:sz w:val="24"/>
                <w:szCs w:val="24"/>
              </w:rPr>
            </w:pPr>
            <w:r>
              <w:rPr>
                <w:rFonts w:hint="eastAsia" w:ascii="Times New Roman" w:hAnsi="Times New Roman"/>
                <w:bCs/>
                <w:iCs/>
                <w:color w:val="000000"/>
                <w:sz w:val="24"/>
                <w:szCs w:val="24"/>
              </w:rPr>
              <w:t>董事长：周洲；</w:t>
            </w:r>
          </w:p>
          <w:p w14:paraId="2CE0B2F5">
            <w:pPr>
              <w:spacing w:line="360" w:lineRule="auto"/>
              <w:rPr>
                <w:rFonts w:hint="eastAsia" w:ascii="Times New Roman" w:hAnsi="Times New Roman"/>
                <w:bCs/>
                <w:iCs/>
                <w:color w:val="000000"/>
                <w:sz w:val="24"/>
                <w:szCs w:val="24"/>
              </w:rPr>
            </w:pPr>
            <w:r>
              <w:rPr>
                <w:rFonts w:hint="eastAsia" w:ascii="Times New Roman" w:hAnsi="Times New Roman"/>
                <w:bCs/>
                <w:iCs/>
                <w:color w:val="000000"/>
                <w:sz w:val="24"/>
                <w:szCs w:val="24"/>
              </w:rPr>
              <w:t>党委书记、副董事长、总经理：贺小庆；</w:t>
            </w:r>
          </w:p>
          <w:p w14:paraId="4267D0F0">
            <w:pPr>
              <w:spacing w:line="360" w:lineRule="auto"/>
              <w:rPr>
                <w:rFonts w:hint="eastAsia" w:ascii="Times New Roman" w:hAnsi="Times New Roman"/>
                <w:bCs/>
                <w:iCs/>
                <w:color w:val="000000"/>
                <w:sz w:val="24"/>
                <w:szCs w:val="24"/>
              </w:rPr>
            </w:pPr>
            <w:r>
              <w:rPr>
                <w:rFonts w:hint="eastAsia" w:ascii="Times New Roman" w:hAnsi="Times New Roman"/>
                <w:bCs/>
                <w:iCs/>
                <w:color w:val="000000"/>
                <w:sz w:val="24"/>
                <w:szCs w:val="24"/>
              </w:rPr>
              <w:t>党委副书记、董事、常务副总经理：苏志远；</w:t>
            </w:r>
          </w:p>
          <w:p w14:paraId="70DA0945">
            <w:pPr>
              <w:spacing w:line="360" w:lineRule="auto"/>
              <w:rPr>
                <w:rFonts w:hint="eastAsia" w:ascii="Times New Roman" w:hAnsi="Times New Roman"/>
                <w:bCs/>
                <w:iCs/>
                <w:color w:val="000000"/>
                <w:sz w:val="24"/>
                <w:szCs w:val="24"/>
              </w:rPr>
            </w:pPr>
            <w:r>
              <w:rPr>
                <w:rFonts w:hint="eastAsia" w:ascii="Times New Roman" w:hAnsi="Times New Roman"/>
                <w:bCs/>
                <w:iCs/>
                <w:color w:val="000000"/>
                <w:sz w:val="24"/>
                <w:szCs w:val="24"/>
              </w:rPr>
              <w:t>独立董事：周连碧；</w:t>
            </w:r>
          </w:p>
          <w:p w14:paraId="7EC649C0">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党委委员、总会计师：李宏斌。</w:t>
            </w:r>
          </w:p>
        </w:tc>
      </w:tr>
      <w:tr w14:paraId="75A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0D48BD4">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投资者关系活动主要内容介绍</w:t>
            </w:r>
          </w:p>
          <w:p w14:paraId="0D3D7432">
            <w:pPr>
              <w:spacing w:line="360" w:lineRule="auto"/>
              <w:rPr>
                <w:rFonts w:ascii="Times New Roman" w:hAnsi="Times New Roman"/>
                <w:b/>
                <w:bCs/>
                <w:iCs/>
                <w:color w:val="000000"/>
                <w:sz w:val="24"/>
                <w:szCs w:val="24"/>
              </w:rPr>
            </w:pP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070FB17B">
            <w:pPr>
              <w:adjustRightInd w:val="0"/>
              <w:snapToGrid w:val="0"/>
              <w:spacing w:line="360" w:lineRule="auto"/>
              <w:ind w:firstLine="480" w:firstLineChars="200"/>
              <w:rPr>
                <w:rFonts w:hint="eastAsia" w:ascii="Times New Roman" w:hAnsi="Times New Roman"/>
                <w:sz w:val="24"/>
              </w:rPr>
            </w:pPr>
            <w:r>
              <w:rPr>
                <w:rFonts w:hint="eastAsia" w:ascii="Times New Roman" w:hAnsi="Times New Roman"/>
                <w:sz w:val="24"/>
              </w:rPr>
              <w:t>公司于</w:t>
            </w:r>
            <w:r>
              <w:rPr>
                <w:rFonts w:hint="eastAsia" w:ascii="Times New Roman" w:hAnsi="Times New Roman"/>
                <w:bCs/>
                <w:iCs/>
                <w:color w:val="000000"/>
                <w:sz w:val="24"/>
                <w:szCs w:val="24"/>
              </w:rPr>
              <w:t>202</w:t>
            </w:r>
            <w:r>
              <w:rPr>
                <w:rFonts w:hint="default" w:ascii="Times New Roman" w:hAnsi="Times New Roman"/>
                <w:bCs/>
                <w:iCs/>
                <w:color w:val="000000"/>
                <w:sz w:val="24"/>
                <w:szCs w:val="24"/>
                <w:lang w:val="en-US" w:eastAsia="zh-CN"/>
              </w:rPr>
              <w:t>5</w:t>
            </w:r>
            <w:r>
              <w:rPr>
                <w:rFonts w:hint="eastAsia" w:ascii="Times New Roman" w:hAnsi="Times New Roman"/>
                <w:bCs/>
                <w:iCs/>
                <w:color w:val="000000"/>
                <w:sz w:val="24"/>
                <w:szCs w:val="24"/>
              </w:rPr>
              <w:t>年</w:t>
            </w:r>
            <w:r>
              <w:rPr>
                <w:rFonts w:hint="default" w:ascii="Times New Roman" w:hAnsi="Times New Roman"/>
                <w:bCs/>
                <w:iCs/>
                <w:color w:val="000000"/>
                <w:sz w:val="24"/>
                <w:szCs w:val="24"/>
                <w:lang w:val="en-US"/>
              </w:rPr>
              <w:t>10</w:t>
            </w:r>
            <w:r>
              <w:rPr>
                <w:rFonts w:hint="eastAsia" w:ascii="Times New Roman" w:hAnsi="Times New Roman"/>
                <w:bCs/>
                <w:iCs/>
                <w:color w:val="000000"/>
                <w:sz w:val="24"/>
                <w:szCs w:val="24"/>
              </w:rPr>
              <w:t>月</w:t>
            </w:r>
            <w:r>
              <w:rPr>
                <w:rFonts w:hint="eastAsia" w:ascii="Times New Roman" w:hAnsi="Times New Roman"/>
                <w:bCs/>
                <w:iCs/>
                <w:color w:val="000000"/>
                <w:sz w:val="24"/>
                <w:szCs w:val="24"/>
                <w:lang w:val="en-US" w:eastAsia="zh-CN"/>
              </w:rPr>
              <w:t>1</w:t>
            </w:r>
            <w:r>
              <w:rPr>
                <w:rFonts w:hint="default" w:ascii="Times New Roman" w:hAnsi="Times New Roman"/>
                <w:bCs/>
                <w:iCs/>
                <w:color w:val="000000"/>
                <w:sz w:val="24"/>
                <w:szCs w:val="24"/>
                <w:lang w:val="en-US" w:eastAsia="zh-CN"/>
              </w:rPr>
              <w:t>5</w:t>
            </w:r>
            <w:r>
              <w:rPr>
                <w:rFonts w:hint="eastAsia" w:ascii="Times New Roman" w:hAnsi="Times New Roman"/>
                <w:bCs/>
                <w:iCs/>
                <w:color w:val="000000"/>
                <w:sz w:val="24"/>
                <w:szCs w:val="24"/>
              </w:rPr>
              <w:t>日(星期</w:t>
            </w:r>
            <w:r>
              <w:rPr>
                <w:rFonts w:hint="eastAsia" w:ascii="Times New Roman" w:hAnsi="Times New Roman"/>
                <w:bCs/>
                <w:iCs/>
                <w:color w:val="000000"/>
                <w:sz w:val="24"/>
                <w:szCs w:val="24"/>
                <w:lang w:val="en-US" w:eastAsia="zh-CN"/>
              </w:rPr>
              <w:t>三</w:t>
            </w:r>
            <w:r>
              <w:rPr>
                <w:rFonts w:hint="eastAsia" w:ascii="Times New Roman" w:hAnsi="Times New Roman"/>
                <w:bCs/>
                <w:iCs/>
                <w:color w:val="000000"/>
                <w:sz w:val="24"/>
                <w:szCs w:val="24"/>
              </w:rPr>
              <w:t>)上午</w:t>
            </w:r>
            <w:r>
              <w:rPr>
                <w:rFonts w:hint="eastAsia" w:ascii="Times New Roman" w:hAnsi="Times New Roman"/>
                <w:bCs/>
                <w:iCs/>
                <w:color w:val="000000"/>
                <w:sz w:val="24"/>
                <w:szCs w:val="24"/>
                <w:lang w:val="en-US" w:eastAsia="zh-CN"/>
              </w:rPr>
              <w:t>9</w:t>
            </w:r>
            <w:r>
              <w:rPr>
                <w:rFonts w:hint="eastAsia" w:ascii="Times New Roman" w:hAnsi="Times New Roman"/>
                <w:bCs/>
                <w:iCs/>
                <w:color w:val="000000"/>
                <w:sz w:val="24"/>
                <w:szCs w:val="24"/>
              </w:rPr>
              <w:t>:00-1</w:t>
            </w:r>
            <w:r>
              <w:rPr>
                <w:rFonts w:hint="eastAsia" w:ascii="Times New Roman" w:hAnsi="Times New Roman"/>
                <w:bCs/>
                <w:iCs/>
                <w:color w:val="000000"/>
                <w:sz w:val="24"/>
                <w:szCs w:val="24"/>
                <w:lang w:val="en-US" w:eastAsia="zh-CN"/>
              </w:rPr>
              <w:t>0</w:t>
            </w:r>
            <w:r>
              <w:rPr>
                <w:rFonts w:hint="eastAsia" w:ascii="Times New Roman" w:hAnsi="Times New Roman"/>
                <w:bCs/>
                <w:iCs/>
                <w:color w:val="000000"/>
                <w:sz w:val="24"/>
                <w:szCs w:val="24"/>
              </w:rPr>
              <w:t>:00</w:t>
            </w:r>
            <w:r>
              <w:rPr>
                <w:rFonts w:hint="eastAsia" w:ascii="Times New Roman" w:hAnsi="Times New Roman"/>
                <w:sz w:val="24"/>
              </w:rPr>
              <w:t>通过上海证券交易所上证路演中心（网址：http://roadshow.sseinfo.com/）以网络文字互动直播的形式召开202</w:t>
            </w:r>
            <w:r>
              <w:rPr>
                <w:rFonts w:hint="default" w:ascii="Times New Roman" w:hAnsi="Times New Roman"/>
                <w:sz w:val="24"/>
                <w:lang w:val="en-US" w:eastAsia="zh-CN"/>
              </w:rPr>
              <w:t>5</w:t>
            </w:r>
            <w:r>
              <w:rPr>
                <w:rFonts w:hint="eastAsia" w:ascii="Times New Roman" w:hAnsi="Times New Roman"/>
                <w:sz w:val="24"/>
              </w:rPr>
              <w:t>年半年度业绩说明会，就投资者关心的问题进行交流。主要问题及公司回复如下：</w:t>
            </w:r>
          </w:p>
          <w:p w14:paraId="5B039A65">
            <w:pPr>
              <w:adjustRightInd w:val="0"/>
              <w:snapToGrid w:val="0"/>
              <w:spacing w:line="360" w:lineRule="auto"/>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会前征集：</w:t>
            </w:r>
          </w:p>
          <w:p w14:paraId="5FBF5162">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1.尊敬的 中金黄金管理层，您好！作为关注公司长期成长的青年专业投资者，注意到2025年半年报中公司归母净利润同比增长54.64%至26.95亿元，毛利率提升至18.63%，业绩表现亮眼。但考虑到黄金行业高度依赖金价波动，且公司核心增长动力之一的纱岭金矿项目仍在建设中（当前进度45%），请问：未来三年若国际金价出现超预期下跌（例如回落至2023年水平），公司如何确保业绩稳定性？具体而言，是否会通过加速纱岭金矿投产进度、深化降本增效措施（如数字化矿山建设）或拓展高毛利副产品（如铜、钼等）业务来对冲金价风险？同时，针对纱岭金矿2026年投产的关键节点，公司如何保障建设资金充足性与项目按时达产，避免因延期导致业绩释放滞后？</w:t>
            </w:r>
          </w:p>
          <w:p w14:paraId="7F71768A">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答：尊敬的投资者，您好。公司将始终坚持加强生产组织管理、实施探矿增储、推进优质资产注入、抓好降本增效、推进科技创新等，努力提升公司业绩。感谢您对公司的关注。</w:t>
            </w:r>
          </w:p>
          <w:p w14:paraId="533015C3">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2.一、</w:t>
            </w:r>
            <w:bookmarkStart w:id="0" w:name="_GoBack"/>
            <w:bookmarkEnd w:id="0"/>
            <w:r>
              <w:rPr>
                <w:rFonts w:hint="eastAsia" w:ascii="Times New Roman" w:hAnsi="Times New Roman"/>
                <w:sz w:val="24"/>
                <w:lang w:val="en"/>
              </w:rPr>
              <w:t>2024年报第202页显示陕西久盛矿业已经初步恢复生产经营，现在1年已经快要过去了，想了解一下久盛项目的复产情况。 1、金龙山矿区金矿资源量有多少？产能情况如何？达产计划如何安排？ 2、东沟矿区金矿资源量有多少？是否还有探矿权？产能情况如何？达产计划如何安排？ 3、未来是否有在东沟选矿厂3000吨/日的基础上进行扩产的计划？ 4、东沟和金龙山矿区属于西秦岭成矿带，进一步探矿潜力如何？ 二、广西凤山金牙金矿，公司23年就已经开始着手复产复工，现在金牙金矿资源量有多少？计划产能情况如何？大约什么时候能够达产？ 三、黑龙江乌拉嘎金矿，8月份国家林草局已经调整了新青白头鹤自然保护区与乌拉嘎金矿的重叠范围，乌拉嘎金矿是否已经开始着手安排复工复产？计划产能情况如何？大约什么时候能够达产？ 四、新疆托里县金福项目，19年8月停产至今，后续是否会有复产复工的安排？ 五、潼关中金黄金矿业23年9月停产至今，是否会有复产复工的安排？进展如何？</w:t>
            </w:r>
          </w:p>
          <w:p w14:paraId="713B7144">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答：尊敬的投资者，您好。相关企业资源量、产量相关数据已在年报中披露。组织正常生产工作根据各自不同情况积极推进。感谢您对公司的关注。</w:t>
            </w:r>
          </w:p>
          <w:p w14:paraId="699CB65E">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3.六、2024年度董事会工作报告提出要完善企业资源并购运行机制，加快湖北，江西，甘肃等区域资源的整合进度。关于这项工作，请公司能否介绍一下目前的具体进展？特别是湖北省进展情况如何？ 七、作为投资者注意到中国黄金集团在大力打造资源基地建设，请问中金黄金目前有哪几个矿区列入集团的资源基地建设？ 八、前几个月，国家九部委联合发布了《黄金产业高质量发展实施方案》，提出支持山东，甘肃，河南，辽宁，吉林，贵州等重点黄金矿区资源整合，引导“多、小、散”矿体建设“区域矿山”，作为投资者，注意到这几个重点省区中的甘肃、辽宁、吉林、贵州，集团或公司都有所动作。另外，山东和河南这两个重点产金大省，是否公司会重点参与后续资源整合？ 九、前几个月，国家九部委联合发布了《黄金产业高质量发展实施方案》，提出重点开发矿山35处，其中涉及公司的有山东纱岭、江西金山、内蒙鑫达、内蒙金陶、内蒙金曦5处。请问公司这5处矿山除了纱岭在建，其它4处矿山目前基本都在着手扩产，能不能具体介绍一下扩产进展？</w:t>
            </w:r>
          </w:p>
          <w:p w14:paraId="50DDABA2">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答：尊敬的投资者，您好。截至目前，公司未有应披露而未披露的重大事项。公司将落实相关政策，积极参与地方资源整合。感谢您对公司的关注。</w:t>
            </w:r>
          </w:p>
          <w:p w14:paraId="54B46DA1">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4.请问控股公司参股的大东沟金矿，控股公司能否进一步争取拿到或收购到更多的大东沟金矿股份并注入上市公司？</w:t>
            </w:r>
          </w:p>
          <w:p w14:paraId="393F130D">
            <w:pPr>
              <w:adjustRightInd w:val="0"/>
              <w:snapToGrid w:val="0"/>
              <w:spacing w:line="360" w:lineRule="auto"/>
              <w:ind w:firstLine="480" w:firstLineChars="200"/>
              <w:rPr>
                <w:rFonts w:hint="eastAsia" w:ascii="Times New Roman" w:hAnsi="Times New Roman"/>
                <w:sz w:val="24"/>
                <w:lang w:val="en"/>
              </w:rPr>
            </w:pPr>
            <w:r>
              <w:rPr>
                <w:rFonts w:hint="eastAsia" w:ascii="Times New Roman" w:hAnsi="Times New Roman"/>
                <w:sz w:val="24"/>
                <w:lang w:val="en"/>
              </w:rPr>
              <w:t>答：尊敬的投资者，您好。截至目前，公司未有应披露而未披露的重大事项。感谢您对公司的关注。</w:t>
            </w:r>
          </w:p>
          <w:p w14:paraId="46E5481D">
            <w:pPr>
              <w:adjustRightInd w:val="0"/>
              <w:snapToGrid w:val="0"/>
              <w:spacing w:line="360" w:lineRule="auto"/>
              <w:ind w:firstLine="480" w:firstLineChars="200"/>
              <w:rPr>
                <w:rFonts w:hint="eastAsia" w:ascii="Times New Roman" w:hAnsi="Times New Roman"/>
                <w:sz w:val="24"/>
                <w:lang w:val="en-US" w:eastAsia="zh-CN"/>
              </w:rPr>
            </w:pPr>
            <w:r>
              <w:rPr>
                <w:rFonts w:hint="eastAsia" w:ascii="Times New Roman" w:hAnsi="Times New Roman"/>
                <w:sz w:val="24"/>
                <w:lang w:val="en-US" w:eastAsia="zh-CN"/>
              </w:rPr>
              <w:t>现场互动：</w:t>
            </w:r>
          </w:p>
          <w:p w14:paraId="7508A4EE">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1.</w:t>
            </w:r>
            <w:r>
              <w:rPr>
                <w:rFonts w:hint="default" w:ascii="Times New Roman" w:hAnsi="Times New Roman"/>
                <w:sz w:val="24"/>
                <w:lang w:val="en-US" w:eastAsia="zh-CN"/>
              </w:rPr>
              <w:t>请问周董，前三季度归母净利润预期多少，会提前预披露吗？</w:t>
            </w:r>
          </w:p>
          <w:p w14:paraId="6195BFD8">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尊敬的投资者，您好。公司将在10月30日披露第三季度报告。感谢您对公司的关注。</w:t>
            </w:r>
          </w:p>
          <w:p w14:paraId="4FB7BE47">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2.</w:t>
            </w:r>
            <w:r>
              <w:rPr>
                <w:rFonts w:hint="default" w:ascii="Times New Roman" w:hAnsi="Times New Roman"/>
                <w:sz w:val="24"/>
                <w:lang w:val="en-US" w:eastAsia="zh-CN"/>
              </w:rPr>
              <w:t>"李总，您好！公司作为黄金央企，资源税和所得税占比较高。请问：① 是否享受税收优惠政策（如：西部开发或资源综合利用）？② 如何通过税务筹划降低税负？例如矿山深部开采的税收抵扣政策。③ 针对海外业务，如何应对不同国家的税务合规风险？"</w:t>
            </w:r>
            <w:r>
              <w:rPr>
                <w:rFonts w:hint="default" w:ascii="Times New Roman" w:hAnsi="Times New Roman"/>
                <w:sz w:val="24"/>
                <w:lang w:val="en-US" w:eastAsia="zh-CN"/>
              </w:rPr>
              <w:tab/>
            </w:r>
          </w:p>
          <w:p w14:paraId="10C078B9">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享受税收优惠政策相关信息已在年报中进行披露。公司按照国家规定依法纳税，同时依据国家税收优惠政策积极开展税收优惠申报，力争做到应享尽享。公司暂无海外业务。感谢您对公司的关注。</w:t>
            </w:r>
          </w:p>
          <w:p w14:paraId="53E441C3">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3.</w:t>
            </w:r>
            <w:r>
              <w:rPr>
                <w:rFonts w:hint="default" w:ascii="Times New Roman" w:hAnsi="Times New Roman"/>
                <w:sz w:val="24"/>
                <w:lang w:val="en-US" w:eastAsia="zh-CN"/>
              </w:rPr>
              <w:t>"2025年上半年资产负债率44.78%，有息负债率攀升至67.45%。请问：① 如何控制债务规模，降低财务成本？② 经营活动现金流净额由负转正（1.02亿元），主要驱动力是什么？未来能否持续改善？③ 针对在建项目（如：纱岭金矿），是否有明确的资金筹措计划，避免过度依赖债务融资？"</w:t>
            </w:r>
            <w:r>
              <w:rPr>
                <w:rFonts w:hint="default" w:ascii="Times New Roman" w:hAnsi="Times New Roman"/>
                <w:sz w:val="24"/>
                <w:lang w:val="en-US" w:eastAsia="zh-CN"/>
              </w:rPr>
              <w:tab/>
            </w:r>
          </w:p>
          <w:p w14:paraId="12EB4152">
            <w:pPr>
              <w:adjustRightInd w:val="0"/>
              <w:snapToGrid w:val="0"/>
              <w:spacing w:line="360" w:lineRule="auto"/>
              <w:ind w:firstLine="480" w:firstLineChars="200"/>
              <w:rPr>
                <w:rFonts w:hint="default" w:ascii="Times New Roman" w:hAnsi="Times New Roman"/>
                <w:sz w:val="24"/>
                <w:lang w:val="en-US" w:eastAsia="zh-CN"/>
              </w:rPr>
            </w:pPr>
            <w:r>
              <w:rPr>
                <w:rFonts w:hint="default" w:ascii="Times New Roman" w:hAnsi="Times New Roman"/>
                <w:sz w:val="24"/>
                <w:lang w:val="en-US" w:eastAsia="zh-CN"/>
              </w:rPr>
              <w:t>答：尊敬的投资者，您好。目前公司资产负债率在行业中属于较好水平。公司通过股债交替的融资策略服务企业发展，同时在债务融资中积极与金融机构接洽，多方比价，通过创新融资等方式，降低融资成本。公司根据自有资金和发展需要，合理控制债务规模。经营活动现金流净额主要受企业原材料采购周期影响。纱岭金矿建设资金来源已在年报中披露。感谢您对公司的关注。</w:t>
            </w:r>
          </w:p>
          <w:p w14:paraId="2E08B6FC">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4.</w:t>
            </w:r>
            <w:r>
              <w:rPr>
                <w:rFonts w:hint="default" w:ascii="Times New Roman" w:hAnsi="Times New Roman"/>
                <w:sz w:val="24"/>
                <w:lang w:val="en-US" w:eastAsia="zh-CN"/>
              </w:rPr>
              <w:t>李总您好，2025年上半年毛利率18.63%（+2.10pct）。请问：① 黄金与铜业务的毛利率各贡献多少？② 成本结构中，哪些项目下降幅度最大（如：原材料、人工或折旧）？③ 未来是否会调整成本分摊方式，进一步优化矿山与冶炼业务的利润率？"</w:t>
            </w:r>
            <w:r>
              <w:rPr>
                <w:rFonts w:hint="default" w:ascii="Times New Roman" w:hAnsi="Times New Roman"/>
                <w:sz w:val="24"/>
                <w:lang w:val="en-US" w:eastAsia="zh-CN"/>
              </w:rPr>
              <w:tab/>
            </w:r>
          </w:p>
          <w:p w14:paraId="663D829A">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尊敬的投资者，您好。公司严格按照会计准则进行核算，同时坚持成本管控，不断提升公司业绩。感谢您对公司的关注。</w:t>
            </w:r>
          </w:p>
          <w:p w14:paraId="3E5C327A">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5.</w:t>
            </w:r>
            <w:r>
              <w:rPr>
                <w:rFonts w:hint="default" w:ascii="Times New Roman" w:hAnsi="Times New Roman"/>
                <w:sz w:val="24"/>
                <w:lang w:val="en-US" w:eastAsia="zh-CN"/>
              </w:rPr>
              <w:t>周独立董事您好，黄金价格波动对公司业绩影响显著。请问：① 公司目前套期保值的比例和策略是什么？如何平衡套保成本与风险对冲效果？② 针对铜业务，是否考虑建立类似的风险管理机制？③ 作为独董，如何看待公司关联交易的公允性？未来是否会引入第三方评估机制？</w:t>
            </w:r>
            <w:r>
              <w:rPr>
                <w:rFonts w:hint="default" w:ascii="Times New Roman" w:hAnsi="Times New Roman"/>
                <w:sz w:val="24"/>
                <w:lang w:val="en-US" w:eastAsia="zh-CN"/>
              </w:rPr>
              <w:tab/>
            </w:r>
          </w:p>
          <w:p w14:paraId="79939DBF">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尊敬的投资者，您好。公司年度套期保值方案已披露，请您参阅相关公告。公司关联交易坚持“公平、公正、等价、有偿”的市场原则，按照相关规定进行披露，接受市场和公众监督。感谢您对公司的关注。</w:t>
            </w:r>
          </w:p>
          <w:p w14:paraId="3B8D7F40">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6.</w:t>
            </w:r>
            <w:r>
              <w:rPr>
                <w:rFonts w:hint="default" w:ascii="Times New Roman" w:hAnsi="Times New Roman"/>
                <w:sz w:val="24"/>
                <w:lang w:val="en-US" w:eastAsia="zh-CN"/>
              </w:rPr>
              <w:t>苏总，您好！公司2025年上半年研发投入1.68亿元，新增专利44项。请问：① 如何吸引和留住高端技术人才（如智能矿山、贵金属提纯领域）？② 在数字化转型方面，是否有具体的时间表和投资计划？例如：矿山自动化或大数据分析系统的应用。</w:t>
            </w:r>
          </w:p>
          <w:p w14:paraId="03A380E5">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近年不断加大科技投入力度，通过内部培养和外部引进科技人员，创新科技管理机制，吸引和留住高端技术人才。公司在数字化转型方面不断加大投资力度，推进数智化矿山建设，不断推动传统矿山升级转型。感谢您对公司的关注。</w:t>
            </w:r>
          </w:p>
          <w:p w14:paraId="07305797">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7.</w:t>
            </w:r>
            <w:r>
              <w:rPr>
                <w:rFonts w:hint="default" w:ascii="Times New Roman" w:hAnsi="Times New Roman"/>
                <w:sz w:val="24"/>
                <w:lang w:val="en-US" w:eastAsia="zh-CN"/>
              </w:rPr>
              <w:t>周董您好，公司2025年上半年归母净利润同比增长54.64%，主要得益于金价上涨。请问：① 未来三年黄金业务的核心增长驱动力是什么？是否计划通过并购或内生增长进一步提升矿产金产量？② 如何看待黄金行业周期性波动？公司如何通过套期保值或库存管理规避价格风险？③ 作为央企控股上市公司，如何平衡股东回报（如：分红比例）与资源储备的长期投入？</w:t>
            </w:r>
          </w:p>
          <w:p w14:paraId="190445CE">
            <w:pPr>
              <w:adjustRightInd w:val="0"/>
              <w:snapToGrid w:val="0"/>
              <w:spacing w:line="360" w:lineRule="auto"/>
              <w:ind w:firstLine="480" w:firstLineChars="200"/>
              <w:rPr>
                <w:rFonts w:hint="default" w:ascii="Times New Roman" w:hAnsi="Times New Roman"/>
                <w:sz w:val="24"/>
                <w:lang w:val="en-US" w:eastAsia="zh-CN"/>
              </w:rPr>
            </w:pPr>
            <w:r>
              <w:rPr>
                <w:rFonts w:hint="default" w:ascii="Times New Roman" w:hAnsi="Times New Roman"/>
                <w:sz w:val="24"/>
                <w:lang w:val="en-US" w:eastAsia="zh-CN"/>
              </w:rPr>
              <w:t>答：尊敬的投资者，您好。未来三年黄金业务的核心增长驱动力包括资源增储、产能提升、技术创新、成本优化、人才战略等。公司一直坚持内生增长与外部扩张相结合的发展模式，不断提升产品产量。公司将继续加强对国际金融市场和黄金价格走势的研究，完善销售策略、流程和制度，通过科技转型、精细化管理、全过程成本管控等手段，利用套期保值等方式，不断健全防范价格风险的机制。公司在制定现金分红政策时，会综合考虑业绩表现和未来资金需求，确保回报股东的同时，不影响公司的长期发展和市场竞争力。通过这种平衡，公司旨在实现持续的业绩增长，为股东创造稳定而持续的价值。感谢您对公司的关注。</w:t>
            </w:r>
          </w:p>
          <w:p w14:paraId="0F0BCED1">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8.</w:t>
            </w:r>
            <w:r>
              <w:rPr>
                <w:rFonts w:hint="default" w:ascii="Times New Roman" w:hAnsi="Times New Roman"/>
                <w:sz w:val="24"/>
                <w:lang w:val="en-US" w:eastAsia="zh-CN"/>
              </w:rPr>
              <w:t>周董，您好！公司重点推进的纱岭金矿项目作为全国十大金矿之一，平均品位2.77g/t。请问：① 预计何时投产？投产后对公司矿产金产量的提升幅度是多少？② 该项目在环保、安全生产方面的投入规划如何？③ 公司如何将ESG理念融入矿山开发，例如绿色矿山建设或低碳技术应用？</w:t>
            </w:r>
          </w:p>
          <w:p w14:paraId="7CCEEB3C">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尊敬的投资者，您好。纱岭项目各项工程正有序推进，环保、安全投入严格落实国家规定。公司充分利用低碳技术，打造绿色矿山。感谢您对公司的关注。</w:t>
            </w:r>
          </w:p>
          <w:p w14:paraId="0B7F22D8">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9.</w:t>
            </w:r>
            <w:r>
              <w:rPr>
                <w:rFonts w:hint="default" w:ascii="Times New Roman" w:hAnsi="Times New Roman"/>
                <w:sz w:val="24"/>
                <w:lang w:val="en-US" w:eastAsia="zh-CN"/>
              </w:rPr>
              <w:t>贺总您好，2025年上半年矿产金产量9.13吨（+2.35%），但矿山铜产量3.81万吨（-8.63%）。请问：① 矿山铜产量下降的原因是什么？未来如何提升铜板块的盈利能力？② 公司在“降本增效”方面实现1.53亿元，具体措施有哪些？是否可持续？③ 如何通过技术创新（如：智能化开采）优化生产流程，应对矿山老龄化或品位下降的问题？</w:t>
            </w:r>
          </w:p>
          <w:p w14:paraId="7135DB2C">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上半年矿产铜根据生产实际进行调整，产量波动在正常范围内。公司通过开展成本管控提升行动，进一步提升劳动效率，注重科技助力、系统降本，严控管理费用支出，深化能源设备管理，践行绿色低碳发展要求等途径，全力以赴抓好降本增效。公司通过智能化开采等技术革新，持续优化“三率”（损失率、贫化率、回收率），积极应对矿山老龄化和品位下降的问题。感谢您对公司的关注。</w:t>
            </w:r>
          </w:p>
          <w:p w14:paraId="14FD8BE2">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10.</w:t>
            </w:r>
            <w:r>
              <w:rPr>
                <w:rFonts w:hint="default" w:ascii="Times New Roman" w:hAnsi="Times New Roman"/>
                <w:sz w:val="24"/>
                <w:lang w:val="en-US" w:eastAsia="zh-CN"/>
              </w:rPr>
              <w:t>贺总，您好！控股股东黄金集团计划注入内蒙金陶等四家资产，预计增厚矿产金产量1.09吨。请问：① 目前资产注入的进展如何？是否存在审批或整合风险？② 注入后如何协同现有资源，避免内部竞争？③ 未来是否有进一步整合集团优质资产的计划，以实现规模效应？</w:t>
            </w:r>
          </w:p>
          <w:p w14:paraId="20473209">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尊敬的投资者，您好。公司将按规定及时披露资产注入进展。感谢您对公司的关注。</w:t>
            </w:r>
          </w:p>
          <w:p w14:paraId="31C901AA">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11.</w:t>
            </w:r>
            <w:r>
              <w:rPr>
                <w:rFonts w:hint="default" w:ascii="Times New Roman" w:hAnsi="Times New Roman"/>
                <w:sz w:val="24"/>
                <w:lang w:val="en-US" w:eastAsia="zh-CN"/>
              </w:rPr>
              <w:t>苏书记您好，作为国企，中金黄金如何通过党建引领提升管理效率？例如在安全生产、员工激励或反腐合规方面有哪些创新举措？</w:t>
            </w:r>
            <w:r>
              <w:rPr>
                <w:rFonts w:hint="default" w:ascii="Times New Roman" w:hAnsi="Times New Roman"/>
                <w:sz w:val="24"/>
                <w:lang w:val="en-US" w:eastAsia="zh-CN"/>
              </w:rPr>
              <w:tab/>
            </w:r>
          </w:p>
          <w:p w14:paraId="53424E2F">
            <w:pPr>
              <w:adjustRightInd w:val="0"/>
              <w:snapToGrid w:val="0"/>
              <w:spacing w:line="360" w:lineRule="auto"/>
              <w:ind w:firstLine="480" w:firstLineChars="200"/>
              <w:rPr>
                <w:rFonts w:hint="default" w:ascii="Times New Roman" w:hAnsi="Times New Roman"/>
                <w:sz w:val="24"/>
                <w:lang w:val="en-US" w:eastAsia="zh-CN"/>
              </w:rPr>
            </w:pPr>
            <w:r>
              <w:rPr>
                <w:rFonts w:hint="eastAsia" w:ascii="Times New Roman" w:hAnsi="Times New Roman"/>
                <w:sz w:val="24"/>
                <w:lang w:val="en-US" w:eastAsia="zh-CN"/>
              </w:rPr>
              <w:t>答：</w:t>
            </w:r>
            <w:r>
              <w:rPr>
                <w:rFonts w:hint="default" w:ascii="Times New Roman" w:hAnsi="Times New Roman"/>
                <w:sz w:val="24"/>
                <w:lang w:val="en-US" w:eastAsia="zh-CN"/>
              </w:rPr>
              <w:t>尊敬的投资者，您好。公司始终坚持党建引领，自觉把党的领导贯穿于生产经营全过程，从政治建设、思想建设、组织建设、党风廉政建设等方面持续发力，以高质量党建引领保障公司高质量发展。感谢您对公司的关注。</w:t>
            </w:r>
          </w:p>
        </w:tc>
      </w:tr>
      <w:tr w14:paraId="648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4E2A77F">
            <w:pPr>
              <w:spacing w:line="360" w:lineRule="auto"/>
              <w:rPr>
                <w:rFonts w:ascii="Times New Roman" w:hAnsi="Times New Roman"/>
                <w:b/>
                <w:bCs/>
                <w:iCs/>
                <w:color w:val="000000"/>
                <w:sz w:val="24"/>
                <w:szCs w:val="24"/>
              </w:rPr>
            </w:pPr>
            <w:r>
              <w:rPr>
                <w:rFonts w:hint="eastAsia" w:ascii="Times New Roman" w:hAnsi="Times New Roman"/>
                <w:b/>
                <w:bCs/>
                <w:iCs/>
                <w:color w:val="000000"/>
                <w:sz w:val="24"/>
                <w:szCs w:val="24"/>
              </w:rPr>
              <w:t>附件清单（如有）</w:t>
            </w: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281E9C3E">
            <w:pPr>
              <w:spacing w:line="360" w:lineRule="auto"/>
              <w:rPr>
                <w:rFonts w:ascii="Times New Roman" w:hAnsi="Times New Roman"/>
                <w:bCs/>
                <w:iCs/>
                <w:color w:val="000000"/>
                <w:sz w:val="24"/>
                <w:szCs w:val="24"/>
              </w:rPr>
            </w:pPr>
            <w:r>
              <w:rPr>
                <w:rFonts w:hint="eastAsia" w:ascii="Times New Roman" w:hAnsi="Times New Roman"/>
                <w:bCs/>
                <w:iCs/>
                <w:color w:val="000000"/>
                <w:sz w:val="24"/>
                <w:szCs w:val="24"/>
              </w:rPr>
              <w:t>无</w:t>
            </w:r>
          </w:p>
        </w:tc>
      </w:tr>
      <w:tr w14:paraId="0F1E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ABB795F">
            <w:pPr>
              <w:spacing w:line="360" w:lineRule="auto"/>
              <w:rPr>
                <w:rFonts w:ascii="Times New Roman" w:hAnsi="Times New Roman"/>
                <w:b/>
                <w:bCs/>
                <w:iCs/>
                <w:color w:val="000000"/>
                <w:sz w:val="24"/>
                <w:szCs w:val="24"/>
              </w:rPr>
            </w:pPr>
            <w:r>
              <w:rPr>
                <w:rFonts w:ascii="Times New Roman" w:hAnsi="Times New Roman"/>
                <w:b/>
                <w:bCs/>
                <w:iCs/>
                <w:color w:val="000000"/>
                <w:sz w:val="24"/>
                <w:szCs w:val="24"/>
              </w:rPr>
              <w:t>日期</w:t>
            </w:r>
          </w:p>
        </w:tc>
        <w:tc>
          <w:tcPr>
            <w:tcW w:w="6316" w:type="dxa"/>
            <w:tcBorders>
              <w:top w:val="single" w:color="auto" w:sz="4" w:space="0"/>
              <w:left w:val="single" w:color="auto" w:sz="4" w:space="0"/>
              <w:bottom w:val="single" w:color="auto" w:sz="4" w:space="0"/>
              <w:right w:val="single" w:color="auto" w:sz="4" w:space="0"/>
            </w:tcBorders>
            <w:shd w:val="clear" w:color="auto" w:fill="auto"/>
          </w:tcPr>
          <w:p w14:paraId="148D5A12">
            <w:pPr>
              <w:spacing w:line="360" w:lineRule="auto"/>
              <w:rPr>
                <w:rFonts w:ascii="Times New Roman" w:hAnsi="Times New Roman"/>
                <w:bCs/>
                <w:iCs/>
                <w:color w:val="000000"/>
                <w:sz w:val="24"/>
                <w:szCs w:val="24"/>
              </w:rPr>
            </w:pPr>
            <w:r>
              <w:rPr>
                <w:rFonts w:ascii="Times New Roman" w:hAnsi="Times New Roman"/>
                <w:bCs/>
                <w:iCs/>
                <w:color w:val="000000"/>
                <w:sz w:val="24"/>
                <w:szCs w:val="24"/>
              </w:rPr>
              <w:t>202</w:t>
            </w:r>
            <w:r>
              <w:rPr>
                <w:rFonts w:hint="eastAsia" w:ascii="Times New Roman" w:hAnsi="Times New Roman"/>
                <w:bCs/>
                <w:iCs/>
                <w:color w:val="000000"/>
                <w:sz w:val="24"/>
                <w:szCs w:val="24"/>
                <w:lang w:val="en-US" w:eastAsia="zh-CN"/>
              </w:rPr>
              <w:t>5</w:t>
            </w:r>
            <w:r>
              <w:rPr>
                <w:rFonts w:ascii="Times New Roman" w:hAnsi="Times New Roman"/>
                <w:bCs/>
                <w:iCs/>
                <w:color w:val="000000"/>
                <w:sz w:val="24"/>
                <w:szCs w:val="24"/>
              </w:rPr>
              <w:t>年</w:t>
            </w:r>
            <w:r>
              <w:rPr>
                <w:rFonts w:hint="eastAsia" w:ascii="Times New Roman" w:hAnsi="Times New Roman"/>
                <w:bCs/>
                <w:iCs/>
                <w:color w:val="000000"/>
                <w:sz w:val="24"/>
                <w:szCs w:val="24"/>
                <w:lang w:val="en-US" w:eastAsia="zh-CN"/>
              </w:rPr>
              <w:t>10</w:t>
            </w:r>
            <w:r>
              <w:rPr>
                <w:rFonts w:ascii="Times New Roman" w:hAnsi="Times New Roman"/>
                <w:bCs/>
                <w:iCs/>
                <w:color w:val="000000"/>
                <w:sz w:val="24"/>
                <w:szCs w:val="24"/>
              </w:rPr>
              <w:t>月</w:t>
            </w:r>
            <w:r>
              <w:rPr>
                <w:rFonts w:hint="eastAsia" w:ascii="Times New Roman" w:hAnsi="Times New Roman"/>
                <w:bCs/>
                <w:iCs/>
                <w:color w:val="000000"/>
                <w:sz w:val="24"/>
                <w:szCs w:val="24"/>
                <w:lang w:val="en-US" w:eastAsia="zh-CN"/>
              </w:rPr>
              <w:t>15</w:t>
            </w:r>
            <w:r>
              <w:rPr>
                <w:rFonts w:ascii="Times New Roman" w:hAnsi="Times New Roman"/>
                <w:bCs/>
                <w:iCs/>
                <w:color w:val="000000"/>
                <w:sz w:val="24"/>
                <w:szCs w:val="24"/>
              </w:rPr>
              <w:t>日</w:t>
            </w:r>
          </w:p>
        </w:tc>
      </w:tr>
    </w:tbl>
    <w:p w14:paraId="17B9045E">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i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29"/>
    <w:rsid w:val="000126BF"/>
    <w:rsid w:val="000242E0"/>
    <w:rsid w:val="000343D3"/>
    <w:rsid w:val="00035D49"/>
    <w:rsid w:val="00040B80"/>
    <w:rsid w:val="00053362"/>
    <w:rsid w:val="0006624D"/>
    <w:rsid w:val="000869B2"/>
    <w:rsid w:val="00091F8C"/>
    <w:rsid w:val="00094906"/>
    <w:rsid w:val="000B53FA"/>
    <w:rsid w:val="000C62D4"/>
    <w:rsid w:val="000D5CC8"/>
    <w:rsid w:val="000D6CEA"/>
    <w:rsid w:val="000E4686"/>
    <w:rsid w:val="000F1B3C"/>
    <w:rsid w:val="00116D9C"/>
    <w:rsid w:val="00120F8E"/>
    <w:rsid w:val="00164888"/>
    <w:rsid w:val="00173D6D"/>
    <w:rsid w:val="00186E5E"/>
    <w:rsid w:val="001904AC"/>
    <w:rsid w:val="001C4A79"/>
    <w:rsid w:val="001C6DFC"/>
    <w:rsid w:val="001D2E1B"/>
    <w:rsid w:val="001D51B9"/>
    <w:rsid w:val="001F1135"/>
    <w:rsid w:val="001F2A17"/>
    <w:rsid w:val="001F2F44"/>
    <w:rsid w:val="00202FEA"/>
    <w:rsid w:val="002116E9"/>
    <w:rsid w:val="002172F8"/>
    <w:rsid w:val="00222DD2"/>
    <w:rsid w:val="00223075"/>
    <w:rsid w:val="00236934"/>
    <w:rsid w:val="00242236"/>
    <w:rsid w:val="00256064"/>
    <w:rsid w:val="00266B19"/>
    <w:rsid w:val="0027163B"/>
    <w:rsid w:val="0027215D"/>
    <w:rsid w:val="002908A9"/>
    <w:rsid w:val="00295EB9"/>
    <w:rsid w:val="002A5EDF"/>
    <w:rsid w:val="002C6444"/>
    <w:rsid w:val="002E6FFA"/>
    <w:rsid w:val="003018FC"/>
    <w:rsid w:val="00313ECB"/>
    <w:rsid w:val="00333514"/>
    <w:rsid w:val="003340D1"/>
    <w:rsid w:val="00337168"/>
    <w:rsid w:val="00360588"/>
    <w:rsid w:val="00361DA5"/>
    <w:rsid w:val="003712B9"/>
    <w:rsid w:val="00371A09"/>
    <w:rsid w:val="00373B0D"/>
    <w:rsid w:val="003754B6"/>
    <w:rsid w:val="003837D8"/>
    <w:rsid w:val="00397450"/>
    <w:rsid w:val="003A261D"/>
    <w:rsid w:val="003A31D9"/>
    <w:rsid w:val="003A5392"/>
    <w:rsid w:val="003B112D"/>
    <w:rsid w:val="003B6D77"/>
    <w:rsid w:val="003B7A92"/>
    <w:rsid w:val="003C7044"/>
    <w:rsid w:val="003D0FAC"/>
    <w:rsid w:val="0041375E"/>
    <w:rsid w:val="004149E5"/>
    <w:rsid w:val="00417676"/>
    <w:rsid w:val="004200E3"/>
    <w:rsid w:val="0042583D"/>
    <w:rsid w:val="00437D26"/>
    <w:rsid w:val="00440B90"/>
    <w:rsid w:val="00447A4D"/>
    <w:rsid w:val="004576A2"/>
    <w:rsid w:val="00460DE5"/>
    <w:rsid w:val="00467354"/>
    <w:rsid w:val="00480E0F"/>
    <w:rsid w:val="00482DEC"/>
    <w:rsid w:val="004A0252"/>
    <w:rsid w:val="004A565D"/>
    <w:rsid w:val="004A7D44"/>
    <w:rsid w:val="004B01AE"/>
    <w:rsid w:val="004E2D0C"/>
    <w:rsid w:val="004F170D"/>
    <w:rsid w:val="004F1D52"/>
    <w:rsid w:val="004F6D40"/>
    <w:rsid w:val="00501BA0"/>
    <w:rsid w:val="005138B1"/>
    <w:rsid w:val="005155CD"/>
    <w:rsid w:val="00534056"/>
    <w:rsid w:val="00534981"/>
    <w:rsid w:val="005521E3"/>
    <w:rsid w:val="005D0EF9"/>
    <w:rsid w:val="005E194A"/>
    <w:rsid w:val="005E2FE9"/>
    <w:rsid w:val="005E7956"/>
    <w:rsid w:val="00606104"/>
    <w:rsid w:val="00606A51"/>
    <w:rsid w:val="00611FDB"/>
    <w:rsid w:val="006301AF"/>
    <w:rsid w:val="0063104D"/>
    <w:rsid w:val="006416EE"/>
    <w:rsid w:val="00643204"/>
    <w:rsid w:val="0064325B"/>
    <w:rsid w:val="0065109C"/>
    <w:rsid w:val="006515F8"/>
    <w:rsid w:val="006848BD"/>
    <w:rsid w:val="00690D17"/>
    <w:rsid w:val="006B5369"/>
    <w:rsid w:val="006D095C"/>
    <w:rsid w:val="006D0B45"/>
    <w:rsid w:val="006D2091"/>
    <w:rsid w:val="006E07D2"/>
    <w:rsid w:val="006E389F"/>
    <w:rsid w:val="006E4412"/>
    <w:rsid w:val="006F1754"/>
    <w:rsid w:val="006F6D35"/>
    <w:rsid w:val="0071748A"/>
    <w:rsid w:val="0072585D"/>
    <w:rsid w:val="00735D7A"/>
    <w:rsid w:val="00736069"/>
    <w:rsid w:val="00736215"/>
    <w:rsid w:val="00743C93"/>
    <w:rsid w:val="00753EAF"/>
    <w:rsid w:val="00754736"/>
    <w:rsid w:val="00756B01"/>
    <w:rsid w:val="007638D9"/>
    <w:rsid w:val="00764703"/>
    <w:rsid w:val="00766B78"/>
    <w:rsid w:val="007716E7"/>
    <w:rsid w:val="00774954"/>
    <w:rsid w:val="00783ADA"/>
    <w:rsid w:val="007908E5"/>
    <w:rsid w:val="00792760"/>
    <w:rsid w:val="007977DF"/>
    <w:rsid w:val="007A2F8C"/>
    <w:rsid w:val="007D3996"/>
    <w:rsid w:val="007D5044"/>
    <w:rsid w:val="007D5DF1"/>
    <w:rsid w:val="007E0557"/>
    <w:rsid w:val="007E159C"/>
    <w:rsid w:val="007E3483"/>
    <w:rsid w:val="007F50F9"/>
    <w:rsid w:val="007F678F"/>
    <w:rsid w:val="00802890"/>
    <w:rsid w:val="00810C42"/>
    <w:rsid w:val="0081359A"/>
    <w:rsid w:val="00813969"/>
    <w:rsid w:val="0081651F"/>
    <w:rsid w:val="00837255"/>
    <w:rsid w:val="0084056D"/>
    <w:rsid w:val="00844B04"/>
    <w:rsid w:val="008663D9"/>
    <w:rsid w:val="0087322A"/>
    <w:rsid w:val="00886A14"/>
    <w:rsid w:val="00890FF8"/>
    <w:rsid w:val="00894E09"/>
    <w:rsid w:val="008A4628"/>
    <w:rsid w:val="008C081B"/>
    <w:rsid w:val="008D77E7"/>
    <w:rsid w:val="008F50F4"/>
    <w:rsid w:val="00902D51"/>
    <w:rsid w:val="00911812"/>
    <w:rsid w:val="00916F71"/>
    <w:rsid w:val="00920876"/>
    <w:rsid w:val="00920BB1"/>
    <w:rsid w:val="00924A98"/>
    <w:rsid w:val="00924EE0"/>
    <w:rsid w:val="00941E00"/>
    <w:rsid w:val="0094768E"/>
    <w:rsid w:val="00947B28"/>
    <w:rsid w:val="00974242"/>
    <w:rsid w:val="00990861"/>
    <w:rsid w:val="0099503F"/>
    <w:rsid w:val="00995C94"/>
    <w:rsid w:val="009A7360"/>
    <w:rsid w:val="009B0719"/>
    <w:rsid w:val="009B472F"/>
    <w:rsid w:val="009C3B33"/>
    <w:rsid w:val="009D61E5"/>
    <w:rsid w:val="009E361F"/>
    <w:rsid w:val="009E4081"/>
    <w:rsid w:val="009E7861"/>
    <w:rsid w:val="009F3BCD"/>
    <w:rsid w:val="00A4428D"/>
    <w:rsid w:val="00A47DD6"/>
    <w:rsid w:val="00A61AE8"/>
    <w:rsid w:val="00A87A4E"/>
    <w:rsid w:val="00A87FF5"/>
    <w:rsid w:val="00A950F2"/>
    <w:rsid w:val="00AA4E2B"/>
    <w:rsid w:val="00AB1769"/>
    <w:rsid w:val="00AD14CD"/>
    <w:rsid w:val="00AD6036"/>
    <w:rsid w:val="00B07E89"/>
    <w:rsid w:val="00B16E3C"/>
    <w:rsid w:val="00B27340"/>
    <w:rsid w:val="00B36019"/>
    <w:rsid w:val="00B414AB"/>
    <w:rsid w:val="00B55865"/>
    <w:rsid w:val="00B56D0C"/>
    <w:rsid w:val="00B66420"/>
    <w:rsid w:val="00B71FF0"/>
    <w:rsid w:val="00B8712F"/>
    <w:rsid w:val="00B923C6"/>
    <w:rsid w:val="00BA112D"/>
    <w:rsid w:val="00BA1F0F"/>
    <w:rsid w:val="00BA723A"/>
    <w:rsid w:val="00BB4912"/>
    <w:rsid w:val="00BB5D3F"/>
    <w:rsid w:val="00BC3AE2"/>
    <w:rsid w:val="00BC4479"/>
    <w:rsid w:val="00BC623E"/>
    <w:rsid w:val="00BC7A23"/>
    <w:rsid w:val="00BD1F37"/>
    <w:rsid w:val="00BE0FB1"/>
    <w:rsid w:val="00BE1269"/>
    <w:rsid w:val="00BE2B40"/>
    <w:rsid w:val="00BE5CB7"/>
    <w:rsid w:val="00C02531"/>
    <w:rsid w:val="00C0282D"/>
    <w:rsid w:val="00C07D01"/>
    <w:rsid w:val="00C13925"/>
    <w:rsid w:val="00C14429"/>
    <w:rsid w:val="00C20476"/>
    <w:rsid w:val="00C25B9C"/>
    <w:rsid w:val="00C277CD"/>
    <w:rsid w:val="00C52207"/>
    <w:rsid w:val="00C557C1"/>
    <w:rsid w:val="00C57379"/>
    <w:rsid w:val="00C66557"/>
    <w:rsid w:val="00C710F8"/>
    <w:rsid w:val="00C771FE"/>
    <w:rsid w:val="00C84DD9"/>
    <w:rsid w:val="00C85353"/>
    <w:rsid w:val="00C92533"/>
    <w:rsid w:val="00C954CA"/>
    <w:rsid w:val="00CA2B3C"/>
    <w:rsid w:val="00CB2C1B"/>
    <w:rsid w:val="00CC4129"/>
    <w:rsid w:val="00CD2B28"/>
    <w:rsid w:val="00CD542F"/>
    <w:rsid w:val="00CF7AE8"/>
    <w:rsid w:val="00D03A21"/>
    <w:rsid w:val="00D1041C"/>
    <w:rsid w:val="00D10630"/>
    <w:rsid w:val="00D32C58"/>
    <w:rsid w:val="00D439BD"/>
    <w:rsid w:val="00D50D3F"/>
    <w:rsid w:val="00D56961"/>
    <w:rsid w:val="00D56EC9"/>
    <w:rsid w:val="00D62E01"/>
    <w:rsid w:val="00D756BE"/>
    <w:rsid w:val="00D93A43"/>
    <w:rsid w:val="00D94C0B"/>
    <w:rsid w:val="00DB1E79"/>
    <w:rsid w:val="00DB30BD"/>
    <w:rsid w:val="00DB3E76"/>
    <w:rsid w:val="00DD48BD"/>
    <w:rsid w:val="00DD5DEA"/>
    <w:rsid w:val="00DF0836"/>
    <w:rsid w:val="00E05206"/>
    <w:rsid w:val="00E12600"/>
    <w:rsid w:val="00E3164C"/>
    <w:rsid w:val="00E422DE"/>
    <w:rsid w:val="00E42D29"/>
    <w:rsid w:val="00E57C69"/>
    <w:rsid w:val="00E616B7"/>
    <w:rsid w:val="00E65C1F"/>
    <w:rsid w:val="00E70BBE"/>
    <w:rsid w:val="00E74781"/>
    <w:rsid w:val="00E8312F"/>
    <w:rsid w:val="00E84352"/>
    <w:rsid w:val="00E8601C"/>
    <w:rsid w:val="00E87369"/>
    <w:rsid w:val="00E90314"/>
    <w:rsid w:val="00E95735"/>
    <w:rsid w:val="00EA6A65"/>
    <w:rsid w:val="00EC7D77"/>
    <w:rsid w:val="00ED07EB"/>
    <w:rsid w:val="00ED2BC0"/>
    <w:rsid w:val="00ED32E4"/>
    <w:rsid w:val="00EF113D"/>
    <w:rsid w:val="00EF3A52"/>
    <w:rsid w:val="00EF3E75"/>
    <w:rsid w:val="00F01ACF"/>
    <w:rsid w:val="00F04775"/>
    <w:rsid w:val="00F27075"/>
    <w:rsid w:val="00F3093C"/>
    <w:rsid w:val="00F375EE"/>
    <w:rsid w:val="00F526B1"/>
    <w:rsid w:val="00F56EB2"/>
    <w:rsid w:val="00F84701"/>
    <w:rsid w:val="00F94191"/>
    <w:rsid w:val="00FA74EC"/>
    <w:rsid w:val="00FD20ED"/>
    <w:rsid w:val="00FD4F56"/>
    <w:rsid w:val="207459E6"/>
    <w:rsid w:val="2FE9223D"/>
    <w:rsid w:val="3C8E3F66"/>
    <w:rsid w:val="44223458"/>
    <w:rsid w:val="476318CE"/>
    <w:rsid w:val="4BD7548C"/>
    <w:rsid w:val="6121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uiPriority w:val="99"/>
    <w:rPr>
      <w:b/>
      <w:bCs/>
    </w:rPr>
  </w:style>
  <w:style w:type="character" w:styleId="9">
    <w:name w:val="Emphasis"/>
    <w:basedOn w:val="8"/>
    <w:qFormat/>
    <w:uiPriority w:val="20"/>
    <w:rPr>
      <w:i/>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招股书正文"/>
    <w:basedOn w:val="1"/>
    <w:link w:val="16"/>
    <w:qFormat/>
    <w:uiPriority w:val="0"/>
    <w:pPr>
      <w:adjustRightInd w:val="0"/>
      <w:snapToGrid w:val="0"/>
      <w:spacing w:beforeLines="50" w:afterLines="50" w:line="360" w:lineRule="auto"/>
      <w:ind w:firstLine="200" w:firstLineChars="200"/>
    </w:pPr>
    <w:rPr>
      <w:rFonts w:ascii="Times New Roman" w:hAnsi="Times New Roman"/>
      <w:color w:val="000000"/>
      <w:sz w:val="24"/>
      <w:szCs w:val="21"/>
    </w:rPr>
  </w:style>
  <w:style w:type="character" w:customStyle="1" w:styleId="16">
    <w:name w:val="招股书正文 字符"/>
    <w:link w:val="15"/>
    <w:qFormat/>
    <w:uiPriority w:val="0"/>
    <w:rPr>
      <w:rFonts w:ascii="Times New Roman" w:hAnsi="Times New Roman" w:eastAsia="宋体" w:cs="Times New Roman"/>
      <w:color w:val="000000"/>
      <w:sz w:val="24"/>
      <w:szCs w:val="21"/>
    </w:rPr>
  </w:style>
  <w:style w:type="paragraph" w:customStyle="1" w:styleId="17">
    <w:name w:val="反馈正文"/>
    <w:basedOn w:val="1"/>
    <w:link w:val="18"/>
    <w:qFormat/>
    <w:uiPriority w:val="0"/>
    <w:pPr>
      <w:spacing w:beforeLines="50" w:afterLines="50" w:line="360" w:lineRule="auto"/>
      <w:ind w:firstLine="200" w:firstLineChars="200"/>
    </w:pPr>
    <w:rPr>
      <w:rFonts w:ascii="Times New Roman" w:hAnsi="Times New Roman"/>
      <w:color w:val="000000"/>
      <w:kern w:val="0"/>
      <w:sz w:val="24"/>
      <w:szCs w:val="21"/>
    </w:rPr>
  </w:style>
  <w:style w:type="character" w:customStyle="1" w:styleId="18">
    <w:name w:val="反馈正文 字符"/>
    <w:link w:val="17"/>
    <w:qFormat/>
    <w:uiPriority w:val="0"/>
    <w:rPr>
      <w:rFonts w:ascii="Times New Roman" w:hAnsi="Times New Roman" w:eastAsia="宋体" w:cs="Times New Roman"/>
      <w:color w:val="000000"/>
      <w:kern w:val="0"/>
      <w:sz w:val="24"/>
      <w:szCs w:val="21"/>
    </w:rPr>
  </w:style>
  <w:style w:type="character" w:customStyle="1" w:styleId="19">
    <w:name w:val="批注文字 Char"/>
    <w:basedOn w:val="8"/>
    <w:link w:val="2"/>
    <w:semiHidden/>
    <w:qFormat/>
    <w:uiPriority w:val="99"/>
    <w:rPr>
      <w:rFonts w:ascii="Calibri" w:hAnsi="Calibri"/>
      <w:kern w:val="2"/>
      <w:sz w:val="21"/>
      <w:szCs w:val="22"/>
    </w:rPr>
  </w:style>
  <w:style w:type="character" w:customStyle="1" w:styleId="20">
    <w:name w:val="批注主题 Char"/>
    <w:basedOn w:val="19"/>
    <w:link w:val="6"/>
    <w:semiHidden/>
    <w:qFormat/>
    <w:uiPriority w:val="99"/>
    <w:rPr>
      <w:rFonts w:ascii="Calibri" w:hAnsi="Calibri"/>
      <w:b/>
      <w:bCs/>
      <w:kern w:val="2"/>
      <w:sz w:val="21"/>
      <w:szCs w:val="22"/>
    </w:rPr>
  </w:style>
  <w:style w:type="character" w:customStyle="1" w:styleId="21">
    <w:name w:val="批注框文本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232</Words>
  <Characters>1327</Characters>
  <Lines>11</Lines>
  <Paragraphs>3</Paragraphs>
  <TotalTime>14</TotalTime>
  <ScaleCrop>false</ScaleCrop>
  <LinksUpToDate>false</LinksUpToDate>
  <CharactersWithSpaces>1556</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2023-06-02T07:01:00Z</dcterms:created>
  <dc:creator>ZXR</dc:creator>
  <cp:lastModifiedBy>周卫花</cp:lastModifiedBy>
  <cp:lastPrinted>2021-08-20T03:54:00Z</cp:lastPrinted>
  <dcterms:modified xsi:type="dcterms:W3CDTF">2025-10-15T02:49:47Z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C06F6DC54BC34F26AF19DF3E82ADBE04</vt:lpwstr>
  </property>
</Properties>
</file>