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6E3C0">
      <w:pPr>
        <w:autoSpaceDE w:val="0"/>
        <w:autoSpaceDN w:val="0"/>
        <w:adjustRightInd w:val="0"/>
        <w:snapToGrid w:val="0"/>
        <w:spacing w:line="288" w:lineRule="auto"/>
        <w:rPr>
          <w:rFonts w:ascii="宋体" w:hAnsi="宋体" w:cs="宋体"/>
          <w:kern w:val="0"/>
          <w:sz w:val="28"/>
          <w:szCs w:val="28"/>
          <w:lang w:val="zh-CN" w:bidi="zh-CN"/>
        </w:rPr>
      </w:pPr>
      <w:r>
        <w:rPr>
          <w:rFonts w:hint="eastAsia" w:ascii="宋体" w:hAnsi="宋体" w:cs="宋体"/>
          <w:kern w:val="0"/>
          <w:sz w:val="28"/>
          <w:szCs w:val="28"/>
          <w:lang w:val="zh-CN" w:bidi="zh-CN"/>
        </w:rPr>
        <w:t>证券代码：603977                         证券简称：国泰集团</w:t>
      </w:r>
    </w:p>
    <w:p w14:paraId="1BFE780E">
      <w:pPr>
        <w:adjustRightInd w:val="0"/>
        <w:snapToGrid w:val="0"/>
        <w:spacing w:before="312" w:beforeLines="100" w:line="480" w:lineRule="exact"/>
        <w:jc w:val="center"/>
        <w:rPr>
          <w:rFonts w:ascii="黑体" w:hAnsi="黑体" w:eastAsia="黑体"/>
          <w:b/>
          <w:bCs/>
          <w:color w:val="FF0000"/>
          <w:sz w:val="32"/>
          <w:szCs w:val="36"/>
        </w:rPr>
      </w:pPr>
      <w:r>
        <w:rPr>
          <w:rFonts w:hint="eastAsia" w:ascii="黑体" w:hAnsi="黑体" w:eastAsia="黑体"/>
          <w:b/>
          <w:bCs/>
          <w:color w:val="FF0000"/>
          <w:sz w:val="32"/>
          <w:szCs w:val="36"/>
        </w:rPr>
        <w:t>江西国泰集团股份有限公司</w:t>
      </w:r>
    </w:p>
    <w:p w14:paraId="53D26FB5">
      <w:pPr>
        <w:adjustRightInd w:val="0"/>
        <w:snapToGrid w:val="0"/>
        <w:spacing w:before="156" w:beforeLines="50" w:after="156" w:afterLines="50" w:line="480" w:lineRule="exact"/>
        <w:jc w:val="center"/>
        <w:rPr>
          <w:rFonts w:ascii="等线" w:hAnsi="等线"/>
          <w:b/>
          <w:bCs/>
          <w:color w:val="FF0000"/>
          <w:sz w:val="32"/>
          <w:szCs w:val="36"/>
        </w:rPr>
      </w:pPr>
      <w:r>
        <w:rPr>
          <w:rFonts w:hint="eastAsia" w:ascii="黑体" w:hAnsi="黑体" w:eastAsia="黑体"/>
          <w:b/>
          <w:bCs/>
          <w:color w:val="FF0000"/>
          <w:sz w:val="32"/>
          <w:szCs w:val="36"/>
        </w:rPr>
        <w:t>投资者关系活动记录表</w:t>
      </w:r>
    </w:p>
    <w:p w14:paraId="581B38A0">
      <w:pPr>
        <w:jc w:val="right"/>
        <w:rPr>
          <w:rFonts w:ascii="宋体" w:hAnsi="宋体"/>
        </w:rPr>
      </w:pPr>
      <w:r>
        <w:rPr>
          <w:rFonts w:hint="eastAsia" w:ascii="宋体" w:hAnsi="宋体"/>
        </w:rPr>
        <w:t>编号：2025-007</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5985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526" w:type="dxa"/>
            <w:vAlign w:val="center"/>
          </w:tcPr>
          <w:p w14:paraId="2FBFB89B">
            <w:pPr>
              <w:pStyle w:val="25"/>
              <w:adjustRightInd w:val="0"/>
              <w:snapToGrid w:val="0"/>
              <w:spacing w:line="336" w:lineRule="auto"/>
              <w:rPr>
                <w:b/>
                <w:bCs/>
                <w:iCs/>
                <w:sz w:val="24"/>
              </w:rPr>
            </w:pPr>
            <w:r>
              <w:rPr>
                <w:b/>
                <w:bCs/>
                <w:iCs/>
                <w:sz w:val="24"/>
              </w:rPr>
              <w:t>投资者关系活动类别</w:t>
            </w:r>
          </w:p>
        </w:tc>
        <w:tc>
          <w:tcPr>
            <w:tcW w:w="6996" w:type="dxa"/>
            <w:vAlign w:val="center"/>
          </w:tcPr>
          <w:p w14:paraId="27B2D59F">
            <w:pPr>
              <w:adjustRightInd w:val="0"/>
              <w:snapToGrid w:val="0"/>
              <w:spacing w:line="336" w:lineRule="auto"/>
              <w:rPr>
                <w:bCs/>
                <w:iCs/>
                <w:sz w:val="24"/>
                <w:szCs w:val="24"/>
              </w:rPr>
            </w:pPr>
            <w:r>
              <w:rPr>
                <w:bCs/>
                <w:iCs/>
                <w:sz w:val="24"/>
                <w:szCs w:val="24"/>
              </w:rPr>
              <w:sym w:font="Wingdings 2" w:char="0052"/>
            </w:r>
            <w:r>
              <w:rPr>
                <w:sz w:val="24"/>
                <w:szCs w:val="24"/>
              </w:rPr>
              <w:t xml:space="preserve">特定对象调研       </w:t>
            </w:r>
            <w:r>
              <w:rPr>
                <w:bCs/>
                <w:iCs/>
                <w:sz w:val="24"/>
                <w:szCs w:val="24"/>
              </w:rPr>
              <w:sym w:font="Wingdings 2" w:char="00A3"/>
            </w:r>
            <w:r>
              <w:rPr>
                <w:sz w:val="24"/>
                <w:szCs w:val="24"/>
              </w:rPr>
              <w:t>分析师会议</w:t>
            </w:r>
          </w:p>
          <w:p w14:paraId="1D2EE9E1">
            <w:pPr>
              <w:pStyle w:val="25"/>
              <w:adjustRightInd w:val="0"/>
              <w:snapToGrid w:val="0"/>
              <w:spacing w:line="336" w:lineRule="auto"/>
              <w:rPr>
                <w:bCs/>
                <w:iCs/>
                <w:sz w:val="24"/>
              </w:rPr>
            </w:pPr>
            <w:r>
              <w:rPr>
                <w:bCs/>
                <w:iCs/>
                <w:sz w:val="24"/>
              </w:rPr>
              <w:sym w:font="Wingdings 2" w:char="00A3"/>
            </w:r>
            <w:r>
              <w:rPr>
                <w:sz w:val="24"/>
              </w:rPr>
              <w:t xml:space="preserve">媒体采访           </w:t>
            </w:r>
            <w:r>
              <w:rPr>
                <w:bCs/>
                <w:iCs/>
                <w:sz w:val="24"/>
              </w:rPr>
              <w:sym w:font="Wingdings 2" w:char="00A3"/>
            </w:r>
            <w:r>
              <w:rPr>
                <w:sz w:val="24"/>
              </w:rPr>
              <w:t>业绩说明会</w:t>
            </w:r>
          </w:p>
          <w:p w14:paraId="478C16E3">
            <w:pPr>
              <w:pStyle w:val="25"/>
              <w:adjustRightInd w:val="0"/>
              <w:snapToGrid w:val="0"/>
              <w:spacing w:line="336" w:lineRule="auto"/>
              <w:rPr>
                <w:bCs/>
                <w:iCs/>
                <w:sz w:val="24"/>
              </w:rPr>
            </w:pPr>
            <w:r>
              <w:rPr>
                <w:bCs/>
                <w:iCs/>
                <w:sz w:val="24"/>
              </w:rPr>
              <w:sym w:font="Wingdings 2" w:char="00A3"/>
            </w:r>
            <w:r>
              <w:rPr>
                <w:sz w:val="24"/>
              </w:rPr>
              <w:t xml:space="preserve">新闻发布会         </w:t>
            </w:r>
            <w:r>
              <w:rPr>
                <w:bCs/>
                <w:iCs/>
                <w:sz w:val="24"/>
              </w:rPr>
              <w:sym w:font="Wingdings 2" w:char="00A3"/>
            </w:r>
            <w:r>
              <w:rPr>
                <w:sz w:val="24"/>
              </w:rPr>
              <w:t>路演活动</w:t>
            </w:r>
          </w:p>
          <w:p w14:paraId="66EAD172">
            <w:pPr>
              <w:adjustRightInd w:val="0"/>
              <w:snapToGrid w:val="0"/>
              <w:spacing w:line="336" w:lineRule="auto"/>
              <w:rPr>
                <w:bCs/>
                <w:iCs/>
                <w:sz w:val="24"/>
                <w:szCs w:val="24"/>
              </w:rPr>
            </w:pPr>
            <w:r>
              <w:rPr>
                <w:sz w:val="24"/>
                <w:szCs w:val="24"/>
              </w:rPr>
              <w:sym w:font="Wingdings 2" w:char="00A3"/>
            </w:r>
            <w:r>
              <w:rPr>
                <w:sz w:val="24"/>
                <w:szCs w:val="24"/>
              </w:rPr>
              <w:t>电话会议</w:t>
            </w:r>
          </w:p>
          <w:p w14:paraId="3F9F99B1">
            <w:pPr>
              <w:pStyle w:val="25"/>
              <w:tabs>
                <w:tab w:val="center" w:pos="3199"/>
              </w:tabs>
              <w:adjustRightInd w:val="0"/>
              <w:snapToGrid w:val="0"/>
              <w:spacing w:line="336" w:lineRule="auto"/>
              <w:rPr>
                <w:bCs/>
                <w:iCs/>
                <w:sz w:val="24"/>
                <w:u w:val="single"/>
              </w:rPr>
            </w:pPr>
            <w:r>
              <w:rPr>
                <w:bCs/>
                <w:iCs/>
                <w:sz w:val="24"/>
              </w:rPr>
              <w:sym w:font="Wingdings 2" w:char="00A3"/>
            </w:r>
            <w:r>
              <w:rPr>
                <w:sz w:val="24"/>
              </w:rPr>
              <w:t>其他</w:t>
            </w:r>
            <w:r>
              <w:rPr>
                <w:rFonts w:hint="eastAsia"/>
                <w:sz w:val="24"/>
                <w:u w:val="single"/>
              </w:rPr>
              <w:t xml:space="preserve">           </w:t>
            </w:r>
          </w:p>
        </w:tc>
      </w:tr>
      <w:tr w14:paraId="627C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26" w:type="dxa"/>
            <w:vAlign w:val="center"/>
          </w:tcPr>
          <w:p w14:paraId="0E25491F">
            <w:pPr>
              <w:pStyle w:val="25"/>
              <w:adjustRightInd w:val="0"/>
              <w:snapToGrid w:val="0"/>
              <w:spacing w:line="336" w:lineRule="auto"/>
              <w:rPr>
                <w:b/>
                <w:bCs/>
                <w:iCs/>
                <w:sz w:val="24"/>
              </w:rPr>
            </w:pPr>
            <w:r>
              <w:rPr>
                <w:b/>
                <w:bCs/>
                <w:iCs/>
                <w:sz w:val="24"/>
              </w:rPr>
              <w:t>参与单位名称及人员姓名</w:t>
            </w:r>
          </w:p>
        </w:tc>
        <w:tc>
          <w:tcPr>
            <w:tcW w:w="6996" w:type="dxa"/>
            <w:vAlign w:val="center"/>
          </w:tcPr>
          <w:p w14:paraId="6EEE2B6F">
            <w:pPr>
              <w:spacing w:line="336" w:lineRule="auto"/>
              <w:textAlignment w:val="baseline"/>
              <w:rPr>
                <w:rFonts w:ascii="Times New Roman" w:hAnsi="Times New Roman"/>
                <w:sz w:val="24"/>
                <w:szCs w:val="24"/>
              </w:rPr>
            </w:pPr>
            <w:r>
              <w:rPr>
                <w:rFonts w:hint="eastAsia" w:ascii="Times New Roman" w:hAnsi="Times New Roman"/>
                <w:sz w:val="24"/>
                <w:szCs w:val="24"/>
              </w:rPr>
              <w:t>国元基金 高  胜</w:t>
            </w:r>
          </w:p>
          <w:p w14:paraId="1100A921">
            <w:pPr>
              <w:spacing w:line="336" w:lineRule="auto"/>
              <w:textAlignment w:val="baseline"/>
              <w:rPr>
                <w:rFonts w:ascii="Times New Roman" w:hAnsi="Times New Roman"/>
                <w:sz w:val="24"/>
                <w:szCs w:val="24"/>
              </w:rPr>
            </w:pPr>
            <w:r>
              <w:rPr>
                <w:rFonts w:hint="eastAsia" w:ascii="Times New Roman" w:hAnsi="Times New Roman"/>
                <w:sz w:val="24"/>
                <w:szCs w:val="24"/>
              </w:rPr>
              <w:t>国泰基金 罗众求</w:t>
            </w:r>
          </w:p>
          <w:p w14:paraId="1C1846F8">
            <w:pPr>
              <w:spacing w:line="336" w:lineRule="auto"/>
              <w:textAlignment w:val="baseline"/>
              <w:rPr>
                <w:rFonts w:ascii="Times New Roman" w:hAnsi="Times New Roman"/>
                <w:sz w:val="24"/>
                <w:szCs w:val="24"/>
              </w:rPr>
            </w:pPr>
            <w:r>
              <w:rPr>
                <w:rFonts w:hint="eastAsia" w:ascii="Times New Roman" w:hAnsi="Times New Roman"/>
                <w:sz w:val="24"/>
                <w:szCs w:val="24"/>
              </w:rPr>
              <w:t>华安基金 王  晨</w:t>
            </w:r>
          </w:p>
          <w:p w14:paraId="4C9E3E46">
            <w:pPr>
              <w:spacing w:line="336" w:lineRule="auto"/>
              <w:textAlignment w:val="baseline"/>
              <w:rPr>
                <w:rFonts w:ascii="Times New Roman" w:hAnsi="Times New Roman"/>
                <w:sz w:val="24"/>
                <w:szCs w:val="24"/>
              </w:rPr>
            </w:pPr>
            <w:r>
              <w:rPr>
                <w:rFonts w:hint="eastAsia" w:ascii="Times New Roman" w:hAnsi="Times New Roman"/>
                <w:sz w:val="24"/>
                <w:szCs w:val="24"/>
              </w:rPr>
              <w:t>泰聚基金 张宪强</w:t>
            </w:r>
          </w:p>
          <w:p w14:paraId="5712EE46">
            <w:pPr>
              <w:spacing w:line="336" w:lineRule="auto"/>
              <w:textAlignment w:val="baseline"/>
              <w:rPr>
                <w:rFonts w:ascii="Times New Roman" w:hAnsi="Times New Roman"/>
                <w:sz w:val="24"/>
                <w:szCs w:val="24"/>
              </w:rPr>
            </w:pPr>
            <w:r>
              <w:rPr>
                <w:rFonts w:hint="eastAsia" w:ascii="Times New Roman" w:hAnsi="Times New Roman"/>
                <w:sz w:val="24"/>
                <w:szCs w:val="24"/>
              </w:rPr>
              <w:t>招商资管 蔡  靖</w:t>
            </w:r>
          </w:p>
          <w:p w14:paraId="4A5F68C5">
            <w:pPr>
              <w:spacing w:line="336" w:lineRule="auto"/>
              <w:textAlignment w:val="baseline"/>
              <w:rPr>
                <w:rFonts w:hint="default" w:ascii="Times New Roman" w:hAnsi="Times New Roman"/>
                <w:sz w:val="24"/>
                <w:szCs w:val="24"/>
                <w:lang w:val="en-US"/>
              </w:rPr>
            </w:pPr>
            <w:r>
              <w:rPr>
                <w:rFonts w:hint="eastAsia" w:ascii="Times New Roman" w:hAnsi="Times New Roman"/>
                <w:sz w:val="24"/>
                <w:szCs w:val="24"/>
              </w:rPr>
              <w:t>华源证券 戴铭余 郦悦轩</w:t>
            </w:r>
          </w:p>
          <w:p w14:paraId="5E362986">
            <w:pPr>
              <w:spacing w:line="336" w:lineRule="auto"/>
              <w:textAlignment w:val="baseline"/>
              <w:rPr>
                <w:rFonts w:ascii="Times New Roman" w:hAnsi="Times New Roman"/>
                <w:sz w:val="24"/>
                <w:szCs w:val="24"/>
              </w:rPr>
            </w:pPr>
            <w:r>
              <w:rPr>
                <w:rFonts w:hint="eastAsia" w:ascii="Times New Roman" w:hAnsi="Times New Roman"/>
                <w:sz w:val="24"/>
                <w:szCs w:val="24"/>
              </w:rPr>
              <w:t xml:space="preserve">光大证券 贺  根 </w:t>
            </w:r>
          </w:p>
          <w:p w14:paraId="1F4BAC65">
            <w:pPr>
              <w:spacing w:line="336" w:lineRule="auto"/>
              <w:textAlignment w:val="baseline"/>
              <w:rPr>
                <w:rFonts w:ascii="Times New Roman" w:hAnsi="Times New Roman"/>
                <w:sz w:val="24"/>
                <w:szCs w:val="24"/>
              </w:rPr>
            </w:pPr>
            <w:r>
              <w:rPr>
                <w:rFonts w:hint="eastAsia" w:ascii="Times New Roman" w:hAnsi="Times New Roman"/>
                <w:sz w:val="24"/>
                <w:szCs w:val="24"/>
              </w:rPr>
              <w:t xml:space="preserve">申万证券 达邵炜 </w:t>
            </w:r>
          </w:p>
          <w:p w14:paraId="2C01A2B1">
            <w:pPr>
              <w:spacing w:line="336" w:lineRule="auto"/>
              <w:textAlignment w:val="baseline"/>
              <w:rPr>
                <w:rFonts w:ascii="Times New Roman" w:hAnsi="Times New Roman"/>
                <w:sz w:val="24"/>
                <w:szCs w:val="24"/>
              </w:rPr>
            </w:pPr>
            <w:r>
              <w:rPr>
                <w:rFonts w:hint="eastAsia" w:ascii="Times New Roman" w:hAnsi="Times New Roman"/>
                <w:sz w:val="24"/>
                <w:szCs w:val="24"/>
              </w:rPr>
              <w:t>财通证券 杨博星</w:t>
            </w:r>
          </w:p>
          <w:p w14:paraId="3A603A26">
            <w:pPr>
              <w:spacing w:line="336" w:lineRule="auto"/>
              <w:textAlignment w:val="baseline"/>
              <w:rPr>
                <w:rFonts w:ascii="Times New Roman" w:hAnsi="Times New Roman"/>
                <w:sz w:val="24"/>
                <w:szCs w:val="24"/>
              </w:rPr>
            </w:pPr>
            <w:r>
              <w:rPr>
                <w:rFonts w:hint="eastAsia" w:ascii="Times New Roman" w:hAnsi="Times New Roman"/>
                <w:sz w:val="24"/>
                <w:szCs w:val="24"/>
              </w:rPr>
              <w:t>中信证券 张清源</w:t>
            </w:r>
          </w:p>
          <w:p w14:paraId="15CC69D2">
            <w:pPr>
              <w:spacing w:line="336" w:lineRule="auto"/>
              <w:textAlignment w:val="baseline"/>
              <w:rPr>
                <w:rFonts w:ascii="Times New Roman" w:hAnsi="Times New Roman"/>
                <w:sz w:val="24"/>
                <w:szCs w:val="24"/>
              </w:rPr>
            </w:pPr>
            <w:r>
              <w:rPr>
                <w:rFonts w:hint="eastAsia" w:ascii="Times New Roman" w:hAnsi="Times New Roman"/>
                <w:sz w:val="24"/>
                <w:szCs w:val="24"/>
              </w:rPr>
              <w:t>国信证券 王新航</w:t>
            </w:r>
          </w:p>
          <w:p w14:paraId="641A55D5">
            <w:pPr>
              <w:spacing w:line="336" w:lineRule="auto"/>
              <w:textAlignment w:val="baseline"/>
              <w:rPr>
                <w:rFonts w:ascii="Times New Roman" w:hAnsi="Times New Roman"/>
                <w:sz w:val="24"/>
                <w:szCs w:val="24"/>
              </w:rPr>
            </w:pPr>
            <w:r>
              <w:rPr>
                <w:rFonts w:hint="eastAsia" w:ascii="Times New Roman" w:hAnsi="Times New Roman"/>
                <w:sz w:val="24"/>
                <w:szCs w:val="24"/>
              </w:rPr>
              <w:t>国盛证券 刘天祥</w:t>
            </w:r>
          </w:p>
          <w:p w14:paraId="0BCA50A4">
            <w:pPr>
              <w:spacing w:line="336" w:lineRule="auto"/>
              <w:textAlignment w:val="baseline"/>
              <w:rPr>
                <w:rFonts w:ascii="Times New Roman" w:hAnsi="Times New Roman"/>
                <w:sz w:val="24"/>
                <w:szCs w:val="24"/>
              </w:rPr>
            </w:pPr>
            <w:r>
              <w:rPr>
                <w:rFonts w:hint="eastAsia" w:ascii="Times New Roman" w:hAnsi="Times New Roman"/>
                <w:sz w:val="24"/>
                <w:szCs w:val="24"/>
              </w:rPr>
              <w:t>国信证券 李  聪</w:t>
            </w:r>
          </w:p>
          <w:p w14:paraId="53708CE8">
            <w:pPr>
              <w:spacing w:line="336" w:lineRule="auto"/>
              <w:textAlignment w:val="baseline"/>
              <w:rPr>
                <w:rFonts w:ascii="Times New Roman" w:hAnsi="Times New Roman"/>
                <w:sz w:val="24"/>
                <w:szCs w:val="24"/>
              </w:rPr>
            </w:pPr>
            <w:r>
              <w:rPr>
                <w:rFonts w:hint="eastAsia" w:ascii="Times New Roman" w:hAnsi="Times New Roman"/>
                <w:sz w:val="24"/>
                <w:szCs w:val="24"/>
              </w:rPr>
              <w:t>华泰证券 田莫充</w:t>
            </w:r>
          </w:p>
          <w:p w14:paraId="00A737F0">
            <w:pPr>
              <w:spacing w:line="336" w:lineRule="auto"/>
              <w:textAlignment w:val="baseline"/>
              <w:rPr>
                <w:rFonts w:ascii="Times New Roman" w:hAnsi="Times New Roman"/>
                <w:sz w:val="24"/>
                <w:szCs w:val="24"/>
              </w:rPr>
            </w:pPr>
            <w:r>
              <w:rPr>
                <w:rFonts w:hint="eastAsia" w:ascii="Times New Roman" w:hAnsi="Times New Roman"/>
                <w:sz w:val="24"/>
                <w:szCs w:val="24"/>
              </w:rPr>
              <w:t>信康人寿 魏金剑</w:t>
            </w:r>
          </w:p>
          <w:p w14:paraId="7D9546B6">
            <w:pPr>
              <w:spacing w:line="336" w:lineRule="auto"/>
              <w:textAlignment w:val="baseline"/>
              <w:rPr>
                <w:rFonts w:ascii="Times New Roman" w:hAnsi="Times New Roman"/>
                <w:sz w:val="24"/>
                <w:szCs w:val="24"/>
              </w:rPr>
            </w:pPr>
            <w:r>
              <w:rPr>
                <w:rFonts w:hint="eastAsia" w:ascii="Times New Roman" w:hAnsi="Times New Roman"/>
                <w:sz w:val="24"/>
                <w:szCs w:val="24"/>
              </w:rPr>
              <w:t>铭海基金 梁艺腾</w:t>
            </w:r>
          </w:p>
        </w:tc>
      </w:tr>
      <w:tr w14:paraId="3F79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6" w:type="dxa"/>
            <w:vAlign w:val="center"/>
          </w:tcPr>
          <w:p w14:paraId="7FF0A426">
            <w:pPr>
              <w:pStyle w:val="25"/>
              <w:spacing w:line="336" w:lineRule="auto"/>
              <w:rPr>
                <w:rFonts w:ascii="Times New Roman" w:hAnsi="Times New Roman"/>
                <w:b/>
                <w:bCs/>
                <w:iCs/>
                <w:sz w:val="24"/>
              </w:rPr>
            </w:pPr>
            <w:r>
              <w:rPr>
                <w:rFonts w:ascii="Times New Roman" w:hAnsi="Times New Roman"/>
                <w:b/>
                <w:bCs/>
                <w:iCs/>
                <w:sz w:val="24"/>
              </w:rPr>
              <w:t>时间</w:t>
            </w:r>
          </w:p>
        </w:tc>
        <w:tc>
          <w:tcPr>
            <w:tcW w:w="6996" w:type="dxa"/>
            <w:vAlign w:val="center"/>
          </w:tcPr>
          <w:p w14:paraId="340A4CCB">
            <w:pPr>
              <w:pStyle w:val="25"/>
              <w:spacing w:line="336" w:lineRule="auto"/>
              <w:rPr>
                <w:rFonts w:ascii="Times New Roman" w:hAnsi="Times New Roman"/>
                <w:iCs/>
                <w:sz w:val="24"/>
              </w:rPr>
            </w:pPr>
            <w:r>
              <w:rPr>
                <w:rFonts w:hint="eastAsia" w:ascii="Times New Roman" w:hAnsi="Times New Roman"/>
                <w:iCs/>
                <w:sz w:val="24"/>
              </w:rPr>
              <w:t>2025年9月11日、10月13日</w:t>
            </w:r>
          </w:p>
        </w:tc>
      </w:tr>
      <w:tr w14:paraId="69A4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14:paraId="4FA6DA8B">
            <w:pPr>
              <w:pStyle w:val="25"/>
              <w:spacing w:line="336" w:lineRule="auto"/>
              <w:rPr>
                <w:rFonts w:ascii="Times New Roman" w:hAnsi="Times New Roman"/>
                <w:b/>
                <w:bCs/>
                <w:iCs/>
                <w:sz w:val="24"/>
              </w:rPr>
            </w:pPr>
            <w:r>
              <w:rPr>
                <w:rFonts w:ascii="Times New Roman" w:hAnsi="Times New Roman"/>
                <w:b/>
                <w:bCs/>
                <w:iCs/>
                <w:sz w:val="24"/>
              </w:rPr>
              <w:t>地点</w:t>
            </w:r>
          </w:p>
        </w:tc>
        <w:tc>
          <w:tcPr>
            <w:tcW w:w="6996" w:type="dxa"/>
            <w:vAlign w:val="center"/>
          </w:tcPr>
          <w:p w14:paraId="54081CE4">
            <w:pPr>
              <w:pStyle w:val="25"/>
              <w:spacing w:line="336" w:lineRule="auto"/>
              <w:rPr>
                <w:rFonts w:ascii="Times New Roman" w:hAnsi="Times New Roman"/>
                <w:iCs/>
                <w:sz w:val="24"/>
              </w:rPr>
            </w:pPr>
            <w:r>
              <w:rPr>
                <w:rFonts w:hint="eastAsia" w:ascii="Times New Roman" w:hAnsi="Times New Roman"/>
                <w:iCs/>
                <w:sz w:val="24"/>
              </w:rPr>
              <w:t>江西省南昌市高新开发区高新大道699号国泰集团会议室</w:t>
            </w:r>
          </w:p>
        </w:tc>
      </w:tr>
      <w:tr w14:paraId="52A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26" w:type="dxa"/>
            <w:vAlign w:val="center"/>
          </w:tcPr>
          <w:p w14:paraId="785888F6">
            <w:pPr>
              <w:pStyle w:val="25"/>
              <w:spacing w:line="336" w:lineRule="auto"/>
              <w:rPr>
                <w:rFonts w:ascii="Times New Roman" w:hAnsi="Times New Roman"/>
                <w:b/>
                <w:bCs/>
                <w:iCs/>
                <w:sz w:val="24"/>
              </w:rPr>
            </w:pPr>
            <w:r>
              <w:rPr>
                <w:rFonts w:ascii="Times New Roman" w:hAnsi="Times New Roman"/>
                <w:b/>
                <w:bCs/>
                <w:iCs/>
                <w:sz w:val="24"/>
              </w:rPr>
              <w:t>上市公司接待人员姓名</w:t>
            </w:r>
          </w:p>
        </w:tc>
        <w:tc>
          <w:tcPr>
            <w:tcW w:w="6996" w:type="dxa"/>
            <w:vAlign w:val="center"/>
          </w:tcPr>
          <w:p w14:paraId="7BD3907A">
            <w:pPr>
              <w:adjustRightInd w:val="0"/>
              <w:snapToGrid w:val="0"/>
              <w:spacing w:line="336" w:lineRule="auto"/>
              <w:rPr>
                <w:rFonts w:ascii="Times New Roman" w:hAnsi="Times New Roman"/>
                <w:sz w:val="24"/>
                <w:szCs w:val="24"/>
              </w:rPr>
            </w:pPr>
            <w:r>
              <w:rPr>
                <w:rFonts w:hint="eastAsia" w:ascii="Times New Roman" w:hAnsi="Times New Roman"/>
                <w:sz w:val="24"/>
                <w:szCs w:val="24"/>
              </w:rPr>
              <w:t>副总经理、法务总监、董事会秘书：何骥</w:t>
            </w:r>
          </w:p>
        </w:tc>
      </w:tr>
      <w:tr w14:paraId="0127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26" w:type="dxa"/>
            <w:vAlign w:val="center"/>
          </w:tcPr>
          <w:p w14:paraId="6DF7EBE0">
            <w:pPr>
              <w:pStyle w:val="25"/>
              <w:adjustRightInd w:val="0"/>
              <w:snapToGrid w:val="0"/>
              <w:spacing w:line="336" w:lineRule="auto"/>
              <w:rPr>
                <w:b/>
                <w:bCs/>
                <w:iCs/>
                <w:sz w:val="24"/>
              </w:rPr>
            </w:pPr>
            <w:r>
              <w:rPr>
                <w:rFonts w:hint="eastAsia"/>
                <w:b/>
                <w:bCs/>
                <w:iCs/>
                <w:sz w:val="24"/>
              </w:rPr>
              <w:t>投资者关系活动主要内容介绍</w:t>
            </w:r>
          </w:p>
        </w:tc>
        <w:tc>
          <w:tcPr>
            <w:tcW w:w="6996" w:type="dxa"/>
          </w:tcPr>
          <w:p w14:paraId="659160BC">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首先向投资者简要介绍公司近期经营状况，民爆业务、军工新材料业务情况，随后针对投资者关心的重点问题作了具体交流如下：</w:t>
            </w:r>
          </w:p>
          <w:p w14:paraId="28E10F05">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1、请问公司所处民爆行业近期运行情况如何？</w:t>
            </w:r>
          </w:p>
          <w:p w14:paraId="47181CA7">
            <w:pPr>
              <w:adjustRightInd w:val="0"/>
              <w:snapToGrid w:val="0"/>
              <w:spacing w:line="32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中国爆破器材行业协会发布的《2025年8月民爆行业运行情况》，2025年1-8月，我国民爆行业市场主要统计指标有升有降，但爆破服务仍是民爆行业的增长点。2025年1-8月，我国民爆生产企业累计完成生产、销售总值分别为252.80亿元和251.33亿元，同比分别下降3.85%和2.81%；累计实现主营业务收入271.61亿元，同比下降2.68%；累计实现利润总额61.03亿元，同比下降0.97%；累计实现爆破服务收入237.23亿元，同比增长14.64%。</w:t>
            </w:r>
          </w:p>
          <w:p w14:paraId="2A41A1CE">
            <w:pPr>
              <w:adjustRightInd w:val="0"/>
              <w:snapToGrid w:val="0"/>
              <w:spacing w:line="322"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2025年8月，我国民爆生产企业实现主营业务收入34.98亿元，同比下降7.83%；实现利润总额9.94亿元，同比增长30.96%；实现爆破服务收入31.55亿元，同比增长8.02%。</w:t>
            </w:r>
          </w:p>
          <w:p w14:paraId="2719AD75">
            <w:pPr>
              <w:adjustRightInd w:val="0"/>
              <w:snapToGrid w:val="0"/>
              <w:spacing w:line="336" w:lineRule="auto"/>
              <w:ind w:firstLine="480" w:firstLineChars="200"/>
              <w:rPr>
                <w:rFonts w:asciiTheme="minorEastAsia" w:hAnsiTheme="minorEastAsia" w:eastAsiaTheme="minorEastAsia" w:cstheme="minorEastAsia"/>
                <w:sz w:val="24"/>
                <w:szCs w:val="24"/>
              </w:rPr>
            </w:pPr>
          </w:p>
          <w:p w14:paraId="54380CBB">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2、公司的电子雷管芯片模组的供应情况？公司在电子雷管芯片模组进行布局有哪些优势？</w:t>
            </w:r>
          </w:p>
          <w:p w14:paraId="487F7D84">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公司全资子公司新余国泰是江西省唯一的数码电子雷管生产企业，为顺应民爆行业政策要求，满足工业数码电子雷管市场发展需要，解决芯片模块“卡脖子”问题，2021年新余国泰与上海鲲程电子科技有限公司合资设立江西国鲲微电子科技有限公司。控股子公司国鲲微电主营电子数码雷管芯片模组的制造及销售，其芯片模组生产量除覆盖公司电子雷管需求外，同时销往贵州、湖南、浙江等地的雷管生产厂家。</w:t>
            </w:r>
          </w:p>
          <w:p w14:paraId="64F253E1">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公司下设6家爆破服务公司，多年</w:t>
            </w:r>
            <w:r>
              <w:rPr>
                <w:rFonts w:hint="eastAsia" w:asciiTheme="minorEastAsia" w:hAnsiTheme="minorEastAsia" w:eastAsiaTheme="minorEastAsia" w:cstheme="minorEastAsia"/>
                <w:sz w:val="24"/>
                <w:szCs w:val="24"/>
                <w:lang w:val="en-US" w:eastAsia="zh-CN"/>
              </w:rPr>
              <w:t>来</w:t>
            </w:r>
            <w:bookmarkStart w:id="0" w:name="_GoBack"/>
            <w:bookmarkEnd w:id="0"/>
            <w:r>
              <w:rPr>
                <w:rFonts w:hint="eastAsia" w:asciiTheme="minorEastAsia" w:hAnsiTheme="minorEastAsia" w:eastAsiaTheme="minorEastAsia" w:cstheme="minorEastAsia"/>
                <w:sz w:val="24"/>
                <w:szCs w:val="24"/>
              </w:rPr>
              <w:t>深耕爆破服务领域，具有丰富的爆破服务作业经验，全资子公司国泰五洲拥有矿山总承包、营业性爆破一级资质，是省内唯一拥有双“一级”资质的爆破企业。基于此，公司布局电子数码雷管芯片模组，在于能够精准把握客户对电子雷管高安全性、操作便捷性及成本控制的核心需求。</w:t>
            </w:r>
          </w:p>
          <w:p w14:paraId="1D82D97B">
            <w:pPr>
              <w:adjustRightInd w:val="0"/>
              <w:snapToGrid w:val="0"/>
              <w:spacing w:line="336" w:lineRule="auto"/>
              <w:ind w:firstLine="480" w:firstLineChars="200"/>
              <w:rPr>
                <w:rFonts w:asciiTheme="minorEastAsia" w:hAnsiTheme="minorEastAsia" w:eastAsiaTheme="minorEastAsia" w:cstheme="minorEastAsia"/>
                <w:sz w:val="24"/>
                <w:szCs w:val="24"/>
              </w:rPr>
            </w:pPr>
          </w:p>
          <w:p w14:paraId="463EEE2E">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3、民爆行业下游产业运行情况如何，公司的民爆业务未来发展有哪些展望？</w:t>
            </w:r>
          </w:p>
          <w:p w14:paraId="39416E18">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民爆行业下游行业主要是煤炭、有色金属领域以及国家基础设施建设项目。根据国家统计局数据，2025年1-6月国内原煤产量约为24.05亿吨，同比增长5.4%；2025年1-6月有色金属工业固定资产投资同比增长16.1%，叠加国家重点基建项目开发，民爆下游行业持续稳定增长。</w:t>
            </w:r>
          </w:p>
          <w:p w14:paraId="3E164217">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是江西省唯一民爆生产企业，深耕民爆行业多年，目前拥有工业炸药生产许可能力17.4万吨，工业雷管产能3,027万发。近年来，公司大力开拓市场，拓展爆破服务一体化业务，推动民爆技术创新和经营质量提升，不断加大销售攻坚力度，民爆产业发展持续稳固。2025年上半年公司销售工业包装炸药55,323.61吨，实现营业收入33,223.20万元；爆破服务工程2,626.29万立方米，实现营业收入21,045.60万元；销售电子雷管1,123.68万发，实现营业收入14,351.48万元。</w:t>
            </w:r>
          </w:p>
          <w:p w14:paraId="3CAB62B8">
            <w:pPr>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公司电子雷管产品成功进驻西部市场，基本形成全国销售布局，未来公司将持续深化渠道建设，通过优化区域销售体系、加强重点客户精准服务、提升爆破一体化服务能力等多重举措，进一步提升公司电子雷管市场渗透率，持续巩固公司电子雷管市场份额。</w:t>
            </w:r>
          </w:p>
          <w:p w14:paraId="1913E72C">
            <w:pPr>
              <w:widowControl/>
              <w:adjustRightInd w:val="0"/>
              <w:snapToGrid w:val="0"/>
              <w:spacing w:line="336" w:lineRule="auto"/>
              <w:ind w:firstLine="480" w:firstLineChars="200"/>
              <w:rPr>
                <w:rFonts w:asciiTheme="minorEastAsia" w:hAnsiTheme="minorEastAsia" w:eastAsiaTheme="minorEastAsia" w:cstheme="minorEastAsia"/>
                <w:sz w:val="24"/>
                <w:szCs w:val="24"/>
              </w:rPr>
            </w:pPr>
          </w:p>
          <w:p w14:paraId="0FB5FB4A">
            <w:pPr>
              <w:widowControl/>
              <w:adjustRightInd w:val="0"/>
              <w:snapToGrid w:val="0"/>
              <w:spacing w:line="336"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4、公司生产的高氯酸钾产品有哪些优势，作为烟花鞭炮的原材料在岁末年初时是否有助于提振公司业绩</w:t>
            </w:r>
            <w:r>
              <w:rPr>
                <w:rFonts w:hint="eastAsia" w:asciiTheme="minorEastAsia" w:hAnsiTheme="minorEastAsia" w:eastAsiaTheme="minorEastAsia" w:cstheme="minorEastAsia"/>
                <w:sz w:val="24"/>
                <w:szCs w:val="24"/>
                <w:shd w:val="clear" w:color="auto" w:fill="FFFFFF"/>
              </w:rPr>
              <w:t>？</w:t>
            </w:r>
          </w:p>
          <w:p w14:paraId="43C2047B">
            <w:pPr>
              <w:widowControl/>
              <w:adjustRightInd w:val="0"/>
              <w:snapToGrid w:val="0"/>
              <w:spacing w:line="336" w:lineRule="auto"/>
              <w:ind w:firstLine="480" w:firstLineChars="20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答：公司控股子公司永宁科技生产的常规产品主要作为烟花、爆竹行业的原辅材料，此外永宁科技还开发并</w:t>
            </w:r>
            <w:r>
              <w:rPr>
                <w:rFonts w:hint="eastAsia" w:ascii="宋体" w:hAnsi="宋体" w:cs="宋体"/>
                <w:sz w:val="24"/>
              </w:rPr>
              <w:t>生产了粗颗粒、球形、超细颗粒等特殊规格的产品，具有纯度高、杂质含量低、晶体形状为球形等特点，已广泛使用于汽车安全气囊产气药、航空航天、军用</w:t>
            </w:r>
            <w:r>
              <w:rPr>
                <w:rFonts w:hint="eastAsia" w:asciiTheme="minorEastAsia" w:hAnsiTheme="minorEastAsia" w:eastAsiaTheme="minorEastAsia" w:cstheme="minorEastAsia"/>
                <w:sz w:val="24"/>
                <w:szCs w:val="24"/>
                <w:shd w:val="clear" w:color="auto" w:fill="FFFFFF"/>
              </w:rPr>
              <w:t>推进剂、军用点火药、信号弹发光剂</w:t>
            </w:r>
            <w:r>
              <w:rPr>
                <w:rFonts w:hint="eastAsia" w:ascii="宋体" w:hAnsi="宋体" w:cs="宋体"/>
                <w:sz w:val="24"/>
              </w:rPr>
              <w:t>等领域。</w:t>
            </w:r>
          </w:p>
          <w:p w14:paraId="7CE7312E">
            <w:pPr>
              <w:widowControl/>
              <w:adjustRightInd w:val="0"/>
              <w:snapToGrid w:val="0"/>
              <w:spacing w:line="336" w:lineRule="auto"/>
              <w:ind w:firstLine="480" w:firstLineChars="200"/>
              <w:rPr>
                <w:rFonts w:hint="eastAsia" w:ascii="宋体" w:hAnsi="宋体" w:cs="宋体"/>
                <w:sz w:val="24"/>
              </w:rPr>
            </w:pPr>
            <w:r>
              <w:rPr>
                <w:rFonts w:hint="eastAsia" w:asciiTheme="minorEastAsia" w:hAnsiTheme="minorEastAsia" w:eastAsiaTheme="minorEastAsia" w:cstheme="minorEastAsia"/>
                <w:sz w:val="24"/>
                <w:szCs w:val="24"/>
                <w:shd w:val="clear" w:color="auto" w:fill="FFFFFF"/>
              </w:rPr>
              <w:t>永宁科技是高氯酸钾生产龙头企业，</w:t>
            </w:r>
            <w:r>
              <w:rPr>
                <w:rFonts w:hint="eastAsia" w:ascii="宋体" w:hAnsi="宋体" w:cs="宋体"/>
                <w:sz w:val="24"/>
              </w:rPr>
              <w:t>是高氯酸钾行业标准《HG/T3247-2017》第一起草和修订单位，其生产的“神鹰”牌工业高氯酸钾用于烟花、爆竹行业做助燃剂，具有发射能量大、射程高、爆炸力强、响声清脆宏亮的特点，特别适合生产中空、高空、带响带叫的花炮品种。</w:t>
            </w:r>
          </w:p>
          <w:p w14:paraId="5CB8E572">
            <w:pPr>
              <w:widowControl/>
              <w:adjustRightInd w:val="0"/>
              <w:snapToGrid w:val="0"/>
              <w:spacing w:line="336" w:lineRule="auto"/>
              <w:ind w:firstLine="480" w:firstLineChars="200"/>
              <w:rPr>
                <w:rFonts w:ascii="宋体" w:hAnsi="宋体" w:cs="宋体"/>
                <w:sz w:val="24"/>
                <w:szCs w:val="24"/>
              </w:rPr>
            </w:pPr>
            <w:r>
              <w:rPr>
                <w:rFonts w:hint="eastAsia" w:ascii="宋体" w:hAnsi="宋体" w:cs="宋体"/>
                <w:sz w:val="24"/>
              </w:rPr>
              <w:t>岁末年初以及传统佳节之时，烟花爆竹的需求量增加，</w:t>
            </w:r>
            <w:r>
              <w:rPr>
                <w:rFonts w:hint="eastAsia" w:ascii="宋体" w:hAnsi="宋体" w:cs="宋体"/>
                <w:sz w:val="24"/>
                <w:szCs w:val="24"/>
              </w:rPr>
              <w:t>有益于提升永宁科技订单规模，对其业务收入及盈利能力将产生积极作用。</w:t>
            </w:r>
          </w:p>
          <w:p w14:paraId="44935076">
            <w:pPr>
              <w:widowControl/>
              <w:adjustRightInd w:val="0"/>
              <w:snapToGrid w:val="0"/>
              <w:spacing w:line="336" w:lineRule="auto"/>
              <w:ind w:firstLine="480" w:firstLineChars="200"/>
              <w:rPr>
                <w:rFonts w:ascii="宋体" w:hAnsi="宋体" w:cs="宋体"/>
                <w:sz w:val="24"/>
                <w:szCs w:val="24"/>
              </w:rPr>
            </w:pPr>
          </w:p>
          <w:p w14:paraId="0F20FF96">
            <w:pPr>
              <w:widowControl/>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5、公司后续如何加强市值管理，增强投资者信心？</w:t>
            </w:r>
          </w:p>
          <w:p w14:paraId="69BEBDBD">
            <w:pPr>
              <w:widowControl/>
              <w:adjustRightInd w:val="0"/>
              <w:snapToGrid w:val="0"/>
              <w:spacing w:line="336"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答：公司市值受到宏观经济、资金供求、行业趋势及投资者情绪等多重因素的综合影响，公司始终高度重视市值管理工作，致力于维护在资本市场的良好形象。</w:t>
            </w:r>
          </w:p>
          <w:p w14:paraId="607223D9">
            <w:pPr>
              <w:widowControl/>
              <w:adjustRightInd w:val="0"/>
              <w:snapToGrid w:val="0"/>
              <w:spacing w:line="336" w:lineRule="auto"/>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公司将通过以下路径持续提升内在价值与市场认同：一是专注主业经营，提升业绩水平；二是完善治理结构，加强投资者关系管理，提升信息披露质量；三是落实持续稳定的现金分红政策，构建完善的ESG与社会责任管理体系。未来公司将以实际行动增强投资者信心，努力推动市值稳步增长。</w:t>
            </w:r>
          </w:p>
        </w:tc>
      </w:tr>
      <w:tr w14:paraId="3393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14:paraId="2D3B9F8F">
            <w:pPr>
              <w:pStyle w:val="25"/>
              <w:spacing w:line="336" w:lineRule="auto"/>
              <w:rPr>
                <w:rFonts w:ascii="Times New Roman" w:hAnsi="Times New Roman"/>
                <w:b/>
                <w:bCs/>
                <w:iCs/>
                <w:sz w:val="24"/>
              </w:rPr>
            </w:pPr>
            <w:r>
              <w:rPr>
                <w:rFonts w:ascii="Times New Roman" w:hAnsi="Times New Roman"/>
                <w:b/>
                <w:bCs/>
                <w:iCs/>
                <w:sz w:val="24"/>
              </w:rPr>
              <w:t>附件清单</w:t>
            </w:r>
          </w:p>
        </w:tc>
        <w:tc>
          <w:tcPr>
            <w:tcW w:w="6996" w:type="dxa"/>
            <w:vAlign w:val="center"/>
          </w:tcPr>
          <w:p w14:paraId="604BF607">
            <w:pPr>
              <w:pStyle w:val="25"/>
              <w:spacing w:line="336" w:lineRule="auto"/>
              <w:rPr>
                <w:rFonts w:ascii="Times New Roman" w:hAnsi="Times New Roman"/>
                <w:bCs/>
                <w:iCs/>
                <w:sz w:val="24"/>
              </w:rPr>
            </w:pPr>
            <w:r>
              <w:rPr>
                <w:rFonts w:ascii="Times New Roman" w:hAnsi="Times New Roman"/>
                <w:bCs/>
                <w:iCs/>
                <w:sz w:val="24"/>
              </w:rPr>
              <w:t>无。</w:t>
            </w:r>
          </w:p>
        </w:tc>
      </w:tr>
      <w:tr w14:paraId="5310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F69DFE">
            <w:pPr>
              <w:pStyle w:val="25"/>
              <w:spacing w:line="336" w:lineRule="auto"/>
              <w:rPr>
                <w:rFonts w:ascii="Times New Roman" w:hAnsi="Times New Roman"/>
                <w:b/>
                <w:bCs/>
                <w:iCs/>
                <w:sz w:val="24"/>
              </w:rPr>
            </w:pPr>
            <w:r>
              <w:rPr>
                <w:rFonts w:ascii="Times New Roman" w:hAnsi="Times New Roman"/>
                <w:b/>
                <w:bCs/>
                <w:iCs/>
                <w:sz w:val="24"/>
              </w:rPr>
              <w:t>日期</w:t>
            </w:r>
          </w:p>
        </w:tc>
        <w:tc>
          <w:tcPr>
            <w:tcW w:w="6996" w:type="dxa"/>
            <w:vAlign w:val="center"/>
          </w:tcPr>
          <w:p w14:paraId="425B4162">
            <w:pPr>
              <w:pStyle w:val="25"/>
              <w:spacing w:line="336" w:lineRule="auto"/>
              <w:rPr>
                <w:rFonts w:ascii="Times New Roman" w:hAnsi="Times New Roman"/>
                <w:bCs/>
                <w:iCs/>
                <w:sz w:val="24"/>
              </w:rPr>
            </w:pPr>
            <w:r>
              <w:rPr>
                <w:rFonts w:ascii="Times New Roman" w:hAnsi="Times New Roman"/>
                <w:bCs/>
                <w:iCs/>
                <w:sz w:val="24"/>
              </w:rPr>
              <w:t>202</w:t>
            </w:r>
            <w:r>
              <w:rPr>
                <w:rFonts w:hint="eastAsia" w:ascii="Times New Roman" w:hAnsi="Times New Roman"/>
                <w:bCs/>
                <w:iCs/>
                <w:sz w:val="24"/>
              </w:rPr>
              <w:t>5</w:t>
            </w:r>
            <w:r>
              <w:rPr>
                <w:rFonts w:ascii="Times New Roman" w:hAnsi="Times New Roman"/>
                <w:bCs/>
                <w:iCs/>
                <w:sz w:val="24"/>
              </w:rPr>
              <w:t>年</w:t>
            </w:r>
            <w:r>
              <w:rPr>
                <w:rFonts w:hint="eastAsia" w:ascii="Times New Roman" w:hAnsi="Times New Roman"/>
                <w:bCs/>
                <w:iCs/>
                <w:sz w:val="24"/>
              </w:rPr>
              <w:t>10月15</w:t>
            </w:r>
            <w:r>
              <w:rPr>
                <w:rFonts w:ascii="Times New Roman" w:hAnsi="Times New Roman"/>
                <w:bCs/>
                <w:iCs/>
                <w:sz w:val="24"/>
              </w:rPr>
              <w:t>日</w:t>
            </w:r>
          </w:p>
        </w:tc>
      </w:tr>
    </w:tbl>
    <w:p w14:paraId="62001F62">
      <w:pPr>
        <w:adjustRightInd w:val="0"/>
        <w:snapToGrid w:val="0"/>
        <w:rPr>
          <w:rFonts w:ascii="Times New Roman" w:hAnsi="Times New Roman"/>
          <w:sz w:val="28"/>
          <w:szCs w:val="28"/>
        </w:rPr>
      </w:pPr>
    </w:p>
    <w:sectPr>
      <w:footerReference r:id="rId3" w:type="default"/>
      <w:pgSz w:w="11906" w:h="16838"/>
      <w:pgMar w:top="1406" w:right="1797" w:bottom="140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294211"/>
    </w:sdtPr>
    <w:sdtContent>
      <w:p w14:paraId="0BD816A8">
        <w:pPr>
          <w:pStyle w:val="8"/>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Q4MzJhZjU2N2I4ZWI0YjZiZWE5MDQ3YzE4OTkifQ=="/>
  </w:docVars>
  <w:rsids>
    <w:rsidRoot w:val="00172A27"/>
    <w:rsid w:val="00005B48"/>
    <w:rsid w:val="00005BE5"/>
    <w:rsid w:val="00011023"/>
    <w:rsid w:val="00012A14"/>
    <w:rsid w:val="00051401"/>
    <w:rsid w:val="000729AD"/>
    <w:rsid w:val="00075373"/>
    <w:rsid w:val="000B3CDB"/>
    <w:rsid w:val="000B5A24"/>
    <w:rsid w:val="000D5F99"/>
    <w:rsid w:val="000E7FD8"/>
    <w:rsid w:val="000F3952"/>
    <w:rsid w:val="00111F29"/>
    <w:rsid w:val="00117DB4"/>
    <w:rsid w:val="00121DE1"/>
    <w:rsid w:val="00134FAD"/>
    <w:rsid w:val="001408E3"/>
    <w:rsid w:val="0014474A"/>
    <w:rsid w:val="001508BC"/>
    <w:rsid w:val="001549ED"/>
    <w:rsid w:val="00155533"/>
    <w:rsid w:val="00170126"/>
    <w:rsid w:val="00172134"/>
    <w:rsid w:val="00172A27"/>
    <w:rsid w:val="00173BDF"/>
    <w:rsid w:val="00183643"/>
    <w:rsid w:val="0019468E"/>
    <w:rsid w:val="001A3EA8"/>
    <w:rsid w:val="001C0C03"/>
    <w:rsid w:val="001C5BB5"/>
    <w:rsid w:val="001D60B8"/>
    <w:rsid w:val="001E1523"/>
    <w:rsid w:val="001F4888"/>
    <w:rsid w:val="002037D4"/>
    <w:rsid w:val="002102EB"/>
    <w:rsid w:val="002129C3"/>
    <w:rsid w:val="00254D1B"/>
    <w:rsid w:val="00260223"/>
    <w:rsid w:val="00282BE8"/>
    <w:rsid w:val="002A4B4C"/>
    <w:rsid w:val="002D7F64"/>
    <w:rsid w:val="002F355C"/>
    <w:rsid w:val="00303F67"/>
    <w:rsid w:val="003215D0"/>
    <w:rsid w:val="003333AB"/>
    <w:rsid w:val="00350817"/>
    <w:rsid w:val="003520C8"/>
    <w:rsid w:val="00356267"/>
    <w:rsid w:val="00370EA2"/>
    <w:rsid w:val="00380AEF"/>
    <w:rsid w:val="00415011"/>
    <w:rsid w:val="00431986"/>
    <w:rsid w:val="004502D8"/>
    <w:rsid w:val="004609B1"/>
    <w:rsid w:val="00466ACE"/>
    <w:rsid w:val="004762D3"/>
    <w:rsid w:val="0047695B"/>
    <w:rsid w:val="004934B0"/>
    <w:rsid w:val="004C0239"/>
    <w:rsid w:val="004D0367"/>
    <w:rsid w:val="004D0F55"/>
    <w:rsid w:val="004E12F1"/>
    <w:rsid w:val="004F05BD"/>
    <w:rsid w:val="00502478"/>
    <w:rsid w:val="00502D48"/>
    <w:rsid w:val="00505561"/>
    <w:rsid w:val="0054333A"/>
    <w:rsid w:val="00546F98"/>
    <w:rsid w:val="005508BF"/>
    <w:rsid w:val="005516FE"/>
    <w:rsid w:val="005A56BD"/>
    <w:rsid w:val="005B0351"/>
    <w:rsid w:val="005D311D"/>
    <w:rsid w:val="005D3B41"/>
    <w:rsid w:val="005E6BC9"/>
    <w:rsid w:val="00610F76"/>
    <w:rsid w:val="00612FCB"/>
    <w:rsid w:val="00621D23"/>
    <w:rsid w:val="006267C4"/>
    <w:rsid w:val="00654E41"/>
    <w:rsid w:val="00660154"/>
    <w:rsid w:val="0066027F"/>
    <w:rsid w:val="00660AD4"/>
    <w:rsid w:val="006724C6"/>
    <w:rsid w:val="006A76EB"/>
    <w:rsid w:val="0070314F"/>
    <w:rsid w:val="00714BDD"/>
    <w:rsid w:val="00726C8D"/>
    <w:rsid w:val="00735737"/>
    <w:rsid w:val="007572EB"/>
    <w:rsid w:val="007577DF"/>
    <w:rsid w:val="007A6170"/>
    <w:rsid w:val="007D2B30"/>
    <w:rsid w:val="007D484F"/>
    <w:rsid w:val="008063A5"/>
    <w:rsid w:val="00807D0E"/>
    <w:rsid w:val="00837B23"/>
    <w:rsid w:val="00837F9A"/>
    <w:rsid w:val="00856970"/>
    <w:rsid w:val="00900289"/>
    <w:rsid w:val="00912D6C"/>
    <w:rsid w:val="009A379D"/>
    <w:rsid w:val="009B4AC3"/>
    <w:rsid w:val="009C1B56"/>
    <w:rsid w:val="009C27FE"/>
    <w:rsid w:val="009D3410"/>
    <w:rsid w:val="009E3246"/>
    <w:rsid w:val="00A170C7"/>
    <w:rsid w:val="00A6191B"/>
    <w:rsid w:val="00A628F4"/>
    <w:rsid w:val="00A670F7"/>
    <w:rsid w:val="00A70EAF"/>
    <w:rsid w:val="00A71EBF"/>
    <w:rsid w:val="00A74DB1"/>
    <w:rsid w:val="00AE2EA5"/>
    <w:rsid w:val="00AE7B95"/>
    <w:rsid w:val="00AF217D"/>
    <w:rsid w:val="00B008D6"/>
    <w:rsid w:val="00B13B61"/>
    <w:rsid w:val="00B45C19"/>
    <w:rsid w:val="00B53767"/>
    <w:rsid w:val="00B53F8B"/>
    <w:rsid w:val="00B636F0"/>
    <w:rsid w:val="00B67E74"/>
    <w:rsid w:val="00B72B1E"/>
    <w:rsid w:val="00B95F24"/>
    <w:rsid w:val="00BA60E8"/>
    <w:rsid w:val="00BB66D9"/>
    <w:rsid w:val="00BC3F7D"/>
    <w:rsid w:val="00BC6896"/>
    <w:rsid w:val="00BE3D4A"/>
    <w:rsid w:val="00BE6801"/>
    <w:rsid w:val="00BE6F6C"/>
    <w:rsid w:val="00BF44E6"/>
    <w:rsid w:val="00C528EC"/>
    <w:rsid w:val="00C5456E"/>
    <w:rsid w:val="00C9040D"/>
    <w:rsid w:val="00C96D4E"/>
    <w:rsid w:val="00CC5CA9"/>
    <w:rsid w:val="00CF0CB9"/>
    <w:rsid w:val="00CF7F22"/>
    <w:rsid w:val="00D466A6"/>
    <w:rsid w:val="00D6740A"/>
    <w:rsid w:val="00D70E55"/>
    <w:rsid w:val="00D764E4"/>
    <w:rsid w:val="00D76A2A"/>
    <w:rsid w:val="00D82ADB"/>
    <w:rsid w:val="00D867EF"/>
    <w:rsid w:val="00DC0261"/>
    <w:rsid w:val="00E06D0E"/>
    <w:rsid w:val="00E23F3C"/>
    <w:rsid w:val="00E310B8"/>
    <w:rsid w:val="00E62CB1"/>
    <w:rsid w:val="00E67BAB"/>
    <w:rsid w:val="00E76B3E"/>
    <w:rsid w:val="00EA2A0B"/>
    <w:rsid w:val="00EB3F3E"/>
    <w:rsid w:val="00EC359E"/>
    <w:rsid w:val="00ED68F4"/>
    <w:rsid w:val="00EF1FB8"/>
    <w:rsid w:val="00EF628C"/>
    <w:rsid w:val="00F071C8"/>
    <w:rsid w:val="00F42141"/>
    <w:rsid w:val="00F50500"/>
    <w:rsid w:val="00F846A9"/>
    <w:rsid w:val="00F85EEC"/>
    <w:rsid w:val="00FC0EF6"/>
    <w:rsid w:val="00FC7064"/>
    <w:rsid w:val="00FE1056"/>
    <w:rsid w:val="00FE18DA"/>
    <w:rsid w:val="012F77FB"/>
    <w:rsid w:val="01663B09"/>
    <w:rsid w:val="017052C2"/>
    <w:rsid w:val="01BE6AF9"/>
    <w:rsid w:val="01DE0B90"/>
    <w:rsid w:val="0220070B"/>
    <w:rsid w:val="0272649F"/>
    <w:rsid w:val="02EB069A"/>
    <w:rsid w:val="02EE7BE2"/>
    <w:rsid w:val="031B1925"/>
    <w:rsid w:val="0361440A"/>
    <w:rsid w:val="03AC6682"/>
    <w:rsid w:val="03CC315E"/>
    <w:rsid w:val="040A0C52"/>
    <w:rsid w:val="04414F29"/>
    <w:rsid w:val="04850756"/>
    <w:rsid w:val="057E50FA"/>
    <w:rsid w:val="058811C3"/>
    <w:rsid w:val="062E19DF"/>
    <w:rsid w:val="06B74D94"/>
    <w:rsid w:val="06D871F0"/>
    <w:rsid w:val="079F2DB5"/>
    <w:rsid w:val="07DD5908"/>
    <w:rsid w:val="08140220"/>
    <w:rsid w:val="086C2CFF"/>
    <w:rsid w:val="086F3FA3"/>
    <w:rsid w:val="08C40CF3"/>
    <w:rsid w:val="093D48C6"/>
    <w:rsid w:val="09C6525C"/>
    <w:rsid w:val="09F04B00"/>
    <w:rsid w:val="0A1D72FB"/>
    <w:rsid w:val="0A9172F3"/>
    <w:rsid w:val="0AD97127"/>
    <w:rsid w:val="0BB05F2E"/>
    <w:rsid w:val="0C112E71"/>
    <w:rsid w:val="0C702A5E"/>
    <w:rsid w:val="0C965124"/>
    <w:rsid w:val="0D3A63F7"/>
    <w:rsid w:val="0D817B82"/>
    <w:rsid w:val="0DE6032D"/>
    <w:rsid w:val="0DEC35A3"/>
    <w:rsid w:val="0DF51B3A"/>
    <w:rsid w:val="0E776918"/>
    <w:rsid w:val="0E8F0CEC"/>
    <w:rsid w:val="0EA06710"/>
    <w:rsid w:val="0F0452CB"/>
    <w:rsid w:val="0F28659B"/>
    <w:rsid w:val="0F9D4A1B"/>
    <w:rsid w:val="0FAE4AFF"/>
    <w:rsid w:val="0FF51325"/>
    <w:rsid w:val="108D02AC"/>
    <w:rsid w:val="109D35C9"/>
    <w:rsid w:val="10A9384D"/>
    <w:rsid w:val="112573D4"/>
    <w:rsid w:val="11882673"/>
    <w:rsid w:val="11975CCC"/>
    <w:rsid w:val="11D230A2"/>
    <w:rsid w:val="126E213E"/>
    <w:rsid w:val="12C41C61"/>
    <w:rsid w:val="12C53120"/>
    <w:rsid w:val="12F31613"/>
    <w:rsid w:val="131F6DE2"/>
    <w:rsid w:val="141F5C26"/>
    <w:rsid w:val="1450602A"/>
    <w:rsid w:val="1491634A"/>
    <w:rsid w:val="14B0591D"/>
    <w:rsid w:val="14D507B4"/>
    <w:rsid w:val="150C0565"/>
    <w:rsid w:val="15146085"/>
    <w:rsid w:val="153D0F1F"/>
    <w:rsid w:val="158F0E59"/>
    <w:rsid w:val="15E962C8"/>
    <w:rsid w:val="16826AC0"/>
    <w:rsid w:val="17090DA6"/>
    <w:rsid w:val="1761330E"/>
    <w:rsid w:val="177855D8"/>
    <w:rsid w:val="17B57FA2"/>
    <w:rsid w:val="187F55E4"/>
    <w:rsid w:val="18EF7F00"/>
    <w:rsid w:val="191F5229"/>
    <w:rsid w:val="19297D6C"/>
    <w:rsid w:val="19C159DC"/>
    <w:rsid w:val="19CC5666"/>
    <w:rsid w:val="19DD0836"/>
    <w:rsid w:val="1ACA7824"/>
    <w:rsid w:val="1B153B0F"/>
    <w:rsid w:val="1B2D6D86"/>
    <w:rsid w:val="1BD92B22"/>
    <w:rsid w:val="1C323E3C"/>
    <w:rsid w:val="1C986C96"/>
    <w:rsid w:val="1CC96E50"/>
    <w:rsid w:val="1CCF12B9"/>
    <w:rsid w:val="1CEA0CB6"/>
    <w:rsid w:val="1D4721ED"/>
    <w:rsid w:val="1D590854"/>
    <w:rsid w:val="1DB47768"/>
    <w:rsid w:val="1DD71E89"/>
    <w:rsid w:val="1E427427"/>
    <w:rsid w:val="1E7233D8"/>
    <w:rsid w:val="1F76772C"/>
    <w:rsid w:val="1F942FED"/>
    <w:rsid w:val="1FED4FD6"/>
    <w:rsid w:val="20333C9A"/>
    <w:rsid w:val="203606F7"/>
    <w:rsid w:val="20857532"/>
    <w:rsid w:val="210420AB"/>
    <w:rsid w:val="213D3241"/>
    <w:rsid w:val="214F732B"/>
    <w:rsid w:val="22370CEE"/>
    <w:rsid w:val="226E1C50"/>
    <w:rsid w:val="22A250A5"/>
    <w:rsid w:val="22DA188C"/>
    <w:rsid w:val="232C2FB8"/>
    <w:rsid w:val="23B00D6A"/>
    <w:rsid w:val="23B95E70"/>
    <w:rsid w:val="23C737F1"/>
    <w:rsid w:val="23CD5478"/>
    <w:rsid w:val="2513238F"/>
    <w:rsid w:val="2522011E"/>
    <w:rsid w:val="25584DBF"/>
    <w:rsid w:val="259F4BF2"/>
    <w:rsid w:val="26030083"/>
    <w:rsid w:val="26177D1E"/>
    <w:rsid w:val="26FA6683"/>
    <w:rsid w:val="274A3283"/>
    <w:rsid w:val="27930A54"/>
    <w:rsid w:val="27A41130"/>
    <w:rsid w:val="27E730D2"/>
    <w:rsid w:val="27F40A5C"/>
    <w:rsid w:val="28740B91"/>
    <w:rsid w:val="28C14B8C"/>
    <w:rsid w:val="29333E09"/>
    <w:rsid w:val="293765A7"/>
    <w:rsid w:val="298567F4"/>
    <w:rsid w:val="29A719C6"/>
    <w:rsid w:val="2A396FA8"/>
    <w:rsid w:val="2AC55599"/>
    <w:rsid w:val="2ADE3EBE"/>
    <w:rsid w:val="2B1C0D4E"/>
    <w:rsid w:val="2B2A2B97"/>
    <w:rsid w:val="2B9E1F94"/>
    <w:rsid w:val="2C742F1C"/>
    <w:rsid w:val="2C8974F1"/>
    <w:rsid w:val="2C8D1007"/>
    <w:rsid w:val="2CB41BB9"/>
    <w:rsid w:val="2D40283E"/>
    <w:rsid w:val="2D4F45EC"/>
    <w:rsid w:val="2DBC19FE"/>
    <w:rsid w:val="2DC07873"/>
    <w:rsid w:val="2E0C310F"/>
    <w:rsid w:val="2E484523"/>
    <w:rsid w:val="2E5C0A31"/>
    <w:rsid w:val="2E72119E"/>
    <w:rsid w:val="2F3274BC"/>
    <w:rsid w:val="30091B5C"/>
    <w:rsid w:val="301402BF"/>
    <w:rsid w:val="30145DD2"/>
    <w:rsid w:val="30371B9A"/>
    <w:rsid w:val="316763F2"/>
    <w:rsid w:val="31813174"/>
    <w:rsid w:val="31A53D8D"/>
    <w:rsid w:val="3208431E"/>
    <w:rsid w:val="32193F7E"/>
    <w:rsid w:val="3237618E"/>
    <w:rsid w:val="32440EDC"/>
    <w:rsid w:val="32654D10"/>
    <w:rsid w:val="326C0551"/>
    <w:rsid w:val="328C0AF9"/>
    <w:rsid w:val="32DD02DF"/>
    <w:rsid w:val="32F87E53"/>
    <w:rsid w:val="3356503C"/>
    <w:rsid w:val="33690F44"/>
    <w:rsid w:val="33CE2331"/>
    <w:rsid w:val="340335EB"/>
    <w:rsid w:val="348A04B5"/>
    <w:rsid w:val="356B0A3B"/>
    <w:rsid w:val="362C4BA3"/>
    <w:rsid w:val="36704ABB"/>
    <w:rsid w:val="367D2D2D"/>
    <w:rsid w:val="369778A1"/>
    <w:rsid w:val="36A06137"/>
    <w:rsid w:val="373C3BA7"/>
    <w:rsid w:val="37A10571"/>
    <w:rsid w:val="37F25E82"/>
    <w:rsid w:val="385653BD"/>
    <w:rsid w:val="38C479A9"/>
    <w:rsid w:val="38CD681E"/>
    <w:rsid w:val="38DC5496"/>
    <w:rsid w:val="39760E2C"/>
    <w:rsid w:val="39AB7BB1"/>
    <w:rsid w:val="39AE48B3"/>
    <w:rsid w:val="39D37144"/>
    <w:rsid w:val="39D4375B"/>
    <w:rsid w:val="39D964F3"/>
    <w:rsid w:val="39DC36C8"/>
    <w:rsid w:val="3A287454"/>
    <w:rsid w:val="3A3042F0"/>
    <w:rsid w:val="3A4D0C68"/>
    <w:rsid w:val="3A5B4367"/>
    <w:rsid w:val="3A811C01"/>
    <w:rsid w:val="3A953F23"/>
    <w:rsid w:val="3ABA309F"/>
    <w:rsid w:val="3B084B8F"/>
    <w:rsid w:val="3BBF5B96"/>
    <w:rsid w:val="3BD0316A"/>
    <w:rsid w:val="3BEE40FB"/>
    <w:rsid w:val="3C3C4F74"/>
    <w:rsid w:val="3C5C4961"/>
    <w:rsid w:val="3C91732A"/>
    <w:rsid w:val="3D9A797A"/>
    <w:rsid w:val="3E7551CA"/>
    <w:rsid w:val="3ED846AD"/>
    <w:rsid w:val="3F735789"/>
    <w:rsid w:val="3F827886"/>
    <w:rsid w:val="3FD2226D"/>
    <w:rsid w:val="40095F44"/>
    <w:rsid w:val="401B340B"/>
    <w:rsid w:val="40293542"/>
    <w:rsid w:val="4037674B"/>
    <w:rsid w:val="40F912CC"/>
    <w:rsid w:val="41030C2C"/>
    <w:rsid w:val="41557C10"/>
    <w:rsid w:val="42A329D9"/>
    <w:rsid w:val="43170066"/>
    <w:rsid w:val="431B63A1"/>
    <w:rsid w:val="4341605B"/>
    <w:rsid w:val="44E450F4"/>
    <w:rsid w:val="44F95E3B"/>
    <w:rsid w:val="459C3284"/>
    <w:rsid w:val="4639158F"/>
    <w:rsid w:val="465E51D8"/>
    <w:rsid w:val="466934D4"/>
    <w:rsid w:val="469B1418"/>
    <w:rsid w:val="46CE0C62"/>
    <w:rsid w:val="46D33C0B"/>
    <w:rsid w:val="46E55077"/>
    <w:rsid w:val="46F56910"/>
    <w:rsid w:val="47413903"/>
    <w:rsid w:val="47B046BF"/>
    <w:rsid w:val="47D546FC"/>
    <w:rsid w:val="481E5EE0"/>
    <w:rsid w:val="484F0AC7"/>
    <w:rsid w:val="48562A5D"/>
    <w:rsid w:val="48B10EED"/>
    <w:rsid w:val="48D2515B"/>
    <w:rsid w:val="491A440C"/>
    <w:rsid w:val="491A689C"/>
    <w:rsid w:val="4933371F"/>
    <w:rsid w:val="49B37CF3"/>
    <w:rsid w:val="4A1C0F29"/>
    <w:rsid w:val="4A9F3C99"/>
    <w:rsid w:val="4B051A35"/>
    <w:rsid w:val="4B7B1369"/>
    <w:rsid w:val="4BDB5432"/>
    <w:rsid w:val="4C0E4530"/>
    <w:rsid w:val="4C524C1B"/>
    <w:rsid w:val="4C565819"/>
    <w:rsid w:val="4D171D2A"/>
    <w:rsid w:val="4D2224A6"/>
    <w:rsid w:val="4D241CFD"/>
    <w:rsid w:val="4D385458"/>
    <w:rsid w:val="4D4B521F"/>
    <w:rsid w:val="4DF5519C"/>
    <w:rsid w:val="4E004A5C"/>
    <w:rsid w:val="4E5D1EF1"/>
    <w:rsid w:val="4E731CF7"/>
    <w:rsid w:val="4E9133C2"/>
    <w:rsid w:val="4EBD5F65"/>
    <w:rsid w:val="4EED3194"/>
    <w:rsid w:val="4EFB1BC3"/>
    <w:rsid w:val="4F376605"/>
    <w:rsid w:val="50CE348B"/>
    <w:rsid w:val="51A83C8D"/>
    <w:rsid w:val="524D6C8F"/>
    <w:rsid w:val="52BC0E0C"/>
    <w:rsid w:val="53811229"/>
    <w:rsid w:val="53E607EA"/>
    <w:rsid w:val="546F389A"/>
    <w:rsid w:val="55442EBF"/>
    <w:rsid w:val="554C3B9F"/>
    <w:rsid w:val="557378ED"/>
    <w:rsid w:val="55E40C52"/>
    <w:rsid w:val="563A5AB9"/>
    <w:rsid w:val="57204F99"/>
    <w:rsid w:val="57366EDE"/>
    <w:rsid w:val="579C7722"/>
    <w:rsid w:val="57DD31D4"/>
    <w:rsid w:val="583F204E"/>
    <w:rsid w:val="58AE5E7C"/>
    <w:rsid w:val="59072908"/>
    <w:rsid w:val="595E459B"/>
    <w:rsid w:val="59817DB6"/>
    <w:rsid w:val="59A74B39"/>
    <w:rsid w:val="59FB60B5"/>
    <w:rsid w:val="5A372CE3"/>
    <w:rsid w:val="5A7D0C9E"/>
    <w:rsid w:val="5A8E4C59"/>
    <w:rsid w:val="5AD41F13"/>
    <w:rsid w:val="5B666B02"/>
    <w:rsid w:val="5B8D4930"/>
    <w:rsid w:val="5BDA230A"/>
    <w:rsid w:val="5BFA6489"/>
    <w:rsid w:val="5BFB3C44"/>
    <w:rsid w:val="5C6B3654"/>
    <w:rsid w:val="5C8445D7"/>
    <w:rsid w:val="5C8A755B"/>
    <w:rsid w:val="5CE91611"/>
    <w:rsid w:val="5D2D269B"/>
    <w:rsid w:val="5D5201C0"/>
    <w:rsid w:val="5DC9716E"/>
    <w:rsid w:val="5DDE5652"/>
    <w:rsid w:val="5E1E162F"/>
    <w:rsid w:val="5E4C2EA8"/>
    <w:rsid w:val="5E4F3FF8"/>
    <w:rsid w:val="5E613EA4"/>
    <w:rsid w:val="5E743593"/>
    <w:rsid w:val="5EDF54D4"/>
    <w:rsid w:val="5F076D88"/>
    <w:rsid w:val="5F8D54E0"/>
    <w:rsid w:val="5FDD409B"/>
    <w:rsid w:val="5FEA56D8"/>
    <w:rsid w:val="5FFD5735"/>
    <w:rsid w:val="607313C1"/>
    <w:rsid w:val="60B66CA4"/>
    <w:rsid w:val="60E640CC"/>
    <w:rsid w:val="60FD3B15"/>
    <w:rsid w:val="61370427"/>
    <w:rsid w:val="62315391"/>
    <w:rsid w:val="62B05907"/>
    <w:rsid w:val="62C108C4"/>
    <w:rsid w:val="634927F8"/>
    <w:rsid w:val="634F36B4"/>
    <w:rsid w:val="639208BE"/>
    <w:rsid w:val="63921342"/>
    <w:rsid w:val="63E7699D"/>
    <w:rsid w:val="64086639"/>
    <w:rsid w:val="64287ECD"/>
    <w:rsid w:val="646F429E"/>
    <w:rsid w:val="6498572D"/>
    <w:rsid w:val="64B9162B"/>
    <w:rsid w:val="65047CE3"/>
    <w:rsid w:val="65D976D1"/>
    <w:rsid w:val="66247BB8"/>
    <w:rsid w:val="663740B6"/>
    <w:rsid w:val="665C68CF"/>
    <w:rsid w:val="66601051"/>
    <w:rsid w:val="667667E2"/>
    <w:rsid w:val="66902670"/>
    <w:rsid w:val="66F75934"/>
    <w:rsid w:val="6710771C"/>
    <w:rsid w:val="67585815"/>
    <w:rsid w:val="678E1D9F"/>
    <w:rsid w:val="679D374F"/>
    <w:rsid w:val="67B13EAA"/>
    <w:rsid w:val="68053E8D"/>
    <w:rsid w:val="684431E4"/>
    <w:rsid w:val="684C30B4"/>
    <w:rsid w:val="68B87795"/>
    <w:rsid w:val="69236347"/>
    <w:rsid w:val="694E1C94"/>
    <w:rsid w:val="69A94CB8"/>
    <w:rsid w:val="69F65C1A"/>
    <w:rsid w:val="6A0960AB"/>
    <w:rsid w:val="6A275748"/>
    <w:rsid w:val="6A36252B"/>
    <w:rsid w:val="6A724BD9"/>
    <w:rsid w:val="6ACB2952"/>
    <w:rsid w:val="6AE826A6"/>
    <w:rsid w:val="6B0200D2"/>
    <w:rsid w:val="6B4B624F"/>
    <w:rsid w:val="6B83735C"/>
    <w:rsid w:val="6D561607"/>
    <w:rsid w:val="6D766FAF"/>
    <w:rsid w:val="6E2F47E7"/>
    <w:rsid w:val="6E3E5853"/>
    <w:rsid w:val="6E576C48"/>
    <w:rsid w:val="6E5C1E06"/>
    <w:rsid w:val="6E711399"/>
    <w:rsid w:val="6E7D2E87"/>
    <w:rsid w:val="6E8825BC"/>
    <w:rsid w:val="6E9B4D97"/>
    <w:rsid w:val="6EC33075"/>
    <w:rsid w:val="6EED1B3F"/>
    <w:rsid w:val="6F433BCC"/>
    <w:rsid w:val="6F595014"/>
    <w:rsid w:val="706A2341"/>
    <w:rsid w:val="713D060F"/>
    <w:rsid w:val="71B6320B"/>
    <w:rsid w:val="71F17B50"/>
    <w:rsid w:val="72075026"/>
    <w:rsid w:val="722608CA"/>
    <w:rsid w:val="726C1276"/>
    <w:rsid w:val="72AF4A56"/>
    <w:rsid w:val="72DF1AB0"/>
    <w:rsid w:val="7303577B"/>
    <w:rsid w:val="730B5005"/>
    <w:rsid w:val="732B0626"/>
    <w:rsid w:val="73C4721C"/>
    <w:rsid w:val="73FE0E42"/>
    <w:rsid w:val="74020FEE"/>
    <w:rsid w:val="74314109"/>
    <w:rsid w:val="745B2A20"/>
    <w:rsid w:val="74911176"/>
    <w:rsid w:val="749E60E7"/>
    <w:rsid w:val="74F846EB"/>
    <w:rsid w:val="75061B64"/>
    <w:rsid w:val="755D4A2E"/>
    <w:rsid w:val="76044EAD"/>
    <w:rsid w:val="7614107A"/>
    <w:rsid w:val="763E50EE"/>
    <w:rsid w:val="766F54E7"/>
    <w:rsid w:val="76D07EF6"/>
    <w:rsid w:val="77565CA2"/>
    <w:rsid w:val="775F52F7"/>
    <w:rsid w:val="77BF5C64"/>
    <w:rsid w:val="77CA4C87"/>
    <w:rsid w:val="78093CAC"/>
    <w:rsid w:val="78607595"/>
    <w:rsid w:val="788861F9"/>
    <w:rsid w:val="78CA023E"/>
    <w:rsid w:val="795419B9"/>
    <w:rsid w:val="795D77B7"/>
    <w:rsid w:val="798049F2"/>
    <w:rsid w:val="79BD7ABA"/>
    <w:rsid w:val="7A2F7E05"/>
    <w:rsid w:val="7AAA5956"/>
    <w:rsid w:val="7AAC015C"/>
    <w:rsid w:val="7AB5242F"/>
    <w:rsid w:val="7AF62CDF"/>
    <w:rsid w:val="7AF87737"/>
    <w:rsid w:val="7B0B1932"/>
    <w:rsid w:val="7B1D2DF5"/>
    <w:rsid w:val="7B292635"/>
    <w:rsid w:val="7B2A3C6E"/>
    <w:rsid w:val="7B5629F9"/>
    <w:rsid w:val="7B871525"/>
    <w:rsid w:val="7C3073CD"/>
    <w:rsid w:val="7CEA58C8"/>
    <w:rsid w:val="7D236D81"/>
    <w:rsid w:val="7D2C2DAC"/>
    <w:rsid w:val="7DA24F9E"/>
    <w:rsid w:val="7DA82D60"/>
    <w:rsid w:val="7DD46AF9"/>
    <w:rsid w:val="7E1249E7"/>
    <w:rsid w:val="7E1B6E0D"/>
    <w:rsid w:val="7E3C2D09"/>
    <w:rsid w:val="7E8779D6"/>
    <w:rsid w:val="7EB473AE"/>
    <w:rsid w:val="7EEA25C1"/>
    <w:rsid w:val="7F983FB0"/>
    <w:rsid w:val="7FAE75F4"/>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0"/>
    <w:pPr>
      <w:keepNext/>
      <w:keepLines/>
      <w:spacing w:line="560" w:lineRule="exact"/>
      <w:ind w:firstLine="880" w:firstLineChars="200"/>
      <w:outlineLvl w:val="1"/>
    </w:pPr>
    <w:rPr>
      <w:rFonts w:ascii="Arial" w:hAnsi="Arial" w:eastAsia="黑体" w:cs="宋体"/>
      <w:sz w:val="32"/>
      <w:szCs w:val="22"/>
    </w:rPr>
  </w:style>
  <w:style w:type="paragraph" w:styleId="4">
    <w:name w:val="heading 3"/>
    <w:basedOn w:val="1"/>
    <w:next w:val="1"/>
    <w:autoRedefine/>
    <w:unhideWhenUsed/>
    <w:qFormat/>
    <w:uiPriority w:val="0"/>
    <w:pPr>
      <w:snapToGrid w:val="0"/>
      <w:spacing w:line="580" w:lineRule="exact"/>
      <w:ind w:firstLine="560" w:firstLineChars="200"/>
      <w:jc w:val="left"/>
      <w:outlineLvl w:val="2"/>
    </w:pPr>
    <w:rPr>
      <w:rFonts w:hint="eastAsia" w:ascii="宋体" w:hAnsi="宋体" w:eastAsia="楷体"/>
      <w:kern w:val="0"/>
      <w:szCs w:val="27"/>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autoRedefine/>
    <w:qFormat/>
    <w:uiPriority w:val="0"/>
    <w:pPr>
      <w:jc w:val="left"/>
    </w:pPr>
  </w:style>
  <w:style w:type="paragraph" w:styleId="6">
    <w:name w:val="Body Text Indent"/>
    <w:autoRedefine/>
    <w:qFormat/>
    <w:uiPriority w:val="99"/>
    <w:pPr>
      <w:spacing w:after="120"/>
      <w:ind w:left="420" w:leftChars="200"/>
    </w:pPr>
    <w:rPr>
      <w:rFonts w:ascii="Calibri" w:hAnsi="Calibri" w:eastAsia="宋体" w:cs="Times New Roman"/>
      <w:lang w:val="en-US" w:eastAsia="zh-CN" w:bidi="ar-SA"/>
    </w:rPr>
  </w:style>
  <w:style w:type="paragraph" w:styleId="7">
    <w:name w:val="Balloon Text"/>
    <w:basedOn w:val="1"/>
    <w:link w:val="20"/>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1"/>
    <w:autoRedefine/>
    <w:qFormat/>
    <w:uiPriority w:val="0"/>
    <w:rPr>
      <w:b/>
      <w:bCs/>
    </w:rPr>
  </w:style>
  <w:style w:type="character" w:styleId="14">
    <w:name w:val="Strong"/>
    <w:basedOn w:val="13"/>
    <w:qFormat/>
    <w:uiPriority w:val="22"/>
    <w:rPr>
      <w:b/>
    </w:rPr>
  </w:style>
  <w:style w:type="character" w:styleId="15">
    <w:name w:val="annotation reference"/>
    <w:autoRedefine/>
    <w:qFormat/>
    <w:uiPriority w:val="0"/>
    <w:rPr>
      <w:sz w:val="21"/>
      <w:szCs w:val="21"/>
    </w:rPr>
  </w:style>
  <w:style w:type="character" w:customStyle="1" w:styleId="16">
    <w:name w:val="页脚 Char"/>
    <w:link w:val="8"/>
    <w:autoRedefine/>
    <w:qFormat/>
    <w:uiPriority w:val="99"/>
    <w:rPr>
      <w:kern w:val="2"/>
      <w:sz w:val="18"/>
    </w:rPr>
  </w:style>
  <w:style w:type="character" w:customStyle="1" w:styleId="17">
    <w:name w:val="页码 New"/>
    <w:basedOn w:val="13"/>
    <w:autoRedefine/>
    <w:qFormat/>
    <w:uiPriority w:val="0"/>
  </w:style>
  <w:style w:type="character" w:customStyle="1" w:styleId="18">
    <w:name w:val="页码 New New"/>
    <w:basedOn w:val="13"/>
    <w:autoRedefine/>
    <w:qFormat/>
    <w:uiPriority w:val="0"/>
  </w:style>
  <w:style w:type="character" w:customStyle="1" w:styleId="19">
    <w:name w:val="页码 New New New"/>
    <w:basedOn w:val="13"/>
    <w:autoRedefine/>
    <w:qFormat/>
    <w:uiPriority w:val="0"/>
  </w:style>
  <w:style w:type="character" w:customStyle="1" w:styleId="20">
    <w:name w:val="批注框文本 Char"/>
    <w:link w:val="7"/>
    <w:autoRedefine/>
    <w:qFormat/>
    <w:uiPriority w:val="0"/>
    <w:rPr>
      <w:kern w:val="2"/>
      <w:sz w:val="18"/>
      <w:szCs w:val="18"/>
    </w:rPr>
  </w:style>
  <w:style w:type="character" w:customStyle="1" w:styleId="21">
    <w:name w:val="批注主题 Char"/>
    <w:link w:val="11"/>
    <w:autoRedefine/>
    <w:qFormat/>
    <w:uiPriority w:val="0"/>
    <w:rPr>
      <w:b/>
      <w:bCs/>
      <w:kern w:val="2"/>
      <w:sz w:val="21"/>
    </w:rPr>
  </w:style>
  <w:style w:type="character" w:customStyle="1" w:styleId="22">
    <w:name w:val="批注文字 Char"/>
    <w:link w:val="5"/>
    <w:autoRedefine/>
    <w:qFormat/>
    <w:uiPriority w:val="0"/>
    <w:rPr>
      <w:kern w:val="2"/>
      <w:sz w:val="21"/>
    </w:rPr>
  </w:style>
  <w:style w:type="character" w:customStyle="1" w:styleId="23">
    <w:name w:val="页码 New New New New"/>
    <w:basedOn w:val="13"/>
    <w:autoRedefine/>
    <w:qFormat/>
    <w:uiPriority w:val="0"/>
  </w:style>
  <w:style w:type="paragraph" w:customStyle="1" w:styleId="24">
    <w:name w:val="正文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5">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页眉1"/>
    <w:basedOn w:val="1"/>
    <w:autoRedefine/>
    <w:qFormat/>
    <w:uiPriority w:val="99"/>
    <w:pPr>
      <w:pBdr>
        <w:bottom w:val="single" w:color="auto" w:sz="6" w:space="1"/>
      </w:pBdr>
      <w:tabs>
        <w:tab w:val="center" w:pos="4153"/>
        <w:tab w:val="right" w:pos="8306"/>
      </w:tabs>
      <w:snapToGrid w:val="0"/>
      <w:jc w:val="right"/>
    </w:pPr>
    <w:rPr>
      <w:rFonts w:hint="eastAsia"/>
    </w:rPr>
  </w:style>
  <w:style w:type="paragraph" w:customStyle="1" w:styleId="28">
    <w:name w:val="页眉 New"/>
    <w:basedOn w:val="2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9">
    <w:name w:val="页脚 New New New"/>
    <w:basedOn w:val="30"/>
    <w:autoRedefine/>
    <w:qFormat/>
    <w:uiPriority w:val="0"/>
    <w:pPr>
      <w:tabs>
        <w:tab w:val="center" w:pos="4153"/>
        <w:tab w:val="right" w:pos="8306"/>
      </w:tabs>
      <w:snapToGrid w:val="0"/>
      <w:jc w:val="left"/>
    </w:pPr>
    <w:rPr>
      <w:sz w:val="18"/>
    </w:rPr>
  </w:style>
  <w:style w:type="paragraph" w:customStyle="1" w:styleId="30">
    <w:name w:val="正文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1">
    <w:name w:val="页眉 New New"/>
    <w:basedOn w:val="3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2">
    <w:name w:val="正文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
    <w:name w:val="页脚 New"/>
    <w:basedOn w:val="25"/>
    <w:autoRedefine/>
    <w:qFormat/>
    <w:uiPriority w:val="0"/>
    <w:pPr>
      <w:tabs>
        <w:tab w:val="center" w:pos="4153"/>
        <w:tab w:val="right" w:pos="8306"/>
      </w:tabs>
      <w:snapToGrid w:val="0"/>
      <w:jc w:val="left"/>
    </w:pPr>
    <w:rPr>
      <w:sz w:val="18"/>
      <w:szCs w:val="18"/>
    </w:rPr>
  </w:style>
  <w:style w:type="paragraph" w:customStyle="1" w:styleId="35">
    <w:name w:val="页脚1"/>
    <w:basedOn w:val="1"/>
    <w:autoRedefine/>
    <w:qFormat/>
    <w:uiPriority w:val="99"/>
    <w:pPr>
      <w:tabs>
        <w:tab w:val="center" w:pos="4153"/>
        <w:tab w:val="right" w:pos="8306"/>
      </w:tabs>
      <w:snapToGrid w:val="0"/>
      <w:jc w:val="right"/>
    </w:pPr>
    <w:rPr>
      <w:rFonts w:hint="eastAsia"/>
    </w:rPr>
  </w:style>
  <w:style w:type="paragraph" w:customStyle="1" w:styleId="36">
    <w:name w:val="正文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页脚 New New"/>
    <w:basedOn w:val="24"/>
    <w:autoRedefine/>
    <w:qFormat/>
    <w:uiPriority w:val="0"/>
    <w:pPr>
      <w:tabs>
        <w:tab w:val="center" w:pos="4153"/>
        <w:tab w:val="right" w:pos="8306"/>
      </w:tabs>
      <w:snapToGrid w:val="0"/>
      <w:jc w:val="left"/>
    </w:pPr>
    <w:rPr>
      <w:sz w:val="18"/>
    </w:rPr>
  </w:style>
  <w:style w:type="paragraph" w:customStyle="1" w:styleId="38">
    <w:name w:val="页脚 New New New New"/>
    <w:basedOn w:val="39"/>
    <w:autoRedefine/>
    <w:qFormat/>
    <w:uiPriority w:val="0"/>
    <w:pPr>
      <w:tabs>
        <w:tab w:val="center" w:pos="4153"/>
        <w:tab w:val="right" w:pos="8306"/>
      </w:tabs>
      <w:snapToGrid w:val="0"/>
      <w:jc w:val="left"/>
    </w:pPr>
    <w:rPr>
      <w:sz w:val="18"/>
      <w:szCs w:val="18"/>
    </w:rPr>
  </w:style>
  <w:style w:type="paragraph" w:customStyle="1" w:styleId="39">
    <w:name w:val="正文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styleId="40">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1">
    <w:name w:val="修订1"/>
    <w:autoRedefine/>
    <w:qFormat/>
    <w:uiPriority w:val="99"/>
    <w:rPr>
      <w:rFonts w:ascii="Calibri" w:hAnsi="Calibri" w:eastAsia="宋体" w:cs="Times New Roman"/>
      <w:kern w:val="2"/>
      <w:sz w:val="21"/>
      <w:lang w:val="en-US" w:eastAsia="zh-CN" w:bidi="ar-SA"/>
    </w:rPr>
  </w:style>
  <w:style w:type="paragraph" w:customStyle="1" w:styleId="42">
    <w:name w:val="正文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3">
    <w:name w:val="正文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4">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5">
    <w:name w:val="正文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6">
    <w:name w:val="正文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7">
    <w:name w:val="正文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8">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9">
    <w:name w:val="标题 2 Char"/>
    <w:basedOn w:val="13"/>
    <w:link w:val="3"/>
    <w:autoRedefine/>
    <w:qFormat/>
    <w:uiPriority w:val="0"/>
    <w:rPr>
      <w:rFonts w:ascii="Arial" w:hAnsi="Arial" w:eastAsia="黑体" w:cs="宋体"/>
      <w:kern w:val="2"/>
      <w:sz w:val="32"/>
      <w:szCs w:val="22"/>
    </w:rPr>
  </w:style>
  <w:style w:type="character" w:customStyle="1" w:styleId="50">
    <w:name w:val="标题 1 Char"/>
    <w:basedOn w:val="13"/>
    <w:link w:val="2"/>
    <w:autoRedefine/>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2017</Words>
  <Characters>2224</Characters>
  <Lines>16</Lines>
  <Paragraphs>4</Paragraphs>
  <TotalTime>65</TotalTime>
  <ScaleCrop>false</ScaleCrop>
  <LinksUpToDate>false</LinksUpToDate>
  <CharactersWithSpaces>2318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2024-12-04T09:00:00Z</dcterms:created>
  <dc:creator>Administrator</dc:creator>
  <cp:lastModifiedBy>郭辉</cp:lastModifiedBy>
  <cp:lastPrinted>2025-04-03T00:40:00Z</cp:lastPrinted>
  <dcterms:modified xsi:type="dcterms:W3CDTF">2025-10-15T12:08:11Z</dcterms:modified>
  <dc:title>投资者关系活动记录表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4474D686BA0445CBA8D2D7250B50BF4B_13</vt:lpwstr>
  </property>
  <property fmtid="{D5CDD505-2E9C-101B-9397-08002B2CF9AE}" pid="4" name="KSOTemplateDocerSaveRecord">
    <vt:lpwstr>eyJoZGlkIjoiOTYzYjg5NzJmMjE3YWM3NWQ2Mzg1MDAyNjc5MjRlMDMiLCJ1c2VySWQiOiIxNjE4NDcyNzA4In0=</vt:lpwstr>
  </property>
</Properties>
</file>