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2B710" w14:textId="77777777" w:rsidR="006363B3" w:rsidRDefault="00000000">
      <w:pPr>
        <w:jc w:val="center"/>
        <w:rPr>
          <w:b/>
          <w:bCs/>
          <w:sz w:val="28"/>
          <w:szCs w:val="28"/>
        </w:rPr>
      </w:pPr>
      <w:r>
        <w:rPr>
          <w:rFonts w:hint="eastAsia"/>
          <w:b/>
          <w:bCs/>
          <w:szCs w:val="24"/>
        </w:rPr>
        <w:t>证券代码：</w:t>
      </w:r>
      <w:r>
        <w:rPr>
          <w:rFonts w:hint="eastAsia"/>
          <w:b/>
          <w:bCs/>
          <w:szCs w:val="24"/>
        </w:rPr>
        <w:t>6</w:t>
      </w:r>
      <w:r>
        <w:rPr>
          <w:b/>
          <w:bCs/>
          <w:szCs w:val="24"/>
        </w:rPr>
        <w:t xml:space="preserve">05566                                   </w:t>
      </w:r>
      <w:r>
        <w:rPr>
          <w:rFonts w:hint="eastAsia"/>
          <w:b/>
          <w:bCs/>
          <w:szCs w:val="24"/>
        </w:rPr>
        <w:t>证券简称：福莱蒽特</w:t>
      </w:r>
      <w:r>
        <w:rPr>
          <w:rFonts w:hint="eastAsia"/>
          <w:b/>
          <w:bCs/>
          <w:szCs w:val="24"/>
        </w:rPr>
        <w:t xml:space="preserve"> </w:t>
      </w:r>
      <w:r>
        <w:rPr>
          <w:b/>
          <w:bCs/>
          <w:szCs w:val="24"/>
        </w:rPr>
        <w:t xml:space="preserve"> </w:t>
      </w:r>
    </w:p>
    <w:p w14:paraId="241F0ECF" w14:textId="77777777" w:rsidR="006363B3" w:rsidRDefault="006363B3">
      <w:pPr>
        <w:jc w:val="center"/>
        <w:rPr>
          <w:b/>
          <w:bCs/>
          <w:sz w:val="28"/>
          <w:szCs w:val="28"/>
        </w:rPr>
      </w:pPr>
    </w:p>
    <w:p w14:paraId="4E896900" w14:textId="77777777" w:rsidR="006363B3" w:rsidRDefault="00000000">
      <w:pPr>
        <w:jc w:val="center"/>
        <w:rPr>
          <w:b/>
          <w:bCs/>
          <w:sz w:val="28"/>
          <w:szCs w:val="28"/>
        </w:rPr>
      </w:pPr>
      <w:r>
        <w:rPr>
          <w:rFonts w:hint="eastAsia"/>
          <w:b/>
          <w:bCs/>
          <w:sz w:val="28"/>
          <w:szCs w:val="28"/>
        </w:rPr>
        <w:t>杭州福莱蒽特股份有限公司</w:t>
      </w:r>
    </w:p>
    <w:p w14:paraId="2ACD5126" w14:textId="77777777" w:rsidR="006363B3" w:rsidRDefault="00000000">
      <w:pPr>
        <w:jc w:val="center"/>
        <w:rPr>
          <w:b/>
          <w:bCs/>
          <w:sz w:val="28"/>
          <w:szCs w:val="28"/>
        </w:rPr>
      </w:pPr>
      <w:r>
        <w:rPr>
          <w:rFonts w:hint="eastAsia"/>
          <w:b/>
          <w:bCs/>
          <w:sz w:val="28"/>
          <w:szCs w:val="28"/>
        </w:rPr>
        <w:t>投资者关系活动记录表</w:t>
      </w:r>
    </w:p>
    <w:p w14:paraId="5AE268B0" w14:textId="77777777" w:rsidR="006363B3" w:rsidRDefault="006363B3">
      <w:pPr>
        <w:jc w:val="center"/>
        <w:rPr>
          <w:b/>
          <w:bCs/>
          <w:sz w:val="28"/>
          <w:szCs w:val="28"/>
        </w:rPr>
      </w:pPr>
    </w:p>
    <w:p w14:paraId="21734988" w14:textId="77777777" w:rsidR="006363B3" w:rsidRDefault="00000000">
      <w:pPr>
        <w:rPr>
          <w:b/>
          <w:bCs/>
          <w:szCs w:val="24"/>
        </w:rPr>
      </w:pPr>
      <w:r>
        <w:rPr>
          <w:rFonts w:hint="eastAsia"/>
          <w:b/>
          <w:bCs/>
          <w:szCs w:val="24"/>
        </w:rPr>
        <w:t>编号：</w:t>
      </w:r>
      <w:r>
        <w:rPr>
          <w:rFonts w:hint="eastAsia"/>
          <w:b/>
          <w:bCs/>
          <w:szCs w:val="24"/>
        </w:rPr>
        <w:t>2</w:t>
      </w:r>
      <w:r>
        <w:rPr>
          <w:b/>
          <w:bCs/>
          <w:szCs w:val="24"/>
        </w:rPr>
        <w:t>02</w:t>
      </w:r>
      <w:r>
        <w:rPr>
          <w:rFonts w:hint="eastAsia"/>
          <w:b/>
          <w:bCs/>
          <w:szCs w:val="24"/>
        </w:rPr>
        <w:t>51017</w:t>
      </w:r>
    </w:p>
    <w:tbl>
      <w:tblPr>
        <w:tblStyle w:val="ad"/>
        <w:tblW w:w="0" w:type="auto"/>
        <w:jc w:val="center"/>
        <w:tblLook w:val="04A0" w:firstRow="1" w:lastRow="0" w:firstColumn="1" w:lastColumn="0" w:noHBand="0" w:noVBand="1"/>
      </w:tblPr>
      <w:tblGrid>
        <w:gridCol w:w="2405"/>
        <w:gridCol w:w="5891"/>
      </w:tblGrid>
      <w:tr w:rsidR="006363B3" w14:paraId="425DEA75" w14:textId="77777777">
        <w:trPr>
          <w:jc w:val="center"/>
        </w:trPr>
        <w:tc>
          <w:tcPr>
            <w:tcW w:w="2405" w:type="dxa"/>
            <w:vAlign w:val="center"/>
          </w:tcPr>
          <w:p w14:paraId="59CCC54C" w14:textId="77777777" w:rsidR="006363B3" w:rsidRDefault="00000000">
            <w:pPr>
              <w:jc w:val="center"/>
              <w:rPr>
                <w:b/>
                <w:bCs/>
                <w:szCs w:val="24"/>
              </w:rPr>
            </w:pPr>
            <w:r>
              <w:rPr>
                <w:rFonts w:hint="eastAsia"/>
                <w:b/>
                <w:bCs/>
                <w:szCs w:val="24"/>
              </w:rPr>
              <w:t>投资者关系活动</w:t>
            </w:r>
          </w:p>
          <w:p w14:paraId="6FE21B58" w14:textId="77777777" w:rsidR="006363B3" w:rsidRDefault="00000000">
            <w:pPr>
              <w:jc w:val="center"/>
              <w:rPr>
                <w:b/>
                <w:bCs/>
                <w:szCs w:val="24"/>
              </w:rPr>
            </w:pPr>
            <w:r>
              <w:rPr>
                <w:rFonts w:hint="eastAsia"/>
                <w:b/>
                <w:bCs/>
                <w:szCs w:val="24"/>
              </w:rPr>
              <w:t>类别</w:t>
            </w:r>
          </w:p>
        </w:tc>
        <w:tc>
          <w:tcPr>
            <w:tcW w:w="5891" w:type="dxa"/>
            <w:vAlign w:val="center"/>
          </w:tcPr>
          <w:p w14:paraId="141B7BCD" w14:textId="77777777" w:rsidR="006363B3" w:rsidRDefault="00000000">
            <w:pPr>
              <w:spacing w:line="360" w:lineRule="auto"/>
              <w:rPr>
                <w:rFonts w:ascii="宋体" w:hAnsi="宋体" w:hint="eastAsia"/>
                <w:szCs w:val="24"/>
              </w:rPr>
            </w:pPr>
            <w:r>
              <w:rPr>
                <w:rFonts w:ascii="宋体" w:hAnsi="宋体" w:hint="eastAsia"/>
                <w:szCs w:val="24"/>
              </w:rPr>
              <w:t xml:space="preserve">√特定对象调研 </w:t>
            </w:r>
            <w:r>
              <w:rPr>
                <w:rFonts w:ascii="宋体" w:hAnsi="宋体"/>
                <w:szCs w:val="24"/>
              </w:rPr>
              <w:t xml:space="preserve">   </w:t>
            </w:r>
            <w:r>
              <w:rPr>
                <w:rFonts w:ascii="宋体" w:hAnsi="宋体" w:hint="eastAsia"/>
                <w:szCs w:val="24"/>
              </w:rPr>
              <w:t>□分析师会议</w:t>
            </w:r>
          </w:p>
          <w:p w14:paraId="44EB060F" w14:textId="77777777" w:rsidR="006363B3" w:rsidRDefault="00000000">
            <w:pPr>
              <w:spacing w:line="360" w:lineRule="auto"/>
              <w:rPr>
                <w:rFonts w:ascii="宋体" w:hAnsi="宋体" w:hint="eastAsia"/>
                <w:szCs w:val="24"/>
              </w:rPr>
            </w:pPr>
            <w:r>
              <w:rPr>
                <w:rFonts w:ascii="宋体" w:hAnsi="宋体" w:hint="eastAsia"/>
                <w:szCs w:val="24"/>
              </w:rPr>
              <w:t xml:space="preserve">□媒体采访 </w:t>
            </w:r>
            <w:r>
              <w:rPr>
                <w:rFonts w:ascii="宋体" w:hAnsi="宋体"/>
                <w:szCs w:val="24"/>
              </w:rPr>
              <w:t xml:space="preserve">       </w:t>
            </w:r>
            <w:r>
              <w:rPr>
                <w:rFonts w:ascii="宋体" w:hAnsi="宋体" w:hint="eastAsia"/>
                <w:szCs w:val="24"/>
              </w:rPr>
              <w:t>□业绩说明会</w:t>
            </w:r>
          </w:p>
          <w:p w14:paraId="3D3BF3E3" w14:textId="77777777" w:rsidR="006363B3" w:rsidRDefault="00000000">
            <w:pPr>
              <w:spacing w:line="360" w:lineRule="auto"/>
              <w:rPr>
                <w:rFonts w:ascii="宋体" w:hAnsi="宋体" w:hint="eastAsia"/>
                <w:szCs w:val="24"/>
              </w:rPr>
            </w:pPr>
            <w:r>
              <w:rPr>
                <w:rFonts w:ascii="宋体" w:hAnsi="宋体" w:hint="eastAsia"/>
                <w:szCs w:val="24"/>
              </w:rPr>
              <w:t xml:space="preserve">□新闻发布会 </w:t>
            </w:r>
            <w:r>
              <w:rPr>
                <w:rFonts w:ascii="宋体" w:hAnsi="宋体"/>
                <w:szCs w:val="24"/>
              </w:rPr>
              <w:t xml:space="preserve">     </w:t>
            </w:r>
            <w:bookmarkStart w:id="0" w:name="OLE_LINK1"/>
            <w:r>
              <w:rPr>
                <w:rFonts w:ascii="宋体" w:hAnsi="宋体" w:hint="eastAsia"/>
                <w:szCs w:val="24"/>
              </w:rPr>
              <w:t>□</w:t>
            </w:r>
            <w:bookmarkEnd w:id="0"/>
            <w:r>
              <w:rPr>
                <w:rFonts w:ascii="宋体" w:hAnsi="宋体" w:hint="eastAsia"/>
                <w:szCs w:val="24"/>
              </w:rPr>
              <w:t>路演活动</w:t>
            </w:r>
          </w:p>
          <w:p w14:paraId="50400072" w14:textId="77777777" w:rsidR="006363B3" w:rsidRDefault="00000000">
            <w:pPr>
              <w:spacing w:line="360" w:lineRule="auto"/>
              <w:rPr>
                <w:szCs w:val="24"/>
              </w:rPr>
            </w:pPr>
            <w:r>
              <w:rPr>
                <w:rFonts w:ascii="宋体" w:hAnsi="宋体" w:hint="eastAsia"/>
                <w:szCs w:val="24"/>
              </w:rPr>
              <w:t>□现场参观        □其他（投资者交流会）</w:t>
            </w:r>
          </w:p>
        </w:tc>
      </w:tr>
      <w:tr w:rsidR="006363B3" w14:paraId="706CA2E4" w14:textId="77777777">
        <w:trPr>
          <w:jc w:val="center"/>
        </w:trPr>
        <w:tc>
          <w:tcPr>
            <w:tcW w:w="2405" w:type="dxa"/>
            <w:vAlign w:val="center"/>
          </w:tcPr>
          <w:p w14:paraId="27F86A90" w14:textId="77777777" w:rsidR="006363B3" w:rsidRDefault="00000000">
            <w:pPr>
              <w:jc w:val="center"/>
              <w:rPr>
                <w:b/>
                <w:bCs/>
                <w:szCs w:val="24"/>
              </w:rPr>
            </w:pPr>
            <w:r>
              <w:rPr>
                <w:rFonts w:hint="eastAsia"/>
                <w:b/>
                <w:bCs/>
                <w:szCs w:val="24"/>
              </w:rPr>
              <w:t>参与单位名称及人员姓名</w:t>
            </w:r>
          </w:p>
        </w:tc>
        <w:tc>
          <w:tcPr>
            <w:tcW w:w="5891" w:type="dxa"/>
            <w:vAlign w:val="center"/>
          </w:tcPr>
          <w:p w14:paraId="001CEAE9" w14:textId="77777777" w:rsidR="006363B3" w:rsidRDefault="00000000">
            <w:pPr>
              <w:rPr>
                <w:szCs w:val="24"/>
              </w:rPr>
            </w:pPr>
            <w:r>
              <w:rPr>
                <w:rFonts w:hint="eastAsia"/>
                <w:szCs w:val="24"/>
              </w:rPr>
              <w:t>华润元大基金、交通银行理财子、平安证券、东营银行自营、招商证券、华安证券、广发证券</w:t>
            </w:r>
          </w:p>
        </w:tc>
      </w:tr>
      <w:tr w:rsidR="006363B3" w14:paraId="4F23F2BF" w14:textId="77777777">
        <w:trPr>
          <w:jc w:val="center"/>
        </w:trPr>
        <w:tc>
          <w:tcPr>
            <w:tcW w:w="2405" w:type="dxa"/>
            <w:vAlign w:val="center"/>
          </w:tcPr>
          <w:p w14:paraId="12B1F227" w14:textId="77777777" w:rsidR="006363B3" w:rsidRDefault="00000000">
            <w:pPr>
              <w:jc w:val="center"/>
              <w:rPr>
                <w:b/>
                <w:bCs/>
                <w:szCs w:val="24"/>
              </w:rPr>
            </w:pPr>
            <w:r>
              <w:rPr>
                <w:rFonts w:hint="eastAsia"/>
                <w:b/>
                <w:bCs/>
                <w:szCs w:val="24"/>
              </w:rPr>
              <w:t>时间</w:t>
            </w:r>
          </w:p>
        </w:tc>
        <w:tc>
          <w:tcPr>
            <w:tcW w:w="5891" w:type="dxa"/>
            <w:vAlign w:val="center"/>
          </w:tcPr>
          <w:p w14:paraId="4FA384A1" w14:textId="77777777" w:rsidR="006363B3" w:rsidRDefault="00000000">
            <w:pPr>
              <w:rPr>
                <w:szCs w:val="24"/>
              </w:rPr>
            </w:pPr>
            <w:r>
              <w:rPr>
                <w:rFonts w:hint="eastAsia"/>
                <w:szCs w:val="24"/>
              </w:rPr>
              <w:t>2</w:t>
            </w:r>
            <w:r>
              <w:rPr>
                <w:szCs w:val="24"/>
              </w:rPr>
              <w:t>02</w:t>
            </w:r>
            <w:r>
              <w:rPr>
                <w:rFonts w:hint="eastAsia"/>
                <w:szCs w:val="24"/>
              </w:rPr>
              <w:t>5</w:t>
            </w:r>
            <w:r>
              <w:rPr>
                <w:rFonts w:hint="eastAsia"/>
                <w:szCs w:val="24"/>
              </w:rPr>
              <w:t>年</w:t>
            </w:r>
            <w:r>
              <w:rPr>
                <w:rFonts w:hint="eastAsia"/>
                <w:szCs w:val="24"/>
              </w:rPr>
              <w:t>10</w:t>
            </w:r>
            <w:r>
              <w:rPr>
                <w:rFonts w:hint="eastAsia"/>
                <w:szCs w:val="24"/>
              </w:rPr>
              <w:t>月</w:t>
            </w:r>
            <w:r>
              <w:rPr>
                <w:rFonts w:hint="eastAsia"/>
                <w:szCs w:val="24"/>
              </w:rPr>
              <w:t>17</w:t>
            </w:r>
            <w:r>
              <w:rPr>
                <w:rFonts w:hint="eastAsia"/>
                <w:szCs w:val="24"/>
              </w:rPr>
              <w:t>日</w:t>
            </w:r>
            <w:r>
              <w:rPr>
                <w:rFonts w:hint="eastAsia"/>
                <w:szCs w:val="24"/>
              </w:rPr>
              <w:t xml:space="preserve"> 15:00-16:00</w:t>
            </w:r>
          </w:p>
        </w:tc>
      </w:tr>
      <w:tr w:rsidR="006363B3" w14:paraId="15E4FF35" w14:textId="77777777">
        <w:trPr>
          <w:jc w:val="center"/>
        </w:trPr>
        <w:tc>
          <w:tcPr>
            <w:tcW w:w="2405" w:type="dxa"/>
            <w:vAlign w:val="center"/>
          </w:tcPr>
          <w:p w14:paraId="3124768F" w14:textId="77777777" w:rsidR="006363B3" w:rsidRDefault="00000000">
            <w:pPr>
              <w:jc w:val="center"/>
              <w:rPr>
                <w:b/>
                <w:bCs/>
                <w:szCs w:val="24"/>
              </w:rPr>
            </w:pPr>
            <w:r>
              <w:rPr>
                <w:rFonts w:hint="eastAsia"/>
                <w:b/>
                <w:bCs/>
                <w:szCs w:val="24"/>
              </w:rPr>
              <w:t>地点</w:t>
            </w:r>
          </w:p>
        </w:tc>
        <w:tc>
          <w:tcPr>
            <w:tcW w:w="5891" w:type="dxa"/>
            <w:vAlign w:val="center"/>
          </w:tcPr>
          <w:p w14:paraId="5E23ECB4" w14:textId="77777777" w:rsidR="006363B3" w:rsidRDefault="00000000">
            <w:pPr>
              <w:rPr>
                <w:szCs w:val="24"/>
              </w:rPr>
            </w:pPr>
            <w:r>
              <w:rPr>
                <w:rFonts w:hint="eastAsia"/>
                <w:szCs w:val="24"/>
              </w:rPr>
              <w:t>线上会议</w:t>
            </w:r>
          </w:p>
          <w:p w14:paraId="5EE51860" w14:textId="77777777" w:rsidR="006363B3" w:rsidRDefault="00000000">
            <w:pPr>
              <w:rPr>
                <w:szCs w:val="24"/>
              </w:rPr>
            </w:pPr>
            <w:r>
              <w:rPr>
                <w:rFonts w:hint="eastAsia"/>
                <w:szCs w:val="24"/>
              </w:rPr>
              <w:t>杭州福莱蒽特股份有限公司会议室</w:t>
            </w:r>
          </w:p>
        </w:tc>
      </w:tr>
      <w:tr w:rsidR="006363B3" w14:paraId="3765D790" w14:textId="77777777">
        <w:trPr>
          <w:jc w:val="center"/>
        </w:trPr>
        <w:tc>
          <w:tcPr>
            <w:tcW w:w="2405" w:type="dxa"/>
            <w:vAlign w:val="center"/>
          </w:tcPr>
          <w:p w14:paraId="0BE2A0E8" w14:textId="77777777" w:rsidR="006363B3" w:rsidRDefault="00000000">
            <w:pPr>
              <w:jc w:val="center"/>
              <w:rPr>
                <w:b/>
                <w:bCs/>
                <w:szCs w:val="24"/>
              </w:rPr>
            </w:pPr>
            <w:r>
              <w:rPr>
                <w:rFonts w:hint="eastAsia"/>
                <w:b/>
                <w:bCs/>
                <w:szCs w:val="24"/>
              </w:rPr>
              <w:t>上市公司接待人员</w:t>
            </w:r>
          </w:p>
          <w:p w14:paraId="0D1F500D" w14:textId="77777777" w:rsidR="006363B3" w:rsidRDefault="00000000">
            <w:pPr>
              <w:jc w:val="center"/>
              <w:rPr>
                <w:b/>
                <w:bCs/>
                <w:szCs w:val="24"/>
              </w:rPr>
            </w:pPr>
            <w:r>
              <w:rPr>
                <w:rFonts w:hint="eastAsia"/>
                <w:b/>
                <w:bCs/>
                <w:szCs w:val="24"/>
              </w:rPr>
              <w:t>姓名</w:t>
            </w:r>
          </w:p>
        </w:tc>
        <w:tc>
          <w:tcPr>
            <w:tcW w:w="5891" w:type="dxa"/>
            <w:vAlign w:val="center"/>
          </w:tcPr>
          <w:p w14:paraId="64E1A8AE" w14:textId="77777777" w:rsidR="006363B3" w:rsidRDefault="00000000">
            <w:pPr>
              <w:rPr>
                <w:szCs w:val="24"/>
              </w:rPr>
            </w:pPr>
            <w:r>
              <w:rPr>
                <w:rFonts w:hint="eastAsia"/>
                <w:szCs w:val="24"/>
              </w:rPr>
              <w:t>董事：笪良宽</w:t>
            </w:r>
          </w:p>
          <w:p w14:paraId="36C3D25D" w14:textId="77777777" w:rsidR="006363B3" w:rsidRDefault="00000000">
            <w:pPr>
              <w:rPr>
                <w:szCs w:val="24"/>
              </w:rPr>
            </w:pPr>
            <w:r>
              <w:rPr>
                <w:rFonts w:hint="eastAsia"/>
                <w:szCs w:val="24"/>
              </w:rPr>
              <w:t>董事会秘书：王振炎</w:t>
            </w:r>
          </w:p>
          <w:p w14:paraId="69099619" w14:textId="77777777" w:rsidR="006363B3" w:rsidRDefault="00000000">
            <w:pPr>
              <w:rPr>
                <w:szCs w:val="24"/>
              </w:rPr>
            </w:pPr>
            <w:r>
              <w:rPr>
                <w:rFonts w:hint="eastAsia"/>
                <w:szCs w:val="24"/>
              </w:rPr>
              <w:t>财务总监：沈蔚</w:t>
            </w:r>
          </w:p>
          <w:p w14:paraId="054EB441" w14:textId="77777777" w:rsidR="006363B3" w:rsidRDefault="00000000">
            <w:pPr>
              <w:rPr>
                <w:szCs w:val="24"/>
              </w:rPr>
            </w:pPr>
            <w:r>
              <w:rPr>
                <w:rFonts w:hint="eastAsia"/>
                <w:szCs w:val="24"/>
              </w:rPr>
              <w:t>钛深科技：汪晓阳</w:t>
            </w:r>
          </w:p>
        </w:tc>
      </w:tr>
      <w:tr w:rsidR="006363B3" w14:paraId="1C6FB3BE" w14:textId="77777777">
        <w:trPr>
          <w:jc w:val="center"/>
        </w:trPr>
        <w:tc>
          <w:tcPr>
            <w:tcW w:w="2405" w:type="dxa"/>
            <w:vAlign w:val="center"/>
          </w:tcPr>
          <w:p w14:paraId="590B80C2" w14:textId="77777777" w:rsidR="006363B3" w:rsidRDefault="00000000">
            <w:pPr>
              <w:jc w:val="center"/>
              <w:rPr>
                <w:b/>
                <w:bCs/>
                <w:szCs w:val="24"/>
              </w:rPr>
            </w:pPr>
            <w:r>
              <w:rPr>
                <w:rFonts w:hint="eastAsia"/>
                <w:b/>
                <w:bCs/>
                <w:szCs w:val="24"/>
              </w:rPr>
              <w:t>投资者关系活动主要内容介绍</w:t>
            </w:r>
          </w:p>
        </w:tc>
        <w:tc>
          <w:tcPr>
            <w:tcW w:w="5891" w:type="dxa"/>
            <w:vAlign w:val="center"/>
          </w:tcPr>
          <w:p w14:paraId="4FA38CB5" w14:textId="77777777" w:rsidR="006363B3" w:rsidRDefault="00000000" w:rsidP="00601C2B">
            <w:pPr>
              <w:ind w:firstLineChars="200" w:firstLine="480"/>
              <w:rPr>
                <w:szCs w:val="24"/>
              </w:rPr>
            </w:pPr>
            <w:r>
              <w:rPr>
                <w:rFonts w:hint="eastAsia"/>
                <w:szCs w:val="24"/>
              </w:rPr>
              <w:t>一：公司简介</w:t>
            </w:r>
          </w:p>
          <w:p w14:paraId="5981167A" w14:textId="06EDB458" w:rsidR="006363B3" w:rsidRDefault="00000000" w:rsidP="00601C2B">
            <w:pPr>
              <w:ind w:firstLineChars="200" w:firstLine="480"/>
              <w:rPr>
                <w:szCs w:val="24"/>
              </w:rPr>
            </w:pPr>
            <w:r>
              <w:rPr>
                <w:rFonts w:hint="eastAsia"/>
                <w:szCs w:val="24"/>
              </w:rPr>
              <w:t>公司是一家主要从事分散染料及其滤饼的研发、生产及销售的国家高新技术企业。主要产品为高水洗牢度、高日晒牢度和环保型分散染料，可广泛用于涤纶及其混纺织物的染色。在境内市场，公司客户已覆盖至浙江、江苏、广东、上海、福建和山东等纺织产业较为发达的省市；在境外市场，公司客户覆盖中国台湾、日本、韩国和东南亚等印染企业较为集中的国家及地区。公司分散染料产品立足于中高端市场，目前已在运动服饰、家纺和汽车等多个行业领域得到了应用。</w:t>
            </w:r>
          </w:p>
          <w:p w14:paraId="137C45C2" w14:textId="77777777" w:rsidR="006363B3" w:rsidRDefault="00000000" w:rsidP="00601C2B">
            <w:pPr>
              <w:ind w:firstLineChars="200" w:firstLine="480"/>
              <w:rPr>
                <w:szCs w:val="24"/>
              </w:rPr>
            </w:pPr>
            <w:r>
              <w:rPr>
                <w:rFonts w:hint="eastAsia"/>
                <w:szCs w:val="24"/>
              </w:rPr>
              <w:t>公司秉承“客户至上、创新、拼搏、诚信、团结、感恩”的核心价值观和“以人为本、科技创新、共存共赢”的经营理念。始终坚持“创新与经验兼具”的色彩之道，践行“为世界添色彩，让生活更美好”的企业使命担当。</w:t>
            </w:r>
          </w:p>
          <w:p w14:paraId="0F2253A7" w14:textId="77777777" w:rsidR="006363B3" w:rsidRDefault="006363B3" w:rsidP="00601C2B">
            <w:pPr>
              <w:ind w:firstLineChars="200" w:firstLine="480"/>
              <w:rPr>
                <w:szCs w:val="24"/>
              </w:rPr>
            </w:pPr>
          </w:p>
          <w:p w14:paraId="32EFDBC0" w14:textId="77777777" w:rsidR="006363B3" w:rsidRDefault="00000000" w:rsidP="00601C2B">
            <w:pPr>
              <w:ind w:firstLineChars="200" w:firstLine="480"/>
              <w:rPr>
                <w:szCs w:val="24"/>
              </w:rPr>
            </w:pPr>
            <w:r>
              <w:rPr>
                <w:rFonts w:hint="eastAsia"/>
                <w:szCs w:val="24"/>
              </w:rPr>
              <w:t>二：</w:t>
            </w:r>
            <w:r>
              <w:rPr>
                <w:szCs w:val="24"/>
              </w:rPr>
              <w:t>提问与交流</w:t>
            </w:r>
          </w:p>
          <w:p w14:paraId="36CE236D" w14:textId="77777777" w:rsidR="006363B3" w:rsidRDefault="00000000" w:rsidP="00601C2B">
            <w:pPr>
              <w:ind w:firstLineChars="200" w:firstLine="482"/>
              <w:rPr>
                <w:b/>
                <w:bCs/>
                <w:szCs w:val="24"/>
              </w:rPr>
            </w:pPr>
            <w:r>
              <w:rPr>
                <w:rFonts w:hint="eastAsia"/>
                <w:b/>
                <w:bCs/>
                <w:szCs w:val="24"/>
              </w:rPr>
              <w:t>1</w:t>
            </w:r>
            <w:r>
              <w:rPr>
                <w:rFonts w:hint="eastAsia"/>
                <w:b/>
                <w:bCs/>
                <w:szCs w:val="24"/>
              </w:rPr>
              <w:t>、公司本次对钛深科技（深圳）投资的具体情况如何？</w:t>
            </w:r>
          </w:p>
          <w:p w14:paraId="1D31DBCD" w14:textId="77777777" w:rsidR="006363B3" w:rsidRDefault="00000000" w:rsidP="00601C2B">
            <w:pPr>
              <w:ind w:firstLineChars="200" w:firstLine="480"/>
              <w:rPr>
                <w:szCs w:val="24"/>
              </w:rPr>
            </w:pPr>
            <w:r>
              <w:rPr>
                <w:rFonts w:hint="eastAsia"/>
                <w:szCs w:val="24"/>
              </w:rPr>
              <w:lastRenderedPageBreak/>
              <w:t>答</w:t>
            </w:r>
            <w:r>
              <w:rPr>
                <w:rFonts w:hint="eastAsia"/>
                <w:szCs w:val="24"/>
              </w:rPr>
              <w:t>:</w:t>
            </w:r>
            <w:r>
              <w:rPr>
                <w:rFonts w:hint="eastAsia"/>
                <w:szCs w:val="24"/>
              </w:rPr>
              <w:t>公司本次合计对钛深科技（深圳）投资金额为</w:t>
            </w:r>
            <w:r>
              <w:rPr>
                <w:rFonts w:hint="eastAsia"/>
                <w:szCs w:val="24"/>
              </w:rPr>
              <w:t>2500</w:t>
            </w:r>
            <w:r>
              <w:rPr>
                <w:rFonts w:hint="eastAsia"/>
                <w:szCs w:val="24"/>
              </w:rPr>
              <w:t>万，其中增资</w:t>
            </w:r>
            <w:r>
              <w:rPr>
                <w:rFonts w:hint="eastAsia"/>
                <w:szCs w:val="24"/>
              </w:rPr>
              <w:t>2000</w:t>
            </w:r>
            <w:r>
              <w:rPr>
                <w:rFonts w:hint="eastAsia"/>
                <w:szCs w:val="24"/>
              </w:rPr>
              <w:t>万，老股转让</w:t>
            </w:r>
            <w:r>
              <w:rPr>
                <w:rFonts w:hint="eastAsia"/>
                <w:szCs w:val="24"/>
              </w:rPr>
              <w:t>500</w:t>
            </w:r>
            <w:r>
              <w:rPr>
                <w:rFonts w:hint="eastAsia"/>
                <w:szCs w:val="24"/>
              </w:rPr>
              <w:t>万，本轮老股转让加增资后，公司合计持有钛深科技</w:t>
            </w:r>
            <w:r>
              <w:rPr>
                <w:rFonts w:hint="eastAsia"/>
                <w:szCs w:val="24"/>
              </w:rPr>
              <w:t>6.1106%</w:t>
            </w:r>
            <w:r>
              <w:rPr>
                <w:rFonts w:hint="eastAsia"/>
                <w:szCs w:val="24"/>
              </w:rPr>
              <w:t>股份。</w:t>
            </w:r>
          </w:p>
          <w:p w14:paraId="1CC9FABA" w14:textId="682C4A4A" w:rsidR="006363B3" w:rsidRDefault="00000000" w:rsidP="00601C2B">
            <w:pPr>
              <w:ind w:firstLineChars="200" w:firstLine="482"/>
              <w:rPr>
                <w:b/>
                <w:bCs/>
                <w:szCs w:val="24"/>
              </w:rPr>
            </w:pPr>
            <w:r>
              <w:rPr>
                <w:rFonts w:hint="eastAsia"/>
                <w:b/>
                <w:bCs/>
                <w:szCs w:val="24"/>
              </w:rPr>
              <w:t>2</w:t>
            </w:r>
            <w:r>
              <w:rPr>
                <w:rFonts w:hint="eastAsia"/>
                <w:b/>
                <w:bCs/>
                <w:szCs w:val="24"/>
              </w:rPr>
              <w:t>、钛深科技（深圳）是一家什么样的公司？</w:t>
            </w:r>
          </w:p>
          <w:p w14:paraId="0BA46E57" w14:textId="77777777" w:rsidR="006363B3" w:rsidRDefault="00000000" w:rsidP="00601C2B">
            <w:pPr>
              <w:ind w:firstLineChars="200" w:firstLine="480"/>
              <w:rPr>
                <w:szCs w:val="24"/>
              </w:rPr>
            </w:pPr>
            <w:r>
              <w:rPr>
                <w:rFonts w:hint="eastAsia"/>
                <w:szCs w:val="24"/>
              </w:rPr>
              <w:t>答：钛深科技（深圳）是一家专注于柔性触觉传感芯片及触觉</w:t>
            </w:r>
            <w:r>
              <w:rPr>
                <w:rFonts w:hint="eastAsia"/>
                <w:szCs w:val="24"/>
              </w:rPr>
              <w:t>AI</w:t>
            </w:r>
            <w:r>
              <w:rPr>
                <w:rFonts w:hint="eastAsia"/>
                <w:szCs w:val="24"/>
              </w:rPr>
              <w:t>解决方案的国家高新技术企业，致力于为新能源、消费电子等领域提供完整解决方案。公司成立于</w:t>
            </w:r>
            <w:r>
              <w:rPr>
                <w:rFonts w:hint="eastAsia"/>
                <w:szCs w:val="24"/>
              </w:rPr>
              <w:t>2018</w:t>
            </w:r>
            <w:r>
              <w:rPr>
                <w:rFonts w:hint="eastAsia"/>
                <w:szCs w:val="24"/>
              </w:rPr>
              <w:t>年，总部位于深圳。</w:t>
            </w:r>
          </w:p>
          <w:p w14:paraId="3E29BEFF" w14:textId="77777777" w:rsidR="006363B3" w:rsidRDefault="00000000" w:rsidP="00601C2B">
            <w:pPr>
              <w:ind w:firstLineChars="200" w:firstLine="482"/>
              <w:rPr>
                <w:b/>
                <w:bCs/>
                <w:szCs w:val="24"/>
              </w:rPr>
            </w:pPr>
            <w:r>
              <w:rPr>
                <w:rFonts w:hint="eastAsia"/>
                <w:b/>
                <w:bCs/>
                <w:szCs w:val="24"/>
              </w:rPr>
              <w:t>4</w:t>
            </w:r>
            <w:r>
              <w:rPr>
                <w:rFonts w:hint="eastAsia"/>
                <w:b/>
                <w:bCs/>
                <w:szCs w:val="24"/>
              </w:rPr>
              <w:t>、公司为什么选择投资钛深科技？</w:t>
            </w:r>
          </w:p>
          <w:p w14:paraId="629109BC" w14:textId="062AED2D" w:rsidR="006363B3" w:rsidRDefault="00000000" w:rsidP="00601C2B">
            <w:pPr>
              <w:ind w:firstLineChars="200" w:firstLine="480"/>
              <w:rPr>
                <w:szCs w:val="24"/>
              </w:rPr>
            </w:pPr>
            <w:r>
              <w:rPr>
                <w:rFonts w:hint="eastAsia"/>
                <w:szCs w:val="24"/>
              </w:rPr>
              <w:t>答：作为一家材料领域的上市公司，我们一直关注新材料战略新兴行业。钛深科技是一家是专注于柔性触觉传感芯片及触觉</w:t>
            </w:r>
            <w:r>
              <w:rPr>
                <w:rFonts w:hint="eastAsia"/>
                <w:szCs w:val="24"/>
              </w:rPr>
              <w:t>AI</w:t>
            </w:r>
            <w:r>
              <w:rPr>
                <w:rFonts w:hint="eastAsia"/>
                <w:szCs w:val="24"/>
              </w:rPr>
              <w:t>解决方案的企业，在触觉传感器领域研发能力出众，市场落地经验丰富。首席科学家潘挺睿教授是第四代柔性传感机理—离电触觉传感技术发明者，开创性地实现了全柔性</w:t>
            </w:r>
            <w:r>
              <w:rPr>
                <w:rFonts w:hint="eastAsia"/>
                <w:szCs w:val="24"/>
              </w:rPr>
              <w:t>+100%</w:t>
            </w:r>
            <w:r>
              <w:rPr>
                <w:rFonts w:hint="eastAsia"/>
                <w:szCs w:val="24"/>
              </w:rPr>
              <w:t>透明的传感器，目前也是全球唯一，而且能做到低成本的快速加工，成本降幅高达</w:t>
            </w:r>
            <w:r>
              <w:rPr>
                <w:rFonts w:hint="eastAsia"/>
                <w:szCs w:val="24"/>
              </w:rPr>
              <w:t>90%</w:t>
            </w:r>
            <w:r>
              <w:rPr>
                <w:rFonts w:hint="eastAsia"/>
                <w:szCs w:val="24"/>
              </w:rPr>
              <w:t>。他们的应用场景领域可以拓展到实现各类基材如织物、橡胶、纸张的触觉智能升级。</w:t>
            </w:r>
          </w:p>
          <w:p w14:paraId="712F6DFA" w14:textId="77777777" w:rsidR="006363B3" w:rsidRDefault="00000000" w:rsidP="00601C2B">
            <w:pPr>
              <w:ind w:firstLineChars="200" w:firstLine="480"/>
              <w:rPr>
                <w:szCs w:val="24"/>
              </w:rPr>
            </w:pPr>
            <w:r>
              <w:rPr>
                <w:rFonts w:hint="eastAsia"/>
                <w:szCs w:val="24"/>
              </w:rPr>
              <w:t>公司深耕材料领域有多年合成经验（如染料</w:t>
            </w:r>
            <w:r>
              <w:rPr>
                <w:rFonts w:hint="eastAsia"/>
                <w:szCs w:val="24"/>
              </w:rPr>
              <w:t>/</w:t>
            </w:r>
            <w:r>
              <w:rPr>
                <w:rFonts w:hint="eastAsia"/>
                <w:szCs w:val="24"/>
              </w:rPr>
              <w:t>精细化学品），可以和钛深科技在一些前沿领域联合研发的独特柔性传感技术结合，尝试研发新型柔性传感高分子复合材料。双方在制备工艺流程上都有一定技术复用和相似性。</w:t>
            </w:r>
          </w:p>
          <w:p w14:paraId="2CD2B344" w14:textId="7EB60EF4" w:rsidR="002325AA" w:rsidRPr="002325AA" w:rsidRDefault="002325AA" w:rsidP="00601C2B">
            <w:pPr>
              <w:ind w:firstLineChars="200" w:firstLine="480"/>
            </w:pPr>
            <w:r w:rsidRPr="002325AA">
              <w:rPr>
                <w:rFonts w:hint="eastAsia"/>
                <w:szCs w:val="24"/>
              </w:rPr>
              <w:t>公司在纺织印染行业有较多客户资源，结合钛深科技在柔性传感器在智能穿戴（如智能新材料服装纺织物）领域的应用，可十分轻薄精准地感知和计算人体细微形变和温度，在运动智能感知新材料、户外智能感知新材料等多场景展开应用</w:t>
            </w:r>
            <w:r>
              <w:rPr>
                <w:rFonts w:hint="eastAsia"/>
                <w:szCs w:val="24"/>
              </w:rPr>
              <w:t>。</w:t>
            </w:r>
          </w:p>
          <w:p w14:paraId="439AF340" w14:textId="77777777" w:rsidR="006363B3" w:rsidRDefault="00000000" w:rsidP="00601C2B">
            <w:pPr>
              <w:ind w:firstLineChars="200" w:firstLine="482"/>
              <w:rPr>
                <w:b/>
                <w:bCs/>
                <w:szCs w:val="24"/>
              </w:rPr>
            </w:pPr>
            <w:r>
              <w:rPr>
                <w:rFonts w:hint="eastAsia"/>
                <w:b/>
                <w:bCs/>
                <w:szCs w:val="24"/>
              </w:rPr>
              <w:t>5</w:t>
            </w:r>
            <w:r>
              <w:rPr>
                <w:rFonts w:hint="eastAsia"/>
                <w:b/>
                <w:bCs/>
                <w:szCs w:val="24"/>
              </w:rPr>
              <w:t>、公司二季度营收</w:t>
            </w:r>
            <w:r>
              <w:rPr>
                <w:rFonts w:hint="eastAsia"/>
                <w:b/>
                <w:bCs/>
                <w:szCs w:val="24"/>
              </w:rPr>
              <w:t>-24.36%</w:t>
            </w:r>
            <w:r>
              <w:rPr>
                <w:rFonts w:hint="eastAsia"/>
                <w:b/>
                <w:bCs/>
                <w:szCs w:val="24"/>
              </w:rPr>
              <w:t>，延续下滑趋势，目前行业需求处于什么阶段，怎么判断行业周期的拐点？</w:t>
            </w:r>
          </w:p>
          <w:p w14:paraId="79F139CD" w14:textId="77777777" w:rsidR="006363B3" w:rsidRDefault="00000000" w:rsidP="00601C2B">
            <w:pPr>
              <w:ind w:firstLineChars="200" w:firstLine="480"/>
              <w:rPr>
                <w:szCs w:val="24"/>
              </w:rPr>
            </w:pPr>
            <w:r>
              <w:rPr>
                <w:rFonts w:hint="eastAsia"/>
                <w:szCs w:val="24"/>
              </w:rPr>
              <w:t>答：从行业格局来讲，中国染料行业产品价格自</w:t>
            </w:r>
            <w:r>
              <w:rPr>
                <w:rFonts w:hint="eastAsia"/>
                <w:szCs w:val="24"/>
              </w:rPr>
              <w:t>2019</w:t>
            </w:r>
            <w:r>
              <w:rPr>
                <w:rFonts w:hint="eastAsia"/>
                <w:szCs w:val="24"/>
              </w:rPr>
              <w:t>年下半年起持续承压下行，目前行业大量中小企业逐渐被淘汰，行业竞争格局越来越稳定，集中度也在逐步提升，福莱蒽特作为高端染料领域的领先企业将享受行业洗牌带来的红利；从市场需求来讲，下游纺织印染行业已经开始有复苏的迹象，部分头部上市公司已经出现业绩拐点。公司产能利用率</w:t>
            </w:r>
            <w:r>
              <w:rPr>
                <w:rFonts w:hint="eastAsia"/>
                <w:szCs w:val="24"/>
              </w:rPr>
              <w:t>2025</w:t>
            </w:r>
            <w:r>
              <w:rPr>
                <w:rFonts w:hint="eastAsia"/>
                <w:szCs w:val="24"/>
              </w:rPr>
              <w:t>年上半年保持在</w:t>
            </w:r>
            <w:r>
              <w:rPr>
                <w:rFonts w:hint="eastAsia"/>
                <w:szCs w:val="24"/>
              </w:rPr>
              <w:t>90%</w:t>
            </w:r>
            <w:r>
              <w:rPr>
                <w:rFonts w:hint="eastAsia"/>
                <w:szCs w:val="24"/>
              </w:rPr>
              <w:t>水平，公司营收下降主要是因为公司优化了产品的结构，降低了低利润滤饼的生产销售。</w:t>
            </w:r>
          </w:p>
          <w:p w14:paraId="2A72B997" w14:textId="2AE2A3D4" w:rsidR="006363B3" w:rsidRDefault="00000000" w:rsidP="00601C2B">
            <w:pPr>
              <w:ind w:firstLineChars="200" w:firstLine="482"/>
              <w:rPr>
                <w:b/>
                <w:bCs/>
                <w:szCs w:val="24"/>
              </w:rPr>
            </w:pPr>
            <w:r>
              <w:rPr>
                <w:rFonts w:hint="eastAsia"/>
                <w:b/>
                <w:bCs/>
                <w:szCs w:val="24"/>
              </w:rPr>
              <w:t>6</w:t>
            </w:r>
            <w:r>
              <w:rPr>
                <w:rFonts w:hint="eastAsia"/>
                <w:b/>
                <w:bCs/>
                <w:szCs w:val="24"/>
              </w:rPr>
              <w:t>、高管减持计划完成情况？</w:t>
            </w:r>
            <w:r w:rsidR="00601C2B">
              <w:rPr>
                <w:b/>
                <w:bCs/>
                <w:szCs w:val="24"/>
              </w:rPr>
              <w:t xml:space="preserve"> </w:t>
            </w:r>
          </w:p>
          <w:p w14:paraId="53661C82" w14:textId="74DF0EE1" w:rsidR="006363B3" w:rsidRDefault="00000000" w:rsidP="00601C2B">
            <w:pPr>
              <w:ind w:firstLineChars="200" w:firstLine="480"/>
              <w:rPr>
                <w:szCs w:val="24"/>
              </w:rPr>
            </w:pPr>
            <w:r>
              <w:rPr>
                <w:rFonts w:hint="eastAsia"/>
                <w:szCs w:val="24"/>
              </w:rPr>
              <w:t>答：公司前期披露的高管减持计划已结束，公司几位高管总共减持不超过</w:t>
            </w:r>
            <w:r>
              <w:rPr>
                <w:rFonts w:hint="eastAsia"/>
                <w:szCs w:val="24"/>
              </w:rPr>
              <w:t>80</w:t>
            </w:r>
            <w:r>
              <w:rPr>
                <w:rFonts w:hint="eastAsia"/>
                <w:szCs w:val="24"/>
              </w:rPr>
              <w:t>万股，占公司总股本不超过</w:t>
            </w:r>
            <w:r>
              <w:rPr>
                <w:rFonts w:hint="eastAsia"/>
                <w:szCs w:val="24"/>
              </w:rPr>
              <w:t>0.6%</w:t>
            </w:r>
            <w:r>
              <w:rPr>
                <w:rFonts w:hint="eastAsia"/>
                <w:szCs w:val="24"/>
              </w:rPr>
              <w:t>，其减持短期内对二级市场压力小，从中长期看，</w:t>
            </w:r>
            <w:r>
              <w:rPr>
                <w:rFonts w:hint="eastAsia"/>
                <w:szCs w:val="24"/>
              </w:rPr>
              <w:lastRenderedPageBreak/>
              <w:t>在相对低位减持，给上市公司优化股东结构创造了机会窗口。本次高管减持主要是因为之前出于对公司的认可均大力认购了公司股份，同时本次员工激励高管有以更低价格增持公司股份的机会，因此几位高管先减持减少资金投入。</w:t>
            </w:r>
          </w:p>
          <w:p w14:paraId="457957BF" w14:textId="77777777" w:rsidR="006363B3" w:rsidRDefault="00000000" w:rsidP="00601C2B">
            <w:pPr>
              <w:ind w:firstLineChars="200" w:firstLine="482"/>
              <w:rPr>
                <w:b/>
                <w:bCs/>
                <w:szCs w:val="24"/>
              </w:rPr>
            </w:pPr>
            <w:r>
              <w:rPr>
                <w:rFonts w:hint="eastAsia"/>
                <w:b/>
                <w:bCs/>
                <w:szCs w:val="24"/>
              </w:rPr>
              <w:t>7</w:t>
            </w:r>
            <w:r>
              <w:rPr>
                <w:rFonts w:hint="eastAsia"/>
                <w:b/>
                <w:bCs/>
                <w:szCs w:val="24"/>
              </w:rPr>
              <w:t>、公司目前参与、或设立的产业基金情况？</w:t>
            </w:r>
          </w:p>
          <w:p w14:paraId="2AFEADDB" w14:textId="2C4AD416" w:rsidR="006363B3" w:rsidRDefault="00000000" w:rsidP="00601C2B">
            <w:pPr>
              <w:ind w:firstLineChars="200" w:firstLine="480"/>
              <w:rPr>
                <w:szCs w:val="24"/>
              </w:rPr>
            </w:pPr>
            <w:r>
              <w:rPr>
                <w:rFonts w:hint="eastAsia"/>
                <w:szCs w:val="24"/>
              </w:rPr>
              <w:t>答：目前公司作为有限合伙人认缴出资</w:t>
            </w:r>
            <w:r>
              <w:rPr>
                <w:rFonts w:hint="eastAsia"/>
                <w:szCs w:val="24"/>
              </w:rPr>
              <w:t xml:space="preserve"> 1.05 </w:t>
            </w:r>
            <w:r>
              <w:rPr>
                <w:rFonts w:hint="eastAsia"/>
                <w:szCs w:val="24"/>
              </w:rPr>
              <w:t>亿元参与设立杭州禾迈有天新动能创业投资合伙企业（有限合伙），管理人为北京有天私募基金管理有限公司。该基金主要围绕公司主业进行产业链生态布局，重点投资新能源、半导体，同时关注新材料、先进制造、高端装备制造等战略新兴行业。后续公司不排除与头部创投机构开展合作。</w:t>
            </w:r>
          </w:p>
        </w:tc>
      </w:tr>
      <w:tr w:rsidR="006363B3" w14:paraId="32B93CFD" w14:textId="77777777">
        <w:trPr>
          <w:jc w:val="center"/>
        </w:trPr>
        <w:tc>
          <w:tcPr>
            <w:tcW w:w="2405" w:type="dxa"/>
            <w:vAlign w:val="center"/>
          </w:tcPr>
          <w:p w14:paraId="482A9974" w14:textId="77777777" w:rsidR="006363B3" w:rsidRDefault="00000000">
            <w:pPr>
              <w:jc w:val="center"/>
              <w:rPr>
                <w:b/>
                <w:bCs/>
                <w:szCs w:val="24"/>
              </w:rPr>
            </w:pPr>
            <w:r>
              <w:rPr>
                <w:rFonts w:hint="eastAsia"/>
                <w:b/>
                <w:bCs/>
                <w:szCs w:val="24"/>
              </w:rPr>
              <w:lastRenderedPageBreak/>
              <w:t>风险提示</w:t>
            </w:r>
          </w:p>
        </w:tc>
        <w:tc>
          <w:tcPr>
            <w:tcW w:w="5891" w:type="dxa"/>
            <w:vAlign w:val="center"/>
          </w:tcPr>
          <w:p w14:paraId="25698EDE" w14:textId="77777777" w:rsidR="006363B3" w:rsidRDefault="00000000">
            <w:pPr>
              <w:ind w:firstLineChars="200" w:firstLine="480"/>
              <w:jc w:val="left"/>
              <w:rPr>
                <w:szCs w:val="24"/>
              </w:rPr>
            </w:pPr>
            <w:r>
              <w:rPr>
                <w:rFonts w:hint="eastAsia"/>
                <w:szCs w:val="24"/>
              </w:rPr>
              <w:t>上述内容如涉及对行业的预测、公司发展战略规划等相关信息，不视作公司或公司管理层对行业、公司发展的承诺与保证，敬请广大投资者理性决策、注意投资风险。</w:t>
            </w:r>
          </w:p>
          <w:p w14:paraId="254DBF86" w14:textId="77777777" w:rsidR="006363B3" w:rsidRDefault="00000000">
            <w:pPr>
              <w:ind w:firstLineChars="200" w:firstLine="480"/>
              <w:jc w:val="left"/>
              <w:rPr>
                <w:szCs w:val="24"/>
              </w:rPr>
            </w:pPr>
            <w:r>
              <w:rPr>
                <w:rFonts w:hint="eastAsia"/>
                <w:szCs w:val="24"/>
              </w:rPr>
              <w:t>本次调研不涉及应当披露重大信息的泄露情况。</w:t>
            </w:r>
          </w:p>
        </w:tc>
      </w:tr>
      <w:tr w:rsidR="006363B3" w14:paraId="38874C97" w14:textId="77777777">
        <w:trPr>
          <w:jc w:val="center"/>
        </w:trPr>
        <w:tc>
          <w:tcPr>
            <w:tcW w:w="2405" w:type="dxa"/>
            <w:vAlign w:val="center"/>
          </w:tcPr>
          <w:p w14:paraId="044F4AA8" w14:textId="77777777" w:rsidR="006363B3" w:rsidRDefault="00000000">
            <w:pPr>
              <w:jc w:val="center"/>
              <w:rPr>
                <w:b/>
                <w:bCs/>
                <w:szCs w:val="24"/>
              </w:rPr>
            </w:pPr>
            <w:r>
              <w:rPr>
                <w:rFonts w:hint="eastAsia"/>
                <w:b/>
                <w:bCs/>
                <w:szCs w:val="24"/>
              </w:rPr>
              <w:t>附件清单（如有）</w:t>
            </w:r>
          </w:p>
        </w:tc>
        <w:tc>
          <w:tcPr>
            <w:tcW w:w="5891" w:type="dxa"/>
            <w:vAlign w:val="center"/>
          </w:tcPr>
          <w:p w14:paraId="70EFBF35" w14:textId="77777777" w:rsidR="006363B3" w:rsidRDefault="00000000">
            <w:pPr>
              <w:rPr>
                <w:szCs w:val="24"/>
              </w:rPr>
            </w:pPr>
            <w:r>
              <w:rPr>
                <w:rFonts w:hint="eastAsia"/>
                <w:szCs w:val="24"/>
              </w:rPr>
              <w:t>无</w:t>
            </w:r>
          </w:p>
        </w:tc>
      </w:tr>
    </w:tbl>
    <w:p w14:paraId="697617F0" w14:textId="77777777" w:rsidR="006363B3" w:rsidRDefault="006363B3">
      <w:pPr>
        <w:spacing w:line="360" w:lineRule="auto"/>
        <w:rPr>
          <w:sz w:val="28"/>
          <w:szCs w:val="28"/>
        </w:rPr>
      </w:pPr>
    </w:p>
    <w:sectPr w:rsidR="006363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73FB7" w14:textId="77777777" w:rsidR="00A8400E" w:rsidRDefault="00A8400E" w:rsidP="00601C2B">
      <w:r>
        <w:separator/>
      </w:r>
    </w:p>
  </w:endnote>
  <w:endnote w:type="continuationSeparator" w:id="0">
    <w:p w14:paraId="78D7D514" w14:textId="77777777" w:rsidR="00A8400E" w:rsidRDefault="00A8400E" w:rsidP="00601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5C43A" w14:textId="77777777" w:rsidR="00A8400E" w:rsidRDefault="00A8400E" w:rsidP="00601C2B">
      <w:r>
        <w:separator/>
      </w:r>
    </w:p>
  </w:footnote>
  <w:footnote w:type="continuationSeparator" w:id="0">
    <w:p w14:paraId="5DF77FEE" w14:textId="77777777" w:rsidR="00A8400E" w:rsidRDefault="00A8400E" w:rsidP="00601C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5E46"/>
    <w:rsid w:val="00024789"/>
    <w:rsid w:val="0003737A"/>
    <w:rsid w:val="000640AF"/>
    <w:rsid w:val="00072DC3"/>
    <w:rsid w:val="000B61FC"/>
    <w:rsid w:val="000C4854"/>
    <w:rsid w:val="000D2872"/>
    <w:rsid w:val="000E1009"/>
    <w:rsid w:val="00171B17"/>
    <w:rsid w:val="001F0F88"/>
    <w:rsid w:val="0020500F"/>
    <w:rsid w:val="002325AA"/>
    <w:rsid w:val="002829F8"/>
    <w:rsid w:val="002E4284"/>
    <w:rsid w:val="003A3A46"/>
    <w:rsid w:val="003F3C92"/>
    <w:rsid w:val="00440D9E"/>
    <w:rsid w:val="0044188F"/>
    <w:rsid w:val="004621C4"/>
    <w:rsid w:val="0047225E"/>
    <w:rsid w:val="004754E9"/>
    <w:rsid w:val="00483A70"/>
    <w:rsid w:val="00497223"/>
    <w:rsid w:val="004A61D3"/>
    <w:rsid w:val="004C05F0"/>
    <w:rsid w:val="004E40CA"/>
    <w:rsid w:val="004E7BA1"/>
    <w:rsid w:val="004F12AF"/>
    <w:rsid w:val="00513BB5"/>
    <w:rsid w:val="005325EC"/>
    <w:rsid w:val="005B0568"/>
    <w:rsid w:val="005B4653"/>
    <w:rsid w:val="00601C2B"/>
    <w:rsid w:val="00634B6E"/>
    <w:rsid w:val="006363B3"/>
    <w:rsid w:val="00694F7F"/>
    <w:rsid w:val="006A6F9B"/>
    <w:rsid w:val="006E0646"/>
    <w:rsid w:val="007344CA"/>
    <w:rsid w:val="00773E29"/>
    <w:rsid w:val="00831E7D"/>
    <w:rsid w:val="00880942"/>
    <w:rsid w:val="008D53BA"/>
    <w:rsid w:val="008F6C84"/>
    <w:rsid w:val="00971F9E"/>
    <w:rsid w:val="009D3819"/>
    <w:rsid w:val="009F4679"/>
    <w:rsid w:val="00A26198"/>
    <w:rsid w:val="00A300B7"/>
    <w:rsid w:val="00A8400E"/>
    <w:rsid w:val="00B42CA0"/>
    <w:rsid w:val="00B71EE6"/>
    <w:rsid w:val="00BE2496"/>
    <w:rsid w:val="00C039E0"/>
    <w:rsid w:val="00CA5510"/>
    <w:rsid w:val="00CB1F7E"/>
    <w:rsid w:val="00CD1308"/>
    <w:rsid w:val="00CE4003"/>
    <w:rsid w:val="00CF6FBA"/>
    <w:rsid w:val="00D014D1"/>
    <w:rsid w:val="00D41872"/>
    <w:rsid w:val="00DC0644"/>
    <w:rsid w:val="00DC5E46"/>
    <w:rsid w:val="00DD3F7F"/>
    <w:rsid w:val="00DD6004"/>
    <w:rsid w:val="00E9000F"/>
    <w:rsid w:val="00EC26CA"/>
    <w:rsid w:val="00EE37FA"/>
    <w:rsid w:val="00F10875"/>
    <w:rsid w:val="112278CE"/>
    <w:rsid w:val="13D05D10"/>
    <w:rsid w:val="25A50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71DB1"/>
  <w15:docId w15:val="{FE817CE4-25A6-4364-BE71-2C571670C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kern w:val="2"/>
      <w:sz w:val="24"/>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character" w:customStyle="1" w:styleId="a6">
    <w:name w:val="批注框文本 字符"/>
    <w:basedOn w:val="a0"/>
    <w:link w:val="a5"/>
    <w:uiPriority w:val="99"/>
    <w:semiHidden/>
    <w:qFormat/>
    <w:rPr>
      <w:rFonts w:ascii="Times New Roman" w:eastAsia="宋体" w:hAnsi="Times New Roman"/>
      <w:sz w:val="18"/>
      <w:szCs w:val="18"/>
    </w:rPr>
  </w:style>
  <w:style w:type="character" w:customStyle="1" w:styleId="aa">
    <w:name w:val="页眉 字符"/>
    <w:basedOn w:val="a0"/>
    <w:link w:val="a9"/>
    <w:uiPriority w:val="99"/>
    <w:qFormat/>
    <w:rPr>
      <w:rFonts w:ascii="Times New Roman" w:eastAsia="宋体" w:hAnsi="Times New Roman"/>
      <w:sz w:val="18"/>
      <w:szCs w:val="18"/>
    </w:rPr>
  </w:style>
  <w:style w:type="character" w:customStyle="1" w:styleId="a8">
    <w:name w:val="页脚 字符"/>
    <w:basedOn w:val="a0"/>
    <w:link w:val="a7"/>
    <w:uiPriority w:val="99"/>
    <w:qFormat/>
    <w:rPr>
      <w:rFonts w:ascii="Times New Roman" w:eastAsia="宋体" w:hAnsi="Times New Roman"/>
      <w:sz w:val="18"/>
      <w:szCs w:val="18"/>
    </w:rPr>
  </w:style>
  <w:style w:type="character" w:customStyle="1" w:styleId="a4">
    <w:name w:val="批注文字 字符"/>
    <w:basedOn w:val="a0"/>
    <w:link w:val="a3"/>
    <w:uiPriority w:val="99"/>
    <w:semiHidden/>
    <w:qFormat/>
    <w:rPr>
      <w:rFonts w:ascii="Times New Roman" w:eastAsia="宋体" w:hAnsi="Times New Roman"/>
      <w:sz w:val="24"/>
    </w:rPr>
  </w:style>
  <w:style w:type="character" w:customStyle="1" w:styleId="ac">
    <w:name w:val="批注主题 字符"/>
    <w:basedOn w:val="a4"/>
    <w:link w:val="ab"/>
    <w:uiPriority w:val="99"/>
    <w:semiHidden/>
    <w:qFormat/>
    <w:rPr>
      <w:rFonts w:ascii="Times New Roman" w:eastAsia="宋体" w:hAnsi="Times New Roman"/>
      <w:b/>
      <w:bCs/>
      <w:sz w:val="24"/>
    </w:rPr>
  </w:style>
  <w:style w:type="paragraph" w:styleId="af">
    <w:name w:val="Revision"/>
    <w:hidden/>
    <w:uiPriority w:val="99"/>
    <w:unhideWhenUsed/>
    <w:rsid w:val="00601C2B"/>
    <w:rPr>
      <w:rFonts w:ascii="Times New Roman" w:eastAsia="宋体" w:hAnsi="Times New Roman"/>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3</Pages>
  <Words>308</Words>
  <Characters>1760</Characters>
  <Application>Microsoft Office Word</Application>
  <DocSecurity>0</DocSecurity>
  <Lines>14</Lines>
  <Paragraphs>4</Paragraphs>
  <ScaleCrop>false</ScaleCrop>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荣大-李雷</dc:creator>
  <cp:lastModifiedBy>王振炎</cp:lastModifiedBy>
  <cp:revision>26</cp:revision>
  <dcterms:created xsi:type="dcterms:W3CDTF">2020-08-31T03:54:00Z</dcterms:created>
  <dcterms:modified xsi:type="dcterms:W3CDTF">2025-10-17T08:35:00Z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eyJoZGlkIjoiZDVhOWQwNzdmNWY0YzkwMWU5Y2JkMzYzOGE3NzkwMjQiLCJ1c2VySWQiOiIxNjU3MTc3MDg4In0=</vt:lpwstr>
  </property>
  <property fmtid="{D5CDD505-2E9C-101B-9397-08002B2CF9AE}" pid="3" name="KSOProductBuildVer">
    <vt:lpwstr>2052-12.1.0.21171</vt:lpwstr>
  </property>
  <property fmtid="{D5CDD505-2E9C-101B-9397-08002B2CF9AE}" pid="4" name="ICV">
    <vt:lpwstr>FF2C5FBD0DAC4AB181B9250E9FA9CFE0_12</vt:lpwstr>
  </property>
</Properties>
</file>