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27E5E">
      <w:pPr>
        <w:pStyle w:val="2"/>
        <w:rPr>
          <w:lang w:eastAsia="zh-CN"/>
        </w:rPr>
      </w:pPr>
      <w:r>
        <w:rPr>
          <w:lang w:eastAsia="zh-CN"/>
        </w:rPr>
        <w:t>证券代码：</w:t>
      </w:r>
      <w:r>
        <w:rPr>
          <w:rFonts w:hint="eastAsia"/>
          <w:lang w:eastAsia="zh-CN"/>
        </w:rPr>
        <w:t xml:space="preserve">600099                                   </w:t>
      </w:r>
      <w:r>
        <w:rPr>
          <w:lang w:eastAsia="zh-CN"/>
        </w:rPr>
        <w:t>证券简称：</w:t>
      </w:r>
      <w:r>
        <w:rPr>
          <w:rFonts w:hint="eastAsia"/>
          <w:lang w:eastAsia="zh-CN"/>
        </w:rPr>
        <w:t>林海股份</w:t>
      </w:r>
    </w:p>
    <w:p w14:paraId="3B3FD5B6">
      <w:pPr>
        <w:pStyle w:val="2"/>
        <w:rPr>
          <w:lang w:eastAsia="zh-CN"/>
        </w:rPr>
      </w:pPr>
    </w:p>
    <w:p w14:paraId="663434CD">
      <w:pPr>
        <w:spacing w:line="480" w:lineRule="auto"/>
        <w:jc w:val="center"/>
        <w:rPr>
          <w:b/>
          <w:w w:val="99"/>
          <w:sz w:val="32"/>
          <w:szCs w:val="32"/>
          <w:lang w:eastAsia="zh-CN"/>
        </w:rPr>
      </w:pPr>
      <w:r>
        <w:rPr>
          <w:rFonts w:hint="eastAsia"/>
          <w:b/>
          <w:spacing w:val="4"/>
          <w:w w:val="99"/>
          <w:sz w:val="32"/>
          <w:szCs w:val="32"/>
          <w:lang w:eastAsia="zh-CN"/>
        </w:rPr>
        <w:t>林海</w:t>
      </w:r>
      <w:r>
        <w:rPr>
          <w:b/>
          <w:w w:val="99"/>
          <w:sz w:val="32"/>
          <w:szCs w:val="32"/>
          <w:lang w:eastAsia="zh-CN"/>
        </w:rPr>
        <w:t>股</w:t>
      </w:r>
      <w:r>
        <w:rPr>
          <w:b/>
          <w:spacing w:val="4"/>
          <w:w w:val="99"/>
          <w:sz w:val="32"/>
          <w:szCs w:val="32"/>
          <w:lang w:eastAsia="zh-CN"/>
        </w:rPr>
        <w:t>份有</w:t>
      </w:r>
      <w:r>
        <w:rPr>
          <w:b/>
          <w:w w:val="99"/>
          <w:sz w:val="32"/>
          <w:szCs w:val="32"/>
          <w:lang w:eastAsia="zh-CN"/>
        </w:rPr>
        <w:t>限</w:t>
      </w:r>
      <w:r>
        <w:rPr>
          <w:b/>
          <w:spacing w:val="4"/>
          <w:w w:val="99"/>
          <w:sz w:val="32"/>
          <w:szCs w:val="32"/>
          <w:lang w:eastAsia="zh-CN"/>
        </w:rPr>
        <w:t>公</w:t>
      </w:r>
      <w:r>
        <w:rPr>
          <w:b/>
          <w:w w:val="99"/>
          <w:sz w:val="32"/>
          <w:szCs w:val="32"/>
          <w:lang w:eastAsia="zh-CN"/>
        </w:rPr>
        <w:t>司</w:t>
      </w:r>
    </w:p>
    <w:p w14:paraId="71E2C980">
      <w:pPr>
        <w:spacing w:line="480" w:lineRule="auto"/>
        <w:jc w:val="center"/>
        <w:rPr>
          <w:b/>
          <w:sz w:val="32"/>
          <w:szCs w:val="32"/>
          <w:lang w:eastAsia="zh-CN"/>
        </w:rPr>
      </w:pPr>
      <w:r>
        <w:rPr>
          <w:rFonts w:hint="eastAsia"/>
          <w:b/>
          <w:spacing w:val="4"/>
          <w:w w:val="99"/>
          <w:sz w:val="32"/>
          <w:szCs w:val="32"/>
          <w:lang w:eastAsia="zh-CN"/>
        </w:rPr>
        <w:t>2025年</w:t>
      </w:r>
      <w:r>
        <w:rPr>
          <w:rFonts w:hint="eastAsia"/>
          <w:b/>
          <w:spacing w:val="4"/>
          <w:w w:val="99"/>
          <w:sz w:val="32"/>
          <w:szCs w:val="32"/>
          <w:lang w:val="en-US" w:eastAsia="zh-CN"/>
        </w:rPr>
        <w:t>10</w:t>
      </w:r>
      <w:r>
        <w:rPr>
          <w:rFonts w:hint="eastAsia"/>
          <w:b/>
          <w:spacing w:val="4"/>
          <w:w w:val="99"/>
          <w:sz w:val="32"/>
          <w:szCs w:val="32"/>
          <w:lang w:eastAsia="zh-CN"/>
        </w:rPr>
        <w:t>月</w:t>
      </w:r>
      <w:r>
        <w:rPr>
          <w:rFonts w:hint="eastAsia"/>
          <w:b/>
          <w:spacing w:val="4"/>
          <w:w w:val="99"/>
          <w:sz w:val="32"/>
          <w:szCs w:val="32"/>
          <w:lang w:val="en-US" w:eastAsia="zh-CN"/>
        </w:rPr>
        <w:t>17日</w:t>
      </w:r>
      <w:r>
        <w:rPr>
          <w:b/>
          <w:spacing w:val="4"/>
          <w:w w:val="99"/>
          <w:sz w:val="32"/>
          <w:szCs w:val="32"/>
          <w:lang w:eastAsia="zh-CN"/>
        </w:rPr>
        <w:t>投资</w:t>
      </w:r>
      <w:r>
        <w:rPr>
          <w:b/>
          <w:w w:val="99"/>
          <w:sz w:val="32"/>
          <w:szCs w:val="32"/>
          <w:lang w:eastAsia="zh-CN"/>
        </w:rPr>
        <w:t>者</w:t>
      </w:r>
      <w:r>
        <w:rPr>
          <w:b/>
          <w:spacing w:val="4"/>
          <w:w w:val="99"/>
          <w:sz w:val="32"/>
          <w:szCs w:val="32"/>
          <w:lang w:eastAsia="zh-CN"/>
        </w:rPr>
        <w:t>关</w:t>
      </w:r>
      <w:r>
        <w:rPr>
          <w:b/>
          <w:w w:val="99"/>
          <w:sz w:val="32"/>
          <w:szCs w:val="32"/>
          <w:lang w:eastAsia="zh-CN"/>
        </w:rPr>
        <w:t>系</w:t>
      </w:r>
      <w:r>
        <w:rPr>
          <w:b/>
          <w:spacing w:val="4"/>
          <w:w w:val="99"/>
          <w:sz w:val="32"/>
          <w:szCs w:val="32"/>
          <w:lang w:eastAsia="zh-CN"/>
        </w:rPr>
        <w:t>活</w:t>
      </w:r>
      <w:r>
        <w:rPr>
          <w:b/>
          <w:w w:val="99"/>
          <w:sz w:val="32"/>
          <w:szCs w:val="32"/>
          <w:lang w:eastAsia="zh-CN"/>
        </w:rPr>
        <w:t>动</w:t>
      </w:r>
      <w:r>
        <w:rPr>
          <w:b/>
          <w:spacing w:val="4"/>
          <w:w w:val="99"/>
          <w:sz w:val="32"/>
          <w:szCs w:val="32"/>
          <w:lang w:eastAsia="zh-CN"/>
        </w:rPr>
        <w:t>记录</w:t>
      </w:r>
      <w:r>
        <w:rPr>
          <w:b/>
          <w:w w:val="99"/>
          <w:sz w:val="32"/>
          <w:szCs w:val="32"/>
          <w:lang w:eastAsia="zh-CN"/>
        </w:rPr>
        <w:t>表</w:t>
      </w:r>
    </w:p>
    <w:tbl>
      <w:tblPr>
        <w:tblStyle w:val="6"/>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8"/>
        <w:gridCol w:w="7616"/>
      </w:tblGrid>
      <w:tr w14:paraId="050AB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vAlign w:val="center"/>
          </w:tcPr>
          <w:p w14:paraId="55EEACB7">
            <w:pPr>
              <w:tabs>
                <w:tab w:val="left" w:pos="828"/>
              </w:tabs>
              <w:spacing w:line="360" w:lineRule="auto"/>
              <w:jc w:val="center"/>
              <w:rPr>
                <w:sz w:val="24"/>
                <w:szCs w:val="24"/>
              </w:rPr>
            </w:pPr>
            <w:r>
              <w:rPr>
                <w:rFonts w:hint="eastAsia"/>
                <w:sz w:val="24"/>
                <w:szCs w:val="24"/>
              </w:rPr>
              <w:t>投资</w:t>
            </w:r>
            <w:r>
              <w:rPr>
                <w:rFonts w:hint="eastAsia"/>
                <w:spacing w:val="4"/>
                <w:sz w:val="24"/>
                <w:szCs w:val="24"/>
              </w:rPr>
              <w:t>者</w:t>
            </w:r>
            <w:r>
              <w:rPr>
                <w:rFonts w:hint="eastAsia"/>
                <w:sz w:val="24"/>
                <w:szCs w:val="24"/>
              </w:rPr>
              <w:t>关系</w:t>
            </w:r>
          </w:p>
          <w:p w14:paraId="3B9307DD">
            <w:pPr>
              <w:tabs>
                <w:tab w:val="left" w:pos="828"/>
              </w:tabs>
              <w:spacing w:line="360" w:lineRule="auto"/>
              <w:jc w:val="center"/>
              <w:rPr>
                <w:sz w:val="24"/>
                <w:szCs w:val="24"/>
                <w:lang w:eastAsia="zh-CN"/>
              </w:rPr>
            </w:pPr>
            <w:r>
              <w:rPr>
                <w:rFonts w:hint="eastAsia"/>
                <w:sz w:val="24"/>
                <w:szCs w:val="24"/>
              </w:rPr>
              <w:t>活动类别</w:t>
            </w:r>
          </w:p>
        </w:tc>
        <w:tc>
          <w:tcPr>
            <w:tcW w:w="7616" w:type="dxa"/>
          </w:tcPr>
          <w:p w14:paraId="646FF39F">
            <w:pPr>
              <w:pStyle w:val="11"/>
              <w:spacing w:before="166"/>
              <w:jc w:val="both"/>
              <w:rPr>
                <w:sz w:val="24"/>
                <w:szCs w:val="24"/>
                <w:lang w:eastAsia="zh-CN"/>
              </w:rPr>
            </w:pPr>
            <w:r>
              <w:rPr>
                <w:rFonts w:hint="default"/>
                <w:sz w:val="24"/>
                <w:szCs w:val="24"/>
                <w:lang w:val="en-US" w:eastAsia="zh-CN"/>
              </w:rPr>
              <w:t>□</w:t>
            </w:r>
            <w:r>
              <w:rPr>
                <w:rFonts w:hint="eastAsia"/>
                <w:sz w:val="24"/>
                <w:szCs w:val="24"/>
                <w:lang w:eastAsia="zh-CN"/>
              </w:rPr>
              <w:t>特定对象调研       □分析师会议</w:t>
            </w:r>
          </w:p>
          <w:p w14:paraId="3D9C8C68">
            <w:pPr>
              <w:pStyle w:val="11"/>
              <w:tabs>
                <w:tab w:val="left" w:pos="3008"/>
              </w:tabs>
              <w:spacing w:before="226"/>
              <w:jc w:val="both"/>
              <w:rPr>
                <w:sz w:val="24"/>
                <w:szCs w:val="24"/>
                <w:lang w:eastAsia="zh-CN"/>
              </w:rPr>
            </w:pPr>
            <w:r>
              <w:rPr>
                <w:rFonts w:hint="eastAsia"/>
                <w:sz w:val="24"/>
                <w:szCs w:val="24"/>
                <w:lang w:eastAsia="zh-CN"/>
              </w:rPr>
              <w:t xml:space="preserve">□媒体采访           </w:t>
            </w:r>
            <w:r>
              <w:rPr>
                <w:rFonts w:hint="eastAsia"/>
                <w:sz w:val="24"/>
                <w:szCs w:val="24"/>
                <w:lang w:eastAsia="zh-CN"/>
              </w:rPr>
              <w:sym w:font="Wingdings 2" w:char="0052"/>
            </w:r>
            <w:r>
              <w:rPr>
                <w:rFonts w:hint="eastAsia"/>
                <w:sz w:val="24"/>
                <w:szCs w:val="24"/>
                <w:lang w:eastAsia="zh-CN"/>
              </w:rPr>
              <w:t>业绩说明会（</w:t>
            </w:r>
            <w:r>
              <w:rPr>
                <w:rFonts w:hint="eastAsia"/>
                <w:sz w:val="24"/>
                <w:szCs w:val="24"/>
                <w:lang w:val="en-US" w:eastAsia="zh-CN"/>
              </w:rPr>
              <w:t>2025年半年度业绩说明会</w:t>
            </w:r>
            <w:r>
              <w:rPr>
                <w:rFonts w:hint="eastAsia"/>
                <w:sz w:val="24"/>
                <w:szCs w:val="24"/>
                <w:lang w:eastAsia="zh-CN"/>
              </w:rPr>
              <w:t>）</w:t>
            </w:r>
          </w:p>
          <w:p w14:paraId="1681BD36">
            <w:pPr>
              <w:pStyle w:val="11"/>
              <w:spacing w:before="166"/>
              <w:jc w:val="both"/>
              <w:rPr>
                <w:sz w:val="24"/>
                <w:szCs w:val="24"/>
                <w:lang w:eastAsia="zh-CN"/>
              </w:rPr>
            </w:pPr>
            <w:r>
              <w:rPr>
                <w:rFonts w:hint="eastAsia"/>
                <w:sz w:val="24"/>
                <w:szCs w:val="24"/>
                <w:lang w:eastAsia="zh-CN"/>
              </w:rPr>
              <w:t>□新闻发布会</w:t>
            </w:r>
            <w:r>
              <w:rPr>
                <w:rFonts w:hint="eastAsia"/>
                <w:sz w:val="24"/>
                <w:szCs w:val="24"/>
                <w:lang w:eastAsia="zh-CN"/>
              </w:rPr>
              <w:tab/>
            </w:r>
            <w:r>
              <w:rPr>
                <w:rFonts w:hint="eastAsia"/>
                <w:sz w:val="24"/>
                <w:szCs w:val="24"/>
                <w:lang w:eastAsia="zh-CN"/>
              </w:rPr>
              <w:t xml:space="preserve">    □路演活动</w:t>
            </w:r>
          </w:p>
          <w:p w14:paraId="5917C2AD">
            <w:pPr>
              <w:pStyle w:val="11"/>
              <w:spacing w:before="166"/>
              <w:jc w:val="both"/>
              <w:rPr>
                <w:sz w:val="24"/>
                <w:szCs w:val="24"/>
                <w:lang w:eastAsia="zh-CN"/>
              </w:rPr>
            </w:pPr>
            <w:r>
              <w:rPr>
                <w:rFonts w:hint="eastAsia"/>
                <w:sz w:val="24"/>
                <w:szCs w:val="24"/>
                <w:lang w:eastAsia="zh-CN"/>
              </w:rPr>
              <w:t>□现场参观</w:t>
            </w:r>
          </w:p>
          <w:p w14:paraId="75549545">
            <w:pPr>
              <w:pStyle w:val="11"/>
              <w:spacing w:before="166"/>
              <w:jc w:val="both"/>
              <w:rPr>
                <w:sz w:val="24"/>
                <w:szCs w:val="24"/>
                <w:lang w:eastAsia="zh-CN"/>
              </w:rPr>
            </w:pPr>
            <w:r>
              <w:rPr>
                <w:rFonts w:hint="eastAsia"/>
                <w:sz w:val="24"/>
                <w:szCs w:val="24"/>
                <w:lang w:eastAsia="zh-CN"/>
              </w:rPr>
              <w:t xml:space="preserve">□其他  </w:t>
            </w:r>
          </w:p>
        </w:tc>
      </w:tr>
      <w:tr w14:paraId="1C2E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2B1138FA">
            <w:pPr>
              <w:tabs>
                <w:tab w:val="left" w:pos="828"/>
              </w:tabs>
              <w:jc w:val="center"/>
              <w:rPr>
                <w:sz w:val="24"/>
                <w:szCs w:val="24"/>
                <w:lang w:eastAsia="zh-CN"/>
              </w:rPr>
            </w:pPr>
            <w:r>
              <w:rPr>
                <w:rFonts w:hint="eastAsia"/>
                <w:sz w:val="24"/>
                <w:szCs w:val="24"/>
                <w:lang w:eastAsia="zh-CN"/>
              </w:rPr>
              <w:t>参与</w:t>
            </w:r>
            <w:r>
              <w:rPr>
                <w:rFonts w:hint="eastAsia"/>
                <w:spacing w:val="4"/>
                <w:sz w:val="24"/>
                <w:szCs w:val="24"/>
                <w:lang w:eastAsia="zh-CN"/>
              </w:rPr>
              <w:t>单</w:t>
            </w:r>
            <w:r>
              <w:rPr>
                <w:rFonts w:hint="eastAsia"/>
                <w:sz w:val="24"/>
                <w:szCs w:val="24"/>
                <w:lang w:eastAsia="zh-CN"/>
              </w:rPr>
              <w:t>位名称</w:t>
            </w:r>
          </w:p>
          <w:p w14:paraId="069FA9E5">
            <w:pPr>
              <w:tabs>
                <w:tab w:val="left" w:pos="828"/>
              </w:tabs>
              <w:jc w:val="center"/>
              <w:rPr>
                <w:sz w:val="24"/>
                <w:szCs w:val="24"/>
                <w:lang w:eastAsia="zh-CN"/>
              </w:rPr>
            </w:pPr>
            <w:r>
              <w:rPr>
                <w:rFonts w:hint="eastAsia"/>
                <w:sz w:val="24"/>
                <w:szCs w:val="24"/>
                <w:lang w:eastAsia="zh-CN"/>
              </w:rPr>
              <w:t>及人员姓名</w:t>
            </w:r>
          </w:p>
        </w:tc>
        <w:tc>
          <w:tcPr>
            <w:tcW w:w="7616" w:type="dxa"/>
            <w:vAlign w:val="center"/>
          </w:tcPr>
          <w:p w14:paraId="58A87E67">
            <w:pPr>
              <w:pStyle w:val="11"/>
              <w:ind w:left="0"/>
              <w:jc w:val="left"/>
              <w:rPr>
                <w:rFonts w:hint="default"/>
                <w:sz w:val="24"/>
                <w:szCs w:val="24"/>
                <w:lang w:val="en-US" w:eastAsia="zh-CN"/>
              </w:rPr>
            </w:pPr>
            <w:r>
              <w:rPr>
                <w:rFonts w:ascii="宋体" w:hAnsi="宋体" w:eastAsia="宋体" w:cs="宋体"/>
                <w:sz w:val="24"/>
                <w:szCs w:val="24"/>
              </w:rPr>
              <w:t>线上参与公司业绩说明会的投资者</w:t>
            </w:r>
          </w:p>
        </w:tc>
      </w:tr>
      <w:tr w14:paraId="0DD1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27645B89">
            <w:pPr>
              <w:pStyle w:val="11"/>
              <w:ind w:left="0" w:firstLine="240" w:firstLineChars="100"/>
              <w:jc w:val="center"/>
              <w:rPr>
                <w:sz w:val="24"/>
                <w:szCs w:val="24"/>
                <w:lang w:eastAsia="zh-CN"/>
              </w:rPr>
            </w:pPr>
            <w:r>
              <w:rPr>
                <w:rFonts w:hint="eastAsia"/>
                <w:sz w:val="24"/>
                <w:szCs w:val="24"/>
                <w:lang w:eastAsia="zh-CN"/>
              </w:rPr>
              <w:t>时间</w:t>
            </w:r>
          </w:p>
        </w:tc>
        <w:tc>
          <w:tcPr>
            <w:tcW w:w="7616" w:type="dxa"/>
            <w:vAlign w:val="center"/>
          </w:tcPr>
          <w:p w14:paraId="2A86D1E6">
            <w:pPr>
              <w:pStyle w:val="11"/>
              <w:ind w:left="0"/>
              <w:jc w:val="both"/>
              <w:rPr>
                <w:rFonts w:hint="default"/>
                <w:sz w:val="24"/>
                <w:szCs w:val="24"/>
                <w:lang w:val="en-US" w:eastAsia="zh-CN"/>
              </w:rPr>
            </w:pPr>
            <w:r>
              <w:rPr>
                <w:rFonts w:hint="eastAsia"/>
                <w:sz w:val="24"/>
                <w:szCs w:val="24"/>
                <w:lang w:eastAsia="zh-CN"/>
              </w:rPr>
              <w:t>2025年</w:t>
            </w:r>
            <w:r>
              <w:rPr>
                <w:rFonts w:hint="eastAsia"/>
                <w:sz w:val="24"/>
                <w:szCs w:val="24"/>
                <w:lang w:val="en-US" w:eastAsia="zh-CN"/>
              </w:rPr>
              <w:t>10月17日（周五）9:30-11：30</w:t>
            </w:r>
          </w:p>
        </w:tc>
      </w:tr>
      <w:tr w14:paraId="14BB5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3BFA7BAD">
            <w:pPr>
              <w:tabs>
                <w:tab w:val="left" w:pos="828"/>
              </w:tabs>
              <w:ind w:firstLine="240" w:firstLineChars="100"/>
              <w:jc w:val="center"/>
              <w:rPr>
                <w:rFonts w:hint="default"/>
                <w:sz w:val="24"/>
                <w:szCs w:val="24"/>
                <w:lang w:val="en-US" w:eastAsia="zh-CN"/>
              </w:rPr>
            </w:pPr>
            <w:r>
              <w:rPr>
                <w:rFonts w:hint="eastAsia"/>
                <w:sz w:val="24"/>
                <w:szCs w:val="24"/>
                <w:lang w:eastAsia="zh-CN"/>
              </w:rPr>
              <w:t>地点</w:t>
            </w:r>
            <w:r>
              <w:rPr>
                <w:rFonts w:hint="eastAsia"/>
                <w:sz w:val="24"/>
                <w:szCs w:val="24"/>
                <w:lang w:val="en-US" w:eastAsia="zh-CN"/>
              </w:rPr>
              <w:t>/方式</w:t>
            </w:r>
          </w:p>
        </w:tc>
        <w:tc>
          <w:tcPr>
            <w:tcW w:w="7616" w:type="dxa"/>
            <w:vAlign w:val="center"/>
          </w:tcPr>
          <w:p w14:paraId="1D2CDDD0">
            <w:pPr>
              <w:pStyle w:val="11"/>
              <w:ind w:left="0"/>
              <w:jc w:val="both"/>
              <w:rPr>
                <w:rFonts w:hint="default"/>
                <w:sz w:val="24"/>
                <w:szCs w:val="24"/>
                <w:lang w:val="en-US" w:eastAsia="zh-CN"/>
              </w:rPr>
            </w:pPr>
            <w:r>
              <w:rPr>
                <w:rFonts w:hint="eastAsia"/>
                <w:sz w:val="24"/>
                <w:szCs w:val="24"/>
                <w:lang w:val="en-US" w:eastAsia="zh-CN"/>
              </w:rPr>
              <w:t>上海证券交易所上证路演中心/</w:t>
            </w:r>
            <w:r>
              <w:rPr>
                <w:rFonts w:hint="eastAsia" w:asciiTheme="minorEastAsia" w:hAnsiTheme="minorEastAsia" w:eastAsiaTheme="minorEastAsia" w:cstheme="minorEastAsia"/>
                <w:i w:val="0"/>
                <w:iCs w:val="0"/>
                <w:caps w:val="0"/>
                <w:color w:val="00050E"/>
                <w:spacing w:val="0"/>
                <w:sz w:val="24"/>
                <w:szCs w:val="24"/>
                <w:shd w:val="clear" w:fill="FFFFFF"/>
              </w:rPr>
              <w:t>自行录制+网络文字互动问答</w:t>
            </w:r>
          </w:p>
        </w:tc>
      </w:tr>
      <w:tr w14:paraId="06F9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8" w:type="dxa"/>
            <w:vAlign w:val="center"/>
          </w:tcPr>
          <w:p w14:paraId="01664318">
            <w:pPr>
              <w:tabs>
                <w:tab w:val="left" w:pos="828"/>
              </w:tabs>
              <w:jc w:val="center"/>
              <w:rPr>
                <w:sz w:val="24"/>
                <w:szCs w:val="24"/>
                <w:lang w:eastAsia="zh-CN"/>
              </w:rPr>
            </w:pPr>
            <w:r>
              <w:rPr>
                <w:rFonts w:hint="eastAsia"/>
                <w:sz w:val="24"/>
                <w:szCs w:val="24"/>
                <w:lang w:eastAsia="zh-CN"/>
              </w:rPr>
              <w:t>上市公司接待人员姓名</w:t>
            </w:r>
          </w:p>
        </w:tc>
        <w:tc>
          <w:tcPr>
            <w:tcW w:w="7616" w:type="dxa"/>
            <w:vAlign w:val="center"/>
          </w:tcPr>
          <w:p w14:paraId="0D6E9281">
            <w:pPr>
              <w:pStyle w:val="11"/>
              <w:keepNext w:val="0"/>
              <w:keepLines w:val="0"/>
              <w:pageBreakBefore w:val="0"/>
              <w:widowControl w:val="0"/>
              <w:kinsoku/>
              <w:wordWrap/>
              <w:overflowPunct/>
              <w:topLinePunct w:val="0"/>
              <w:autoSpaceDE w:val="0"/>
              <w:autoSpaceDN w:val="0"/>
              <w:bidi w:val="0"/>
              <w:adjustRightInd/>
              <w:snapToGrid/>
              <w:spacing w:line="440" w:lineRule="exact"/>
              <w:ind w:left="0"/>
              <w:jc w:val="both"/>
              <w:textAlignment w:val="auto"/>
              <w:rPr>
                <w:rFonts w:hint="default"/>
                <w:sz w:val="24"/>
                <w:szCs w:val="24"/>
                <w:lang w:val="en-US" w:eastAsia="zh-CN"/>
              </w:rPr>
            </w:pPr>
            <w:r>
              <w:rPr>
                <w:rFonts w:hint="eastAsia"/>
                <w:sz w:val="24"/>
                <w:szCs w:val="24"/>
                <w:lang w:val="en-US" w:eastAsia="zh-CN"/>
              </w:rPr>
              <w:t>董事、总经理：陆莹</w:t>
            </w:r>
          </w:p>
          <w:p w14:paraId="542C85DC">
            <w:pPr>
              <w:pStyle w:val="11"/>
              <w:keepNext w:val="0"/>
              <w:keepLines w:val="0"/>
              <w:pageBreakBefore w:val="0"/>
              <w:widowControl w:val="0"/>
              <w:kinsoku/>
              <w:wordWrap/>
              <w:overflowPunct/>
              <w:topLinePunct w:val="0"/>
              <w:autoSpaceDE w:val="0"/>
              <w:autoSpaceDN w:val="0"/>
              <w:bidi w:val="0"/>
              <w:adjustRightInd/>
              <w:snapToGrid/>
              <w:spacing w:line="440" w:lineRule="exact"/>
              <w:ind w:left="0"/>
              <w:jc w:val="both"/>
              <w:textAlignment w:val="auto"/>
              <w:rPr>
                <w:rFonts w:hint="default"/>
                <w:sz w:val="24"/>
                <w:szCs w:val="24"/>
                <w:lang w:val="en-US" w:eastAsia="zh-CN"/>
              </w:rPr>
            </w:pPr>
            <w:r>
              <w:rPr>
                <w:rFonts w:hint="eastAsia"/>
                <w:sz w:val="24"/>
                <w:szCs w:val="24"/>
                <w:lang w:val="en-US" w:eastAsia="zh-CN"/>
              </w:rPr>
              <w:t>独立董事：张增华</w:t>
            </w:r>
          </w:p>
          <w:p w14:paraId="657C39B2">
            <w:pPr>
              <w:pStyle w:val="11"/>
              <w:keepNext w:val="0"/>
              <w:keepLines w:val="0"/>
              <w:pageBreakBefore w:val="0"/>
              <w:widowControl w:val="0"/>
              <w:kinsoku/>
              <w:wordWrap/>
              <w:overflowPunct/>
              <w:topLinePunct w:val="0"/>
              <w:autoSpaceDE w:val="0"/>
              <w:autoSpaceDN w:val="0"/>
              <w:bidi w:val="0"/>
              <w:adjustRightInd/>
              <w:snapToGrid/>
              <w:spacing w:line="440" w:lineRule="exact"/>
              <w:ind w:left="0"/>
              <w:jc w:val="both"/>
              <w:textAlignment w:val="auto"/>
              <w:rPr>
                <w:sz w:val="24"/>
                <w:szCs w:val="24"/>
                <w:lang w:eastAsia="zh-CN"/>
              </w:rPr>
            </w:pPr>
            <w:r>
              <w:rPr>
                <w:rFonts w:hint="eastAsia"/>
                <w:sz w:val="24"/>
                <w:szCs w:val="24"/>
                <w:lang w:eastAsia="zh-CN"/>
              </w:rPr>
              <w:t>财务总监、董秘：李鹏鹏</w:t>
            </w:r>
          </w:p>
          <w:p w14:paraId="603B6849">
            <w:pPr>
              <w:pStyle w:val="11"/>
              <w:keepNext w:val="0"/>
              <w:keepLines w:val="0"/>
              <w:pageBreakBefore w:val="0"/>
              <w:widowControl w:val="0"/>
              <w:kinsoku/>
              <w:wordWrap/>
              <w:overflowPunct/>
              <w:topLinePunct w:val="0"/>
              <w:autoSpaceDE w:val="0"/>
              <w:autoSpaceDN w:val="0"/>
              <w:bidi w:val="0"/>
              <w:adjustRightInd/>
              <w:snapToGrid/>
              <w:spacing w:line="440" w:lineRule="exact"/>
              <w:ind w:left="0"/>
              <w:jc w:val="both"/>
              <w:textAlignment w:val="auto"/>
              <w:rPr>
                <w:sz w:val="24"/>
                <w:szCs w:val="24"/>
                <w:lang w:eastAsia="zh-CN"/>
              </w:rPr>
            </w:pPr>
            <w:r>
              <w:rPr>
                <w:rFonts w:hint="eastAsia"/>
                <w:sz w:val="24"/>
                <w:szCs w:val="24"/>
                <w:lang w:eastAsia="zh-CN"/>
              </w:rPr>
              <w:t>证券事务代表：夏圣炜</w:t>
            </w:r>
          </w:p>
        </w:tc>
      </w:tr>
      <w:tr w14:paraId="19825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vAlign w:val="center"/>
          </w:tcPr>
          <w:p w14:paraId="3F55B619">
            <w:pPr>
              <w:tabs>
                <w:tab w:val="left" w:pos="828"/>
              </w:tabs>
              <w:spacing w:line="360" w:lineRule="auto"/>
              <w:jc w:val="center"/>
              <w:rPr>
                <w:sz w:val="24"/>
                <w:szCs w:val="24"/>
                <w:lang w:eastAsia="zh-CN"/>
              </w:rPr>
            </w:pPr>
            <w:r>
              <w:rPr>
                <w:rFonts w:hint="eastAsia"/>
                <w:sz w:val="24"/>
                <w:szCs w:val="24"/>
                <w:lang w:eastAsia="zh-CN"/>
              </w:rPr>
              <w:t>投资者关系活动主要内容介绍</w:t>
            </w:r>
          </w:p>
        </w:tc>
        <w:tc>
          <w:tcPr>
            <w:tcW w:w="7616" w:type="dxa"/>
            <w:vAlign w:val="center"/>
          </w:tcPr>
          <w:p w14:paraId="14341D7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both"/>
              <w:textAlignment w:val="auto"/>
              <w:rPr>
                <w:rFonts w:ascii="宋体" w:hAnsi="宋体" w:eastAsia="宋体" w:cs="宋体"/>
                <w:sz w:val="24"/>
                <w:szCs w:val="24"/>
              </w:rPr>
            </w:pPr>
            <w:r>
              <w:rPr>
                <w:rFonts w:ascii="宋体" w:hAnsi="宋体" w:eastAsia="宋体" w:cs="宋体"/>
                <w:sz w:val="24"/>
                <w:szCs w:val="24"/>
              </w:rPr>
              <w:t>公司于2025年10月</w:t>
            </w:r>
            <w:r>
              <w:rPr>
                <w:rFonts w:hint="eastAsia" w:cs="宋体"/>
                <w:sz w:val="24"/>
                <w:szCs w:val="24"/>
                <w:lang w:val="en-US" w:eastAsia="zh-CN"/>
              </w:rPr>
              <w:t>17</w:t>
            </w:r>
            <w:r>
              <w:rPr>
                <w:rFonts w:ascii="宋体" w:hAnsi="宋体" w:eastAsia="宋体" w:cs="宋体"/>
                <w:sz w:val="24"/>
                <w:szCs w:val="24"/>
              </w:rPr>
              <w:t>日（周五）召开2025年半年度业绩说明会。本次业绩说明会</w:t>
            </w:r>
            <w:r>
              <w:rPr>
                <w:rFonts w:hint="eastAsia" w:cs="宋体"/>
                <w:sz w:val="24"/>
                <w:szCs w:val="24"/>
                <w:lang w:val="en-US" w:eastAsia="zh-CN"/>
              </w:rPr>
              <w:t>采取</w:t>
            </w:r>
            <w:r>
              <w:rPr>
                <w:rFonts w:hint="eastAsia" w:asciiTheme="minorEastAsia" w:hAnsiTheme="minorEastAsia" w:eastAsiaTheme="minorEastAsia" w:cstheme="minorEastAsia"/>
                <w:i w:val="0"/>
                <w:iCs w:val="0"/>
                <w:caps w:val="0"/>
                <w:color w:val="00050E"/>
                <w:spacing w:val="0"/>
                <w:sz w:val="24"/>
                <w:szCs w:val="24"/>
                <w:shd w:val="clear" w:fill="FFFFFF"/>
              </w:rPr>
              <w:t>自行录制+网络文字互动问答</w:t>
            </w:r>
            <w:r>
              <w:rPr>
                <w:rFonts w:ascii="宋体" w:hAnsi="宋体" w:eastAsia="宋体" w:cs="宋体"/>
                <w:sz w:val="24"/>
                <w:szCs w:val="24"/>
              </w:rPr>
              <w:t>形式召开。完整交流内容请见上证路演中心网站（https://roadshow.sseinfo.com）</w:t>
            </w:r>
            <w:bookmarkStart w:id="0" w:name="_GoBack"/>
            <w:bookmarkEnd w:id="0"/>
            <w:r>
              <w:rPr>
                <w:rFonts w:hint="eastAsia" w:cs="宋体"/>
                <w:sz w:val="24"/>
                <w:szCs w:val="24"/>
                <w:lang w:eastAsia="zh-CN"/>
              </w:rPr>
              <w:t>。</w:t>
            </w:r>
            <w:r>
              <w:rPr>
                <w:rFonts w:ascii="宋体" w:hAnsi="宋体" w:eastAsia="宋体" w:cs="宋体"/>
                <w:sz w:val="24"/>
                <w:szCs w:val="24"/>
              </w:rPr>
              <w:t>主要交流内容如下：</w:t>
            </w:r>
          </w:p>
          <w:p w14:paraId="3AE9130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both"/>
              <w:textAlignment w:val="auto"/>
              <w:rPr>
                <w:rFonts w:hint="eastAsia" w:cs="宋体"/>
                <w:b/>
                <w:bCs/>
                <w:sz w:val="24"/>
                <w:szCs w:val="24"/>
                <w:lang w:val="en-US" w:eastAsia="zh-CN"/>
              </w:rPr>
            </w:pPr>
            <w:r>
              <w:rPr>
                <w:rFonts w:hint="eastAsia" w:cs="宋体"/>
                <w:b/>
                <w:bCs/>
                <w:sz w:val="24"/>
                <w:szCs w:val="24"/>
                <w:lang w:val="en-US" w:eastAsia="zh-CN"/>
              </w:rPr>
              <w:t>一、福马集团是否有资产证券化的要求；在全地形车领域，公司有计划发展到涛涛车业、春风动力那样的体量吗？ 目前应收账款是否有问题，尤其是地方政府相关的</w:t>
            </w:r>
          </w:p>
          <w:p w14:paraId="4BB4A9D5">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both"/>
              <w:textAlignment w:val="auto"/>
              <w:rPr>
                <w:rFonts w:hint="eastAsia" w:cs="宋体"/>
                <w:sz w:val="24"/>
                <w:szCs w:val="24"/>
                <w:lang w:val="en-US" w:eastAsia="zh-CN"/>
              </w:rPr>
            </w:pPr>
            <w:r>
              <w:rPr>
                <w:rFonts w:hint="eastAsia" w:cs="宋体"/>
                <w:b/>
                <w:bCs/>
                <w:sz w:val="24"/>
                <w:szCs w:val="24"/>
                <w:lang w:val="en-US" w:eastAsia="zh-CN"/>
              </w:rPr>
              <w:t>回复：</w:t>
            </w:r>
            <w:r>
              <w:rPr>
                <w:rFonts w:hint="eastAsia" w:cs="宋体"/>
                <w:sz w:val="24"/>
                <w:szCs w:val="24"/>
                <w:lang w:val="en-US" w:eastAsia="zh-CN"/>
              </w:rPr>
              <w:t>尊敬的投资者，您好！近年来公司特种车辆业务整体发展态势良好，下一阶段公司将继续坚持对标行业一流，围绕主责主业，创新驱动，做大做强特种车辆。公司目前经营一切正常，财务状况稳健，应收账款处于正常状态。感谢您的关注！</w:t>
            </w:r>
          </w:p>
          <w:p w14:paraId="072E486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both"/>
              <w:textAlignment w:val="auto"/>
              <w:rPr>
                <w:rFonts w:hint="eastAsia" w:cs="宋体"/>
                <w:b/>
                <w:bCs/>
                <w:sz w:val="24"/>
                <w:szCs w:val="24"/>
                <w:lang w:val="en-US" w:eastAsia="zh-CN"/>
              </w:rPr>
            </w:pPr>
            <w:r>
              <w:rPr>
                <w:rFonts w:hint="eastAsia" w:cs="宋体"/>
                <w:b/>
                <w:bCs/>
                <w:sz w:val="24"/>
                <w:szCs w:val="24"/>
                <w:lang w:val="en-US" w:eastAsia="zh-CN"/>
              </w:rPr>
              <w:t>二、之前航空航天科委考察过公司，请问陆总，后续和科工委在全地形车军工方面的项目是否有进展？另外公司在新质生产力方面是否有项目研发、储备，在农业机器人项目是否有新技术开发？</w:t>
            </w:r>
          </w:p>
          <w:p w14:paraId="3CB83C9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both"/>
              <w:textAlignment w:val="auto"/>
              <w:rPr>
                <w:rFonts w:hint="eastAsia" w:cs="宋体"/>
                <w:sz w:val="24"/>
                <w:szCs w:val="24"/>
                <w:lang w:val="en-US" w:eastAsia="zh-CN"/>
              </w:rPr>
            </w:pPr>
            <w:r>
              <w:rPr>
                <w:rFonts w:hint="eastAsia" w:cs="宋体"/>
                <w:b/>
                <w:bCs/>
                <w:sz w:val="24"/>
                <w:szCs w:val="24"/>
                <w:lang w:val="en-US" w:eastAsia="zh-CN"/>
              </w:rPr>
              <w:t>回复：</w:t>
            </w:r>
            <w:r>
              <w:rPr>
                <w:rFonts w:hint="eastAsia" w:cs="宋体"/>
                <w:sz w:val="24"/>
                <w:szCs w:val="24"/>
                <w:lang w:val="en-US" w:eastAsia="zh-CN"/>
              </w:rPr>
              <w:t>尊敬的投资者，您好！公司积极寻求与各方协作发展，如有相关情况，将及时履行信息披露义务，公司指定信息披露媒体为《上海证券报》及上海证券交易所网站。公司高度重视新质生产力的发展，目前公司在智能化消防机械、智能化农业机械以及锂电新能源动力电动特种车方面有一定的产品和技术储备。谢谢！</w:t>
            </w:r>
          </w:p>
          <w:p w14:paraId="1EF02727">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both"/>
              <w:textAlignment w:val="auto"/>
              <w:rPr>
                <w:rFonts w:hint="eastAsia" w:cs="宋体"/>
                <w:b/>
                <w:bCs/>
                <w:sz w:val="24"/>
                <w:szCs w:val="24"/>
                <w:lang w:val="en-US" w:eastAsia="zh-CN"/>
              </w:rPr>
            </w:pPr>
            <w:r>
              <w:rPr>
                <w:rFonts w:hint="eastAsia" w:cs="宋体"/>
                <w:b/>
                <w:bCs/>
                <w:sz w:val="24"/>
                <w:szCs w:val="24"/>
                <w:lang w:val="en-US" w:eastAsia="zh-CN"/>
              </w:rPr>
              <w:t>三、公司的机器人6D技术已与那些机器人公司展开合作，公司是属于软件输出还是硬件供货，对公司未来的业绩提升有多大贡献。</w:t>
            </w:r>
          </w:p>
          <w:p w14:paraId="466049C1">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both"/>
              <w:textAlignment w:val="auto"/>
              <w:rPr>
                <w:rFonts w:hint="eastAsia" w:cs="宋体"/>
                <w:sz w:val="24"/>
                <w:szCs w:val="24"/>
                <w:lang w:val="en-US" w:eastAsia="zh-CN"/>
              </w:rPr>
            </w:pPr>
            <w:r>
              <w:rPr>
                <w:rFonts w:hint="eastAsia" w:cs="宋体"/>
                <w:b/>
                <w:bCs/>
                <w:sz w:val="24"/>
                <w:szCs w:val="24"/>
                <w:lang w:val="en-US" w:eastAsia="zh-CN"/>
              </w:rPr>
              <w:t>回复：</w:t>
            </w:r>
            <w:r>
              <w:rPr>
                <w:rFonts w:hint="eastAsia" w:cs="宋体"/>
                <w:sz w:val="24"/>
                <w:szCs w:val="24"/>
                <w:lang w:val="en-US" w:eastAsia="zh-CN"/>
              </w:rPr>
              <w:t>尊敬的投资者，您好！公司暂无机器人6D相关项目，感谢您的关注和支持，谢谢！</w:t>
            </w:r>
          </w:p>
          <w:p w14:paraId="4703694A">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both"/>
              <w:textAlignment w:val="auto"/>
              <w:rPr>
                <w:rFonts w:hint="eastAsia" w:cs="宋体"/>
                <w:b/>
                <w:bCs/>
                <w:sz w:val="24"/>
                <w:szCs w:val="24"/>
                <w:lang w:val="en-US" w:eastAsia="zh-CN"/>
              </w:rPr>
            </w:pPr>
            <w:r>
              <w:rPr>
                <w:rFonts w:hint="eastAsia" w:cs="宋体"/>
                <w:b/>
                <w:bCs/>
                <w:sz w:val="24"/>
                <w:szCs w:val="24"/>
                <w:lang w:val="en-US" w:eastAsia="zh-CN"/>
              </w:rPr>
              <w:t>四、问陆总。不思进取，效率低下，同样是摩托车、全地形车，市值不如春风动力十分之一的市值。投资者无人问津，资本巿场冷冷清清。请问公司长期留在资本巿场的意义何在？</w:t>
            </w:r>
          </w:p>
          <w:p w14:paraId="725B50BB">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both"/>
              <w:textAlignment w:val="auto"/>
              <w:rPr>
                <w:rFonts w:hint="eastAsia" w:cs="宋体"/>
                <w:sz w:val="24"/>
                <w:szCs w:val="24"/>
                <w:lang w:val="en-US" w:eastAsia="zh-CN"/>
              </w:rPr>
            </w:pPr>
            <w:r>
              <w:rPr>
                <w:rFonts w:hint="eastAsia" w:cs="宋体"/>
                <w:b/>
                <w:bCs/>
                <w:sz w:val="24"/>
                <w:szCs w:val="24"/>
                <w:lang w:val="en-US" w:eastAsia="zh-CN"/>
              </w:rPr>
              <w:t>回复：</w:t>
            </w:r>
            <w:r>
              <w:rPr>
                <w:rFonts w:hint="eastAsia" w:cs="宋体"/>
                <w:sz w:val="24"/>
                <w:szCs w:val="24"/>
                <w:lang w:val="en-US" w:eastAsia="zh-CN"/>
              </w:rPr>
              <w:t>尊敬的投资者，您好！近年来公司深刻践行“锻造国机所长，服务国家所需”央企使命，围绕“一利”稳定增长 、“五率”持续优化，深化改革，创新驱动，提质增效，取得了一定成绩，下一阶段公司将继续坚持以提升经营业绩和公司内在价值作为市值管理的根本，围绕主责主业，创新驱动，努力推动企业经营效益稳健增长，通过长期可持续的高质量发展实现对股东的回报。谢谢！</w:t>
            </w:r>
          </w:p>
          <w:p w14:paraId="146B003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both"/>
              <w:textAlignment w:val="auto"/>
              <w:rPr>
                <w:rFonts w:hint="eastAsia" w:cs="宋体"/>
                <w:b/>
                <w:bCs/>
                <w:sz w:val="24"/>
                <w:szCs w:val="24"/>
                <w:lang w:val="en-US" w:eastAsia="zh-CN"/>
              </w:rPr>
            </w:pPr>
            <w:r>
              <w:rPr>
                <w:rFonts w:hint="eastAsia" w:cs="宋体"/>
                <w:b/>
                <w:bCs/>
                <w:sz w:val="24"/>
                <w:szCs w:val="24"/>
                <w:lang w:val="en-US" w:eastAsia="zh-CN"/>
              </w:rPr>
              <w:t>五、公司在2025年初曾披露，包括新型森林消防泵、高速插秧机在内的多项新品按计划推进。请问管理层，这些新品在2025年上半年是否已经形成销售收入？具体是哪几款产品？以及它们对公司上半年的营收贡献大概占多大比例？</w:t>
            </w:r>
          </w:p>
          <w:p w14:paraId="1F3160ED">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both"/>
              <w:textAlignment w:val="auto"/>
              <w:rPr>
                <w:rFonts w:hint="eastAsia" w:cs="宋体"/>
                <w:sz w:val="24"/>
                <w:szCs w:val="24"/>
                <w:lang w:val="en-US" w:eastAsia="zh-CN"/>
              </w:rPr>
            </w:pPr>
            <w:r>
              <w:rPr>
                <w:rFonts w:hint="eastAsia" w:cs="宋体"/>
                <w:b/>
                <w:bCs/>
                <w:sz w:val="24"/>
                <w:szCs w:val="24"/>
                <w:lang w:val="en-US" w:eastAsia="zh-CN"/>
              </w:rPr>
              <w:t>回复：</w:t>
            </w:r>
            <w:r>
              <w:rPr>
                <w:rFonts w:hint="eastAsia" w:cs="宋体"/>
                <w:sz w:val="24"/>
                <w:szCs w:val="24"/>
                <w:lang w:val="en-US" w:eastAsia="zh-CN"/>
              </w:rPr>
              <w:t>尊敬的投资者，您好！公司多项新品正按计划推进，部分新品已形成销售收入，未来公司将加强新产品的市场推广应用，努力形成新的经济增长点。感谢您的关注！</w:t>
            </w:r>
          </w:p>
          <w:p w14:paraId="67692066">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both"/>
              <w:textAlignment w:val="auto"/>
              <w:rPr>
                <w:rFonts w:hint="eastAsia" w:cs="宋体"/>
                <w:b/>
                <w:bCs/>
                <w:sz w:val="24"/>
                <w:szCs w:val="24"/>
                <w:lang w:val="en-US" w:eastAsia="zh-CN"/>
              </w:rPr>
            </w:pPr>
            <w:r>
              <w:rPr>
                <w:rFonts w:hint="eastAsia" w:cs="宋体"/>
                <w:b/>
                <w:bCs/>
                <w:sz w:val="24"/>
                <w:szCs w:val="24"/>
                <w:lang w:val="en-US" w:eastAsia="zh-CN"/>
              </w:rPr>
              <w:t>六、请问总经理，能否具体分享一下，在特种车辆领域，公司目前是更侧重于哪个细分应用场景（例如园区物流、特种作业等）？上半年在这个‘新兴市场’拓展中，是否获得了具有代表性的订单或突破了关键客户？</w:t>
            </w:r>
          </w:p>
          <w:p w14:paraId="5E372B41">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both"/>
              <w:textAlignment w:val="auto"/>
              <w:rPr>
                <w:rFonts w:hint="eastAsia" w:cs="宋体"/>
                <w:sz w:val="24"/>
                <w:szCs w:val="24"/>
                <w:lang w:val="en-US" w:eastAsia="zh-CN"/>
              </w:rPr>
            </w:pPr>
            <w:r>
              <w:rPr>
                <w:rFonts w:hint="eastAsia" w:cs="宋体"/>
                <w:b/>
                <w:bCs/>
                <w:sz w:val="24"/>
                <w:szCs w:val="24"/>
                <w:lang w:val="en-US" w:eastAsia="zh-CN"/>
              </w:rPr>
              <w:t>回复：</w:t>
            </w:r>
            <w:r>
              <w:rPr>
                <w:rFonts w:hint="eastAsia" w:cs="宋体"/>
                <w:sz w:val="24"/>
                <w:szCs w:val="24"/>
                <w:lang w:val="en-US" w:eastAsia="zh-CN"/>
              </w:rPr>
              <w:t>尊敬的投资者，您好！公司特种车辆侧重于功能型，多运用于农业、林业、应急抢险以及休闲娱乐等。感谢您的关注！</w:t>
            </w:r>
          </w:p>
          <w:p w14:paraId="54BE23E3">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both"/>
              <w:textAlignment w:val="auto"/>
              <w:rPr>
                <w:rFonts w:hint="eastAsia" w:cs="宋体"/>
                <w:b/>
                <w:bCs/>
                <w:sz w:val="24"/>
                <w:szCs w:val="24"/>
                <w:lang w:val="en-US" w:eastAsia="zh-CN"/>
              </w:rPr>
            </w:pPr>
            <w:r>
              <w:rPr>
                <w:rFonts w:hint="eastAsia" w:cs="宋体"/>
                <w:b/>
                <w:bCs/>
                <w:sz w:val="24"/>
                <w:szCs w:val="24"/>
                <w:lang w:val="en-US" w:eastAsia="zh-CN"/>
              </w:rPr>
              <w:t>七、公司市值这么多年始终在20亿左右徘徊，管理层有什么想法？</w:t>
            </w:r>
          </w:p>
          <w:p w14:paraId="7DA1720E">
            <w:pPr>
              <w:keepNext w:val="0"/>
              <w:keepLines w:val="0"/>
              <w:pageBreakBefore w:val="0"/>
              <w:widowControl w:val="0"/>
              <w:kinsoku/>
              <w:wordWrap/>
              <w:overflowPunct/>
              <w:topLinePunct w:val="0"/>
              <w:autoSpaceDE w:val="0"/>
              <w:autoSpaceDN w:val="0"/>
              <w:bidi w:val="0"/>
              <w:adjustRightInd/>
              <w:snapToGrid/>
              <w:spacing w:line="440" w:lineRule="exact"/>
              <w:ind w:firstLine="482" w:firstLineChars="200"/>
              <w:jc w:val="both"/>
              <w:textAlignment w:val="auto"/>
              <w:rPr>
                <w:rFonts w:hint="default" w:cs="宋体"/>
                <w:sz w:val="24"/>
                <w:szCs w:val="24"/>
                <w:lang w:val="en-US" w:eastAsia="zh-CN"/>
              </w:rPr>
            </w:pPr>
            <w:r>
              <w:rPr>
                <w:rFonts w:hint="eastAsia" w:cs="宋体"/>
                <w:b/>
                <w:bCs/>
                <w:sz w:val="24"/>
                <w:szCs w:val="24"/>
                <w:lang w:val="en-US" w:eastAsia="zh-CN"/>
              </w:rPr>
              <w:t>回复：</w:t>
            </w:r>
            <w:r>
              <w:rPr>
                <w:rFonts w:hint="eastAsia" w:cs="宋体"/>
                <w:sz w:val="24"/>
                <w:szCs w:val="24"/>
                <w:lang w:val="en-US" w:eastAsia="zh-CN"/>
              </w:rPr>
              <w:t>尊敬的投资者，您好！公司高度重视市值管理工作，始终将投资者回报置于重要位置，连续多年开展现金分红，坚持以提升经营业绩和公司内在价值作为市值管理的根本，希望通过长期可持续的高质量发展实现对股东的回报。感谢您的关注！</w:t>
            </w:r>
          </w:p>
        </w:tc>
      </w:tr>
      <w:tr w14:paraId="38D8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8" w:type="dxa"/>
          </w:tcPr>
          <w:p w14:paraId="643BD6B9">
            <w:pPr>
              <w:pStyle w:val="11"/>
              <w:spacing w:before="41"/>
              <w:ind w:left="105" w:right="-19"/>
              <w:jc w:val="center"/>
              <w:rPr>
                <w:sz w:val="24"/>
                <w:szCs w:val="24"/>
              </w:rPr>
            </w:pPr>
            <w:r>
              <w:rPr>
                <w:rFonts w:hint="eastAsia"/>
                <w:sz w:val="24"/>
                <w:szCs w:val="24"/>
              </w:rPr>
              <w:t>附件清单</w:t>
            </w:r>
          </w:p>
          <w:p w14:paraId="0776811C">
            <w:pPr>
              <w:pStyle w:val="11"/>
              <w:spacing w:before="41"/>
              <w:ind w:left="105" w:right="-19"/>
              <w:jc w:val="center"/>
              <w:rPr>
                <w:sz w:val="24"/>
                <w:szCs w:val="24"/>
                <w:lang w:eastAsia="zh-CN"/>
              </w:rPr>
            </w:pPr>
            <w:r>
              <w:rPr>
                <w:rFonts w:hint="eastAsia"/>
                <w:sz w:val="24"/>
                <w:szCs w:val="24"/>
                <w:lang w:eastAsia="zh-CN"/>
              </w:rPr>
              <w:t>(如有)</w:t>
            </w:r>
          </w:p>
        </w:tc>
        <w:tc>
          <w:tcPr>
            <w:tcW w:w="7616" w:type="dxa"/>
            <w:vAlign w:val="center"/>
          </w:tcPr>
          <w:p w14:paraId="6330173D">
            <w:pPr>
              <w:pStyle w:val="11"/>
              <w:spacing w:before="41"/>
              <w:ind w:left="105" w:right="-19"/>
              <w:jc w:val="both"/>
              <w:rPr>
                <w:sz w:val="24"/>
                <w:szCs w:val="24"/>
                <w:lang w:eastAsia="zh-CN"/>
              </w:rPr>
            </w:pPr>
            <w:r>
              <w:rPr>
                <w:rFonts w:hint="eastAsia"/>
                <w:sz w:val="24"/>
                <w:szCs w:val="24"/>
                <w:lang w:eastAsia="zh-CN"/>
              </w:rPr>
              <w:t>无</w:t>
            </w:r>
          </w:p>
        </w:tc>
      </w:tr>
      <w:tr w14:paraId="4C53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78" w:type="dxa"/>
          </w:tcPr>
          <w:p w14:paraId="48A35F6B">
            <w:pPr>
              <w:pStyle w:val="11"/>
              <w:spacing w:before="108"/>
              <w:ind w:left="105"/>
              <w:jc w:val="center"/>
              <w:rPr>
                <w:sz w:val="24"/>
                <w:szCs w:val="24"/>
                <w:lang w:eastAsia="zh-CN"/>
              </w:rPr>
            </w:pPr>
            <w:r>
              <w:rPr>
                <w:rFonts w:hint="eastAsia"/>
                <w:sz w:val="24"/>
                <w:szCs w:val="24"/>
              </w:rPr>
              <w:t>日期</w:t>
            </w:r>
          </w:p>
        </w:tc>
        <w:tc>
          <w:tcPr>
            <w:tcW w:w="7616" w:type="dxa"/>
          </w:tcPr>
          <w:p w14:paraId="724FFE81">
            <w:pPr>
              <w:pStyle w:val="11"/>
              <w:spacing w:before="108"/>
              <w:jc w:val="both"/>
              <w:rPr>
                <w:sz w:val="24"/>
                <w:szCs w:val="24"/>
                <w:lang w:eastAsia="zh-CN"/>
              </w:rPr>
            </w:pPr>
            <w:r>
              <w:rPr>
                <w:rFonts w:hint="eastAsia"/>
                <w:sz w:val="24"/>
                <w:szCs w:val="24"/>
                <w:lang w:eastAsia="zh-CN"/>
              </w:rPr>
              <w:t>2025</w:t>
            </w:r>
            <w:r>
              <w:rPr>
                <w:rFonts w:hint="eastAsia"/>
                <w:sz w:val="24"/>
                <w:szCs w:val="24"/>
              </w:rPr>
              <w:t>年</w:t>
            </w:r>
            <w:r>
              <w:rPr>
                <w:rFonts w:hint="eastAsia"/>
                <w:sz w:val="24"/>
                <w:szCs w:val="24"/>
                <w:lang w:val="en-US" w:eastAsia="zh-CN"/>
              </w:rPr>
              <w:t>10</w:t>
            </w:r>
            <w:r>
              <w:rPr>
                <w:rFonts w:hint="eastAsia"/>
                <w:sz w:val="24"/>
                <w:szCs w:val="24"/>
              </w:rPr>
              <w:t>月</w:t>
            </w:r>
            <w:r>
              <w:rPr>
                <w:rFonts w:hint="eastAsia"/>
                <w:sz w:val="24"/>
                <w:szCs w:val="24"/>
                <w:lang w:val="en-US" w:eastAsia="zh-CN"/>
              </w:rPr>
              <w:t>17</w:t>
            </w:r>
            <w:r>
              <w:rPr>
                <w:rFonts w:hint="eastAsia"/>
                <w:sz w:val="24"/>
                <w:szCs w:val="24"/>
              </w:rPr>
              <w:t>日</w:t>
            </w:r>
          </w:p>
        </w:tc>
      </w:tr>
    </w:tbl>
    <w:p w14:paraId="190DC9FB"/>
    <w:sectPr>
      <w:pgSz w:w="11910" w:h="16840"/>
      <w:pgMar w:top="1191" w:right="1560" w:bottom="1134"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mOGViMzE5ZjYzMmFmZTRmNTQwZDMzNzk2ODdhYmYifQ=="/>
  </w:docVars>
  <w:rsids>
    <w:rsidRoot w:val="002E6828"/>
    <w:rsid w:val="0007798A"/>
    <w:rsid w:val="000A18FB"/>
    <w:rsid w:val="00231C2F"/>
    <w:rsid w:val="002D2416"/>
    <w:rsid w:val="002E6828"/>
    <w:rsid w:val="00312CD5"/>
    <w:rsid w:val="00361CDA"/>
    <w:rsid w:val="00487135"/>
    <w:rsid w:val="00521AB5"/>
    <w:rsid w:val="00574784"/>
    <w:rsid w:val="006932BD"/>
    <w:rsid w:val="006D2A98"/>
    <w:rsid w:val="006F5F10"/>
    <w:rsid w:val="00746E46"/>
    <w:rsid w:val="00786637"/>
    <w:rsid w:val="007C6E95"/>
    <w:rsid w:val="00875AC1"/>
    <w:rsid w:val="009153DF"/>
    <w:rsid w:val="00967F00"/>
    <w:rsid w:val="00976781"/>
    <w:rsid w:val="00A15C49"/>
    <w:rsid w:val="00AB59E5"/>
    <w:rsid w:val="00AE5207"/>
    <w:rsid w:val="00B42812"/>
    <w:rsid w:val="00B82246"/>
    <w:rsid w:val="00BD006A"/>
    <w:rsid w:val="00CA511F"/>
    <w:rsid w:val="00E37B6C"/>
    <w:rsid w:val="00E516E3"/>
    <w:rsid w:val="00EA2D10"/>
    <w:rsid w:val="01115C7F"/>
    <w:rsid w:val="01315624"/>
    <w:rsid w:val="014F4893"/>
    <w:rsid w:val="02713DE6"/>
    <w:rsid w:val="02A23DA7"/>
    <w:rsid w:val="02DF2093"/>
    <w:rsid w:val="043438CC"/>
    <w:rsid w:val="0453511D"/>
    <w:rsid w:val="055D1082"/>
    <w:rsid w:val="05784265"/>
    <w:rsid w:val="058E2A81"/>
    <w:rsid w:val="05C55124"/>
    <w:rsid w:val="06AD6F44"/>
    <w:rsid w:val="06CE1DB6"/>
    <w:rsid w:val="07A71460"/>
    <w:rsid w:val="07BC2556"/>
    <w:rsid w:val="08517DBF"/>
    <w:rsid w:val="08A21AF3"/>
    <w:rsid w:val="08CC6078"/>
    <w:rsid w:val="0A375EC4"/>
    <w:rsid w:val="0A3E69D1"/>
    <w:rsid w:val="0A5346D9"/>
    <w:rsid w:val="0A7B67B1"/>
    <w:rsid w:val="0AB063A2"/>
    <w:rsid w:val="0ABF74D6"/>
    <w:rsid w:val="0BF51F2D"/>
    <w:rsid w:val="0C0C702E"/>
    <w:rsid w:val="0C3E5B31"/>
    <w:rsid w:val="0D036452"/>
    <w:rsid w:val="0D677404"/>
    <w:rsid w:val="0D6E60A1"/>
    <w:rsid w:val="0DB3350E"/>
    <w:rsid w:val="0DB6446C"/>
    <w:rsid w:val="0DC97929"/>
    <w:rsid w:val="0E86745E"/>
    <w:rsid w:val="0EE007E8"/>
    <w:rsid w:val="0EE82616"/>
    <w:rsid w:val="0F5E6042"/>
    <w:rsid w:val="0F707EAE"/>
    <w:rsid w:val="0FA638D0"/>
    <w:rsid w:val="0FD43597"/>
    <w:rsid w:val="0FEC6BCB"/>
    <w:rsid w:val="0FF15885"/>
    <w:rsid w:val="10A12FE8"/>
    <w:rsid w:val="10FD7E68"/>
    <w:rsid w:val="11041023"/>
    <w:rsid w:val="113D38F1"/>
    <w:rsid w:val="121C260C"/>
    <w:rsid w:val="12A66F27"/>
    <w:rsid w:val="12C67C4E"/>
    <w:rsid w:val="13473913"/>
    <w:rsid w:val="13695D54"/>
    <w:rsid w:val="136D1608"/>
    <w:rsid w:val="136F47F2"/>
    <w:rsid w:val="1442760C"/>
    <w:rsid w:val="14DF4854"/>
    <w:rsid w:val="14E76E65"/>
    <w:rsid w:val="155928BA"/>
    <w:rsid w:val="15B900D5"/>
    <w:rsid w:val="161C07B7"/>
    <w:rsid w:val="169052DA"/>
    <w:rsid w:val="16CB2F83"/>
    <w:rsid w:val="16D87002"/>
    <w:rsid w:val="173059AA"/>
    <w:rsid w:val="179E5E79"/>
    <w:rsid w:val="186B56B7"/>
    <w:rsid w:val="18E473A1"/>
    <w:rsid w:val="1989323D"/>
    <w:rsid w:val="1A4E5290"/>
    <w:rsid w:val="1A6D0C8B"/>
    <w:rsid w:val="1A907657"/>
    <w:rsid w:val="1AA16254"/>
    <w:rsid w:val="1AE206AC"/>
    <w:rsid w:val="1B554FAF"/>
    <w:rsid w:val="1B920372"/>
    <w:rsid w:val="1C552DE0"/>
    <w:rsid w:val="1C5B2381"/>
    <w:rsid w:val="1CEC5203"/>
    <w:rsid w:val="1D7F75D2"/>
    <w:rsid w:val="1D8F4263"/>
    <w:rsid w:val="1E047E92"/>
    <w:rsid w:val="1E0C793C"/>
    <w:rsid w:val="1E105E8F"/>
    <w:rsid w:val="1E991657"/>
    <w:rsid w:val="1EAD116E"/>
    <w:rsid w:val="1ED206A0"/>
    <w:rsid w:val="1F664E2A"/>
    <w:rsid w:val="20B214F5"/>
    <w:rsid w:val="20B83B8F"/>
    <w:rsid w:val="20FD60D7"/>
    <w:rsid w:val="214722C6"/>
    <w:rsid w:val="21504FB2"/>
    <w:rsid w:val="21A1645C"/>
    <w:rsid w:val="22291070"/>
    <w:rsid w:val="22C7660E"/>
    <w:rsid w:val="2302255A"/>
    <w:rsid w:val="233223D1"/>
    <w:rsid w:val="235E43E6"/>
    <w:rsid w:val="23612F59"/>
    <w:rsid w:val="23796BA7"/>
    <w:rsid w:val="23A9597F"/>
    <w:rsid w:val="23D9206E"/>
    <w:rsid w:val="24BB5C18"/>
    <w:rsid w:val="24DA5304"/>
    <w:rsid w:val="255D589C"/>
    <w:rsid w:val="2618769F"/>
    <w:rsid w:val="2643564F"/>
    <w:rsid w:val="27377EA1"/>
    <w:rsid w:val="28405D8F"/>
    <w:rsid w:val="28C26FBC"/>
    <w:rsid w:val="28FF1DA8"/>
    <w:rsid w:val="291135F5"/>
    <w:rsid w:val="295F0625"/>
    <w:rsid w:val="29D84B76"/>
    <w:rsid w:val="29E76B67"/>
    <w:rsid w:val="2A2C599F"/>
    <w:rsid w:val="2A973C48"/>
    <w:rsid w:val="2AA61ED3"/>
    <w:rsid w:val="2B8B0885"/>
    <w:rsid w:val="2B93734B"/>
    <w:rsid w:val="2BD15D21"/>
    <w:rsid w:val="2BE912BD"/>
    <w:rsid w:val="2C755F41"/>
    <w:rsid w:val="2C775033"/>
    <w:rsid w:val="2D0732A2"/>
    <w:rsid w:val="2D120D1F"/>
    <w:rsid w:val="2D7E3C87"/>
    <w:rsid w:val="2D937732"/>
    <w:rsid w:val="2DB25727"/>
    <w:rsid w:val="2DBF68A0"/>
    <w:rsid w:val="2DD502B1"/>
    <w:rsid w:val="2DED6716"/>
    <w:rsid w:val="2E0E596E"/>
    <w:rsid w:val="2E110F39"/>
    <w:rsid w:val="2EA9088F"/>
    <w:rsid w:val="2FC15979"/>
    <w:rsid w:val="301F61D4"/>
    <w:rsid w:val="308524BB"/>
    <w:rsid w:val="30915A7F"/>
    <w:rsid w:val="30A95287"/>
    <w:rsid w:val="30DF2C8E"/>
    <w:rsid w:val="30F87468"/>
    <w:rsid w:val="31BD307D"/>
    <w:rsid w:val="325767A5"/>
    <w:rsid w:val="32D13BDA"/>
    <w:rsid w:val="32FA693C"/>
    <w:rsid w:val="33355F17"/>
    <w:rsid w:val="33CB3404"/>
    <w:rsid w:val="3513017D"/>
    <w:rsid w:val="353A5AEE"/>
    <w:rsid w:val="360511C1"/>
    <w:rsid w:val="369B2F2B"/>
    <w:rsid w:val="36C76516"/>
    <w:rsid w:val="37416463"/>
    <w:rsid w:val="3751287A"/>
    <w:rsid w:val="379E29EC"/>
    <w:rsid w:val="37AB5678"/>
    <w:rsid w:val="3822004A"/>
    <w:rsid w:val="38AF5476"/>
    <w:rsid w:val="38DF70B8"/>
    <w:rsid w:val="39352EA1"/>
    <w:rsid w:val="393F0F12"/>
    <w:rsid w:val="395D0BF4"/>
    <w:rsid w:val="39A83CA4"/>
    <w:rsid w:val="39C41ADC"/>
    <w:rsid w:val="39FC21BB"/>
    <w:rsid w:val="3A1754D5"/>
    <w:rsid w:val="3A7D77A0"/>
    <w:rsid w:val="3AA47AD5"/>
    <w:rsid w:val="3AAF5897"/>
    <w:rsid w:val="3B7E311A"/>
    <w:rsid w:val="3BD766E2"/>
    <w:rsid w:val="3C037BBF"/>
    <w:rsid w:val="3C220374"/>
    <w:rsid w:val="3CF81FA4"/>
    <w:rsid w:val="3D0C1550"/>
    <w:rsid w:val="3D295820"/>
    <w:rsid w:val="3D5A3DC8"/>
    <w:rsid w:val="3D8976D5"/>
    <w:rsid w:val="3E0F588E"/>
    <w:rsid w:val="3E5208B0"/>
    <w:rsid w:val="3EF42A4B"/>
    <w:rsid w:val="3F0F2990"/>
    <w:rsid w:val="3F45474E"/>
    <w:rsid w:val="40430E17"/>
    <w:rsid w:val="406E5A9F"/>
    <w:rsid w:val="406E7B8B"/>
    <w:rsid w:val="41C22FD4"/>
    <w:rsid w:val="41E35778"/>
    <w:rsid w:val="42D950B7"/>
    <w:rsid w:val="436037BB"/>
    <w:rsid w:val="43947A22"/>
    <w:rsid w:val="43B840E5"/>
    <w:rsid w:val="44352E99"/>
    <w:rsid w:val="445826E4"/>
    <w:rsid w:val="447913A7"/>
    <w:rsid w:val="449832F3"/>
    <w:rsid w:val="44CD6516"/>
    <w:rsid w:val="450B1E4C"/>
    <w:rsid w:val="454011EB"/>
    <w:rsid w:val="457A48DC"/>
    <w:rsid w:val="45C57174"/>
    <w:rsid w:val="45D52834"/>
    <w:rsid w:val="45FE037A"/>
    <w:rsid w:val="48AC1250"/>
    <w:rsid w:val="48AF713A"/>
    <w:rsid w:val="496E4757"/>
    <w:rsid w:val="49ED7F9F"/>
    <w:rsid w:val="4A063A00"/>
    <w:rsid w:val="4A8C0F22"/>
    <w:rsid w:val="4A9326C8"/>
    <w:rsid w:val="4B0C247A"/>
    <w:rsid w:val="4B4B7714"/>
    <w:rsid w:val="4B4E7897"/>
    <w:rsid w:val="4BA833BF"/>
    <w:rsid w:val="4BD00792"/>
    <w:rsid w:val="4C7C2C83"/>
    <w:rsid w:val="4C852A0C"/>
    <w:rsid w:val="4CAA5AA7"/>
    <w:rsid w:val="4CB2425D"/>
    <w:rsid w:val="4CDD1FE8"/>
    <w:rsid w:val="4D6270CE"/>
    <w:rsid w:val="4DA34B85"/>
    <w:rsid w:val="4DEE3CA1"/>
    <w:rsid w:val="4E2875CB"/>
    <w:rsid w:val="4E5626C3"/>
    <w:rsid w:val="4ECC7F56"/>
    <w:rsid w:val="4F0B6405"/>
    <w:rsid w:val="4F1E7C08"/>
    <w:rsid w:val="50632B3C"/>
    <w:rsid w:val="508C3766"/>
    <w:rsid w:val="50FF1F51"/>
    <w:rsid w:val="512027DB"/>
    <w:rsid w:val="512C739B"/>
    <w:rsid w:val="51772FC4"/>
    <w:rsid w:val="51A06D10"/>
    <w:rsid w:val="5277788F"/>
    <w:rsid w:val="530E3233"/>
    <w:rsid w:val="53B37937"/>
    <w:rsid w:val="53E47AF0"/>
    <w:rsid w:val="54152401"/>
    <w:rsid w:val="54961A63"/>
    <w:rsid w:val="54A97D77"/>
    <w:rsid w:val="55A27C63"/>
    <w:rsid w:val="56335942"/>
    <w:rsid w:val="569435F9"/>
    <w:rsid w:val="56BC3940"/>
    <w:rsid w:val="578C3E5D"/>
    <w:rsid w:val="57D62EBD"/>
    <w:rsid w:val="58584F66"/>
    <w:rsid w:val="58CC7966"/>
    <w:rsid w:val="58D81BED"/>
    <w:rsid w:val="58D96EF9"/>
    <w:rsid w:val="594628AC"/>
    <w:rsid w:val="598A4430"/>
    <w:rsid w:val="59910E77"/>
    <w:rsid w:val="5A65081C"/>
    <w:rsid w:val="5A73308E"/>
    <w:rsid w:val="5ABE0C8A"/>
    <w:rsid w:val="5B58738C"/>
    <w:rsid w:val="5B741EAE"/>
    <w:rsid w:val="5C2B04AE"/>
    <w:rsid w:val="5C7232A0"/>
    <w:rsid w:val="5D4F4649"/>
    <w:rsid w:val="5E880D7F"/>
    <w:rsid w:val="5E9C2F2A"/>
    <w:rsid w:val="5FB46F10"/>
    <w:rsid w:val="600A4823"/>
    <w:rsid w:val="613C71BD"/>
    <w:rsid w:val="61442516"/>
    <w:rsid w:val="61BA27D8"/>
    <w:rsid w:val="61FE12C4"/>
    <w:rsid w:val="62952C2D"/>
    <w:rsid w:val="62F37D50"/>
    <w:rsid w:val="630540BC"/>
    <w:rsid w:val="631E7A1B"/>
    <w:rsid w:val="639D5D2C"/>
    <w:rsid w:val="6491140D"/>
    <w:rsid w:val="65460A60"/>
    <w:rsid w:val="65DC04C1"/>
    <w:rsid w:val="66200D3B"/>
    <w:rsid w:val="670C6F9F"/>
    <w:rsid w:val="67E67104"/>
    <w:rsid w:val="682D01BF"/>
    <w:rsid w:val="685F19E3"/>
    <w:rsid w:val="68C1134F"/>
    <w:rsid w:val="697D2657"/>
    <w:rsid w:val="699B74F7"/>
    <w:rsid w:val="69D81A4D"/>
    <w:rsid w:val="6A471FB6"/>
    <w:rsid w:val="6AC06E16"/>
    <w:rsid w:val="6B550E39"/>
    <w:rsid w:val="6C0A3F26"/>
    <w:rsid w:val="6C1D45C3"/>
    <w:rsid w:val="6CA4236F"/>
    <w:rsid w:val="6DD016BD"/>
    <w:rsid w:val="6DF84BAC"/>
    <w:rsid w:val="6E5378F4"/>
    <w:rsid w:val="6E661BB9"/>
    <w:rsid w:val="6E7855AD"/>
    <w:rsid w:val="6E917B1B"/>
    <w:rsid w:val="6E9835BF"/>
    <w:rsid w:val="6FF670D1"/>
    <w:rsid w:val="70971289"/>
    <w:rsid w:val="70DF5C52"/>
    <w:rsid w:val="71094BE2"/>
    <w:rsid w:val="71744751"/>
    <w:rsid w:val="71C034F3"/>
    <w:rsid w:val="725620A9"/>
    <w:rsid w:val="725A3947"/>
    <w:rsid w:val="72800D0F"/>
    <w:rsid w:val="72905A21"/>
    <w:rsid w:val="72C94629"/>
    <w:rsid w:val="72E47908"/>
    <w:rsid w:val="730E30E1"/>
    <w:rsid w:val="73663A5B"/>
    <w:rsid w:val="737D2E0A"/>
    <w:rsid w:val="745B6F20"/>
    <w:rsid w:val="753049E3"/>
    <w:rsid w:val="758C3782"/>
    <w:rsid w:val="75DF5F11"/>
    <w:rsid w:val="76A612DF"/>
    <w:rsid w:val="76AE6010"/>
    <w:rsid w:val="77212C85"/>
    <w:rsid w:val="777A7E82"/>
    <w:rsid w:val="778A27EE"/>
    <w:rsid w:val="782324C9"/>
    <w:rsid w:val="7846159A"/>
    <w:rsid w:val="786F2929"/>
    <w:rsid w:val="78847479"/>
    <w:rsid w:val="788E099A"/>
    <w:rsid w:val="78C9316E"/>
    <w:rsid w:val="78CE00ED"/>
    <w:rsid w:val="78DE0F24"/>
    <w:rsid w:val="796E5475"/>
    <w:rsid w:val="7A0B3E64"/>
    <w:rsid w:val="7A8A0AC1"/>
    <w:rsid w:val="7AF4245F"/>
    <w:rsid w:val="7AF81CD8"/>
    <w:rsid w:val="7BA12DAD"/>
    <w:rsid w:val="7BAB5214"/>
    <w:rsid w:val="7BBD0AA3"/>
    <w:rsid w:val="7BEF1F0C"/>
    <w:rsid w:val="7C89589D"/>
    <w:rsid w:val="7C913608"/>
    <w:rsid w:val="7C9336AF"/>
    <w:rsid w:val="7DB95D76"/>
    <w:rsid w:val="7DDF11A4"/>
    <w:rsid w:val="7DE7349C"/>
    <w:rsid w:val="7E23576E"/>
    <w:rsid w:val="7E521976"/>
    <w:rsid w:val="7F23769E"/>
    <w:rsid w:val="7FC04835"/>
    <w:rsid w:val="7FD061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宋体" w:hAnsi="宋体" w:eastAsia="宋体" w:cs="宋体"/>
      <w:sz w:val="22"/>
      <w:szCs w:val="22"/>
      <w:lang w:val="en-US"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1"/>
    <w:pPr>
      <w:tabs>
        <w:tab w:val="left" w:pos="6002"/>
      </w:tabs>
      <w:spacing w:before="8"/>
      <w:ind w:right="378"/>
    </w:pPr>
    <w:rPr>
      <w:sz w:val="24"/>
      <w:szCs w:val="24"/>
    </w:rPr>
  </w:style>
  <w:style w:type="paragraph" w:styleId="3">
    <w:name w:val="footer"/>
    <w:basedOn w:val="1"/>
    <w:link w:val="13"/>
    <w:autoRedefine/>
    <w:qFormat/>
    <w:uiPriority w:val="0"/>
    <w:pPr>
      <w:tabs>
        <w:tab w:val="center" w:pos="4153"/>
        <w:tab w:val="right" w:pos="8306"/>
      </w:tabs>
      <w:snapToGrid w:val="0"/>
    </w:pPr>
    <w:rPr>
      <w:sz w:val="18"/>
      <w:szCs w:val="18"/>
    </w:rPr>
  </w:style>
  <w:style w:type="paragraph" w:styleId="4">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autoRedefine/>
    <w:qFormat/>
    <w:uiPriority w:val="0"/>
    <w:rPr>
      <w:b/>
    </w:rPr>
  </w:style>
  <w:style w:type="table" w:customStyle="1" w:styleId="9">
    <w:name w:val="Table Normal"/>
    <w:autoRedefine/>
    <w:semiHidden/>
    <w:unhideWhenUsed/>
    <w:qFormat/>
    <w:uiPriority w:val="2"/>
    <w:tblPr>
      <w:tblCellMar>
        <w:top w:w="0" w:type="dxa"/>
        <w:left w:w="0" w:type="dxa"/>
        <w:bottom w:w="0" w:type="dxa"/>
        <w:right w:w="0" w:type="dxa"/>
      </w:tblCellMar>
    </w:tblPr>
  </w:style>
  <w:style w:type="paragraph" w:styleId="10">
    <w:name w:val="List Paragraph"/>
    <w:basedOn w:val="1"/>
    <w:autoRedefine/>
    <w:qFormat/>
    <w:uiPriority w:val="1"/>
  </w:style>
  <w:style w:type="paragraph" w:customStyle="1" w:styleId="11">
    <w:name w:val="Table Paragraph"/>
    <w:basedOn w:val="1"/>
    <w:autoRedefine/>
    <w:qFormat/>
    <w:uiPriority w:val="1"/>
    <w:pPr>
      <w:ind w:left="100"/>
    </w:pPr>
  </w:style>
  <w:style w:type="character" w:customStyle="1" w:styleId="12">
    <w:name w:val="页眉 Char"/>
    <w:basedOn w:val="7"/>
    <w:link w:val="4"/>
    <w:autoRedefine/>
    <w:qFormat/>
    <w:uiPriority w:val="0"/>
    <w:rPr>
      <w:rFonts w:ascii="宋体" w:hAnsi="宋体" w:eastAsia="宋体" w:cs="宋体"/>
      <w:sz w:val="18"/>
      <w:szCs w:val="18"/>
      <w:lang w:eastAsia="en-US"/>
    </w:rPr>
  </w:style>
  <w:style w:type="character" w:customStyle="1" w:styleId="13">
    <w:name w:val="页脚 Char"/>
    <w:basedOn w:val="7"/>
    <w:link w:val="3"/>
    <w:autoRedefine/>
    <w:qFormat/>
    <w:uiPriority w:val="0"/>
    <w:rPr>
      <w:rFonts w:ascii="宋体" w:hAnsi="宋体" w:eastAsia="宋体" w:cs="宋体"/>
      <w:sz w:val="18"/>
      <w:szCs w:val="18"/>
      <w:lang w:eastAsia="en-US"/>
    </w:rPr>
  </w:style>
  <w:style w:type="paragraph" w:customStyle="1" w:styleId="14">
    <w:name w:val="005正文"/>
    <w:basedOn w:val="1"/>
    <w:autoRedefine/>
    <w:qFormat/>
    <w:uiPriority w:val="0"/>
    <w:pPr>
      <w:adjustRightInd w:val="0"/>
      <w:snapToGrid w:val="0"/>
      <w:spacing w:beforeLines="50" w:afterLines="50" w:line="360" w:lineRule="auto"/>
      <w:ind w:firstLine="200" w:firstLineChars="200"/>
      <w:jc w:val="both"/>
    </w:pPr>
    <w:rPr>
      <w:kern w:val="2"/>
    </w:rPr>
  </w:style>
  <w:style w:type="paragraph" w:customStyle="1" w:styleId="15">
    <w:name w:val="修订1"/>
    <w:autoRedefine/>
    <w:hidden/>
    <w:unhideWhenUsed/>
    <w:qFormat/>
    <w:uiPriority w:val="99"/>
    <w:rPr>
      <w:rFonts w:ascii="宋体" w:hAnsi="宋体" w:eastAsia="宋体" w:cs="宋体"/>
      <w:sz w:val="22"/>
      <w:szCs w:val="22"/>
      <w:lang w:val="en-US" w:eastAsia="en-US" w:bidi="ar-SA"/>
    </w:rPr>
  </w:style>
  <w:style w:type="paragraph" w:customStyle="1" w:styleId="16">
    <w:name w:val="修订2"/>
    <w:autoRedefine/>
    <w:hidden/>
    <w:unhideWhenUsed/>
    <w:qFormat/>
    <w:uiPriority w:val="99"/>
    <w:rPr>
      <w:rFonts w:ascii="宋体" w:hAnsi="宋体" w:eastAsia="宋体" w:cs="宋体"/>
      <w:sz w:val="22"/>
      <w:szCs w:val="22"/>
      <w:lang w:val="en-US" w:eastAsia="en-US" w:bidi="ar-SA"/>
    </w:rPr>
  </w:style>
  <w:style w:type="paragraph" w:customStyle="1" w:styleId="17">
    <w:name w:val="修订3"/>
    <w:hidden/>
    <w:unhideWhenUsed/>
    <w:qFormat/>
    <w:uiPriority w:val="99"/>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1544</Words>
  <Characters>1618</Characters>
  <Lines>10</Lines>
  <Paragraphs>2</Paragraphs>
  <TotalTime>0</TotalTime>
  <ScaleCrop>false</ScaleCrop>
  <LinksUpToDate>false</LinksUpToDate>
  <CharactersWithSpaces>1680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2021-06-16T13:10:00Z</dcterms:created>
  <dc:creator>周九</dc:creator>
  <cp:lastModifiedBy>周九</cp:lastModifiedBy>
  <cp:lastPrinted>2025-05-29T07:54:00Z</cp:lastPrinted>
  <dcterms:modified xsi:type="dcterms:W3CDTF">2025-10-17T09:47:45Z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2021-06-11T00:00:00Z</vt:filetime>
  </property>
  <property fmtid="{D5CDD505-2E9C-101B-9397-08002B2CF9AE}" pid="3" name="Creator">
    <vt:lpwstr>Microsoft® Office Word 2007</vt:lpwstr>
  </property>
  <property fmtid="{D5CDD505-2E9C-101B-9397-08002B2CF9AE}" pid="4" name="LastSaved">
    <vt:filetime>2021-06-16T00:00:00Z</vt:filetime>
  </property>
  <property fmtid="{D5CDD505-2E9C-101B-9397-08002B2CF9AE}" pid="5" name="KSOProductBuildVer">
    <vt:lpwstr>2052-12.1.0.23125</vt:lpwstr>
  </property>
  <property fmtid="{D5CDD505-2E9C-101B-9397-08002B2CF9AE}" pid="6" name="ICV">
    <vt:lpwstr>2E78F2CF9D87416CACCEF31AAD95AE93_13</vt:lpwstr>
  </property>
  <property fmtid="{D5CDD505-2E9C-101B-9397-08002B2CF9AE}" pid="7" name="KSOTemplateDocerSaveRecord">
    <vt:lpwstr>eyJoZGlkIjoiZGFmOGViMzE5ZjYzMmFmZTRmNTQwZDMzNzk2ODdhYmYiLCJ1c2VySWQiOiI0NTQ1NTkxNjYifQ==</vt:lpwstr>
  </property>
</Properties>
</file>