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4BC42">
      <w:pPr>
        <w:spacing w:line="360" w:lineRule="auto"/>
        <w:jc w:val="left"/>
        <w:rPr>
          <w:rFonts w:asciiTheme="minorEastAsia" w:hAnsiTheme="minorEastAsia" w:cstheme="minorEastAsia"/>
          <w:b/>
          <w:bCs/>
          <w:sz w:val="24"/>
        </w:rPr>
      </w:pPr>
      <w:r>
        <w:rPr>
          <w:rFonts w:hint="eastAsia" w:asciiTheme="minorEastAsia" w:hAnsiTheme="minorEastAsia" w:cstheme="minorEastAsia"/>
          <w:b/>
          <w:bCs/>
          <w:sz w:val="24"/>
        </w:rPr>
        <w:t>证券代码：603033                                   证券简称：三维股份</w:t>
      </w:r>
    </w:p>
    <w:p w14:paraId="366D2934">
      <w:pPr>
        <w:spacing w:line="360" w:lineRule="auto"/>
        <w:ind w:firstLine="482" w:firstLineChars="200"/>
        <w:jc w:val="left"/>
        <w:rPr>
          <w:rFonts w:asciiTheme="minorEastAsia" w:hAnsiTheme="minorEastAsia" w:cstheme="minorEastAsia"/>
          <w:b/>
          <w:bCs/>
          <w:sz w:val="24"/>
        </w:rPr>
      </w:pPr>
    </w:p>
    <w:p w14:paraId="1C5D8907">
      <w:pPr>
        <w:spacing w:line="360" w:lineRule="auto"/>
        <w:ind w:firstLine="562" w:firstLineChars="200"/>
        <w:jc w:val="center"/>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三维控股集团</w:t>
      </w:r>
      <w:r>
        <w:rPr>
          <w:rFonts w:hint="eastAsia" w:asciiTheme="minorEastAsia" w:hAnsiTheme="minorEastAsia" w:cstheme="minorEastAsia"/>
          <w:b/>
          <w:bCs/>
          <w:sz w:val="28"/>
          <w:szCs w:val="28"/>
        </w:rPr>
        <w:t>股份有限公司</w:t>
      </w:r>
    </w:p>
    <w:p w14:paraId="136A7355">
      <w:pPr>
        <w:spacing w:line="360" w:lineRule="auto"/>
        <w:ind w:firstLine="562" w:firstLineChars="200"/>
        <w:jc w:val="center"/>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投资者关系活动记录表</w:t>
      </w:r>
    </w:p>
    <w:p w14:paraId="5969EE17">
      <w:pPr>
        <w:spacing w:line="360" w:lineRule="auto"/>
        <w:ind w:firstLine="562" w:firstLineChars="200"/>
        <w:jc w:val="center"/>
        <w:rPr>
          <w:rFonts w:hint="eastAsia" w:asciiTheme="minorEastAsia" w:hAnsiTheme="minorEastAsia" w:cstheme="minorEastAsia"/>
          <w:b/>
          <w:bCs/>
          <w:sz w:val="28"/>
          <w:szCs w:val="28"/>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6477"/>
      </w:tblGrid>
      <w:tr w14:paraId="7F36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5" w:type="dxa"/>
            <w:vAlign w:val="center"/>
          </w:tcPr>
          <w:p w14:paraId="45D3A4D8">
            <w:pPr>
              <w:keepNext w:val="0"/>
              <w:keepLines w:val="0"/>
              <w:suppressLineNumbers w:val="0"/>
              <w:spacing w:before="0" w:beforeAutospacing="0" w:after="0" w:afterAutospacing="0" w:line="360" w:lineRule="auto"/>
              <w:ind w:left="0" w:right="0"/>
              <w:jc w:val="both"/>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投资者关系活动类别</w:t>
            </w:r>
          </w:p>
        </w:tc>
        <w:tc>
          <w:tcPr>
            <w:tcW w:w="6477" w:type="dxa"/>
          </w:tcPr>
          <w:p w14:paraId="1FD68E90">
            <w:pPr>
              <w:pStyle w:val="13"/>
              <w:keepNext w:val="0"/>
              <w:keepLines w:val="0"/>
              <w:suppressLineNumbers w:val="0"/>
              <w:tabs>
                <w:tab w:val="left" w:pos="2418"/>
              </w:tabs>
              <w:spacing w:before="1" w:beforeAutospacing="0" w:after="0" w:afterAutospacing="0"/>
              <w:ind w:left="107" w:right="0"/>
              <w:rPr>
                <w:rFonts w:hint="eastAsia" w:ascii="宋体" w:hAnsi="宋体" w:eastAsia="宋体" w:cs="宋体"/>
                <w:sz w:val="24"/>
                <w:szCs w:val="24"/>
              </w:rPr>
            </w:pPr>
            <w:sdt>
              <w:sdtPr>
                <w:rPr>
                  <w:rFonts w:hint="eastAsia" w:ascii="宋体" w:hAnsi="宋体" w:eastAsia="宋体" w:cs="宋体"/>
                  <w:sz w:val="24"/>
                  <w:szCs w:val="24"/>
                </w:rPr>
                <w:id w:val="249780449"/>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kern w:val="2"/>
                    <w:sz w:val="24"/>
                    <w:szCs w:val="24"/>
                    <w:lang w:val="en-US" w:eastAsia="zh-CN" w:bidi="ar-SA"/>
                  </w:rPr>
                  <w:t>☐</w:t>
                </w:r>
              </w:sdtContent>
            </w:sdt>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sdt>
              <w:sdtPr>
                <w:rPr>
                  <w:rFonts w:hint="eastAsia" w:ascii="宋体" w:hAnsi="宋体" w:eastAsia="宋体" w:cs="宋体"/>
                  <w:sz w:val="24"/>
                  <w:szCs w:val="24"/>
                </w:rPr>
                <w:id w:val="-416875725"/>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kern w:val="2"/>
                    <w:sz w:val="24"/>
                    <w:szCs w:val="24"/>
                    <w:lang w:val="en-US" w:eastAsia="zh-CN" w:bidi="ar-SA"/>
                  </w:rPr>
                  <w:t>☐</w:t>
                </w:r>
              </w:sdtContent>
            </w:sdt>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14:paraId="2BCA2178">
            <w:pPr>
              <w:pStyle w:val="13"/>
              <w:keepNext w:val="0"/>
              <w:keepLines w:val="0"/>
              <w:suppressLineNumbers w:val="0"/>
              <w:spacing w:before="11" w:beforeAutospacing="0" w:after="0" w:afterAutospacing="0"/>
              <w:ind w:left="0" w:right="0"/>
              <w:rPr>
                <w:rFonts w:hint="eastAsia" w:ascii="宋体" w:hAnsi="宋体" w:eastAsia="宋体" w:cs="宋体"/>
                <w:sz w:val="24"/>
                <w:szCs w:val="24"/>
              </w:rPr>
            </w:pPr>
          </w:p>
          <w:p w14:paraId="7C0BDC98">
            <w:pPr>
              <w:pStyle w:val="13"/>
              <w:keepNext w:val="0"/>
              <w:keepLines w:val="0"/>
              <w:suppressLineNumbers w:val="0"/>
              <w:tabs>
                <w:tab w:val="left" w:pos="2418"/>
              </w:tabs>
              <w:spacing w:before="0" w:beforeAutospacing="0" w:after="0" w:afterAutospacing="0"/>
              <w:ind w:left="107" w:right="0"/>
              <w:rPr>
                <w:rFonts w:hint="eastAsia" w:ascii="宋体" w:hAnsi="宋体" w:eastAsia="宋体" w:cs="宋体"/>
                <w:sz w:val="24"/>
                <w:szCs w:val="24"/>
              </w:rPr>
            </w:pPr>
            <w:sdt>
              <w:sdtPr>
                <w:rPr>
                  <w:rFonts w:hint="eastAsia" w:ascii="宋体" w:hAnsi="宋体" w:eastAsia="宋体" w:cs="宋体"/>
                  <w:sz w:val="24"/>
                  <w:szCs w:val="24"/>
                </w:rPr>
                <w:id w:val="120690601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rPr>
              <w:tab/>
            </w:r>
            <w:sdt>
              <w:sdtPr>
                <w:rPr>
                  <w:rFonts w:hint="eastAsia" w:ascii="宋体" w:hAnsi="宋体" w:eastAsia="宋体" w:cs="宋体"/>
                  <w:sz w:val="24"/>
                  <w:szCs w:val="24"/>
                </w:rPr>
                <w:id w:val="-6665890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kern w:val="2"/>
                    <w:sz w:val="24"/>
                    <w:szCs w:val="24"/>
                    <w:lang w:val="zh-CN" w:eastAsia="zh-CN" w:bidi="zh-CN"/>
                  </w:rPr>
                  <w:t>☐</w:t>
                </w:r>
              </w:sdtContent>
            </w:sdt>
            <w:r>
              <w:rPr>
                <w:rFonts w:hint="eastAsia" w:ascii="宋体" w:hAnsi="宋体" w:eastAsia="宋体" w:cs="宋体"/>
                <w:sz w:val="24"/>
                <w:szCs w:val="24"/>
              </w:rPr>
              <w:t>业</w:t>
            </w:r>
            <w:r>
              <w:rPr>
                <w:rFonts w:hint="eastAsia" w:ascii="宋体" w:hAnsi="宋体" w:eastAsia="宋体" w:cs="宋体"/>
                <w:spacing w:val="-3"/>
                <w:sz w:val="24"/>
                <w:szCs w:val="24"/>
              </w:rPr>
              <w:t>绩</w:t>
            </w:r>
            <w:r>
              <w:rPr>
                <w:rFonts w:hint="eastAsia" w:ascii="宋体" w:hAnsi="宋体" w:eastAsia="宋体" w:cs="宋体"/>
                <w:sz w:val="24"/>
                <w:szCs w:val="24"/>
              </w:rPr>
              <w:t>说</w:t>
            </w:r>
            <w:r>
              <w:rPr>
                <w:rFonts w:hint="eastAsia" w:ascii="宋体" w:hAnsi="宋体" w:eastAsia="宋体" w:cs="宋体"/>
                <w:spacing w:val="-3"/>
                <w:sz w:val="24"/>
                <w:szCs w:val="24"/>
              </w:rPr>
              <w:t>明</w:t>
            </w:r>
            <w:r>
              <w:rPr>
                <w:rFonts w:hint="eastAsia" w:ascii="宋体" w:hAnsi="宋体" w:eastAsia="宋体" w:cs="宋体"/>
                <w:sz w:val="24"/>
                <w:szCs w:val="24"/>
              </w:rPr>
              <w:t>会</w:t>
            </w:r>
          </w:p>
          <w:p w14:paraId="0831E230">
            <w:pPr>
              <w:pStyle w:val="13"/>
              <w:keepNext w:val="0"/>
              <w:keepLines w:val="0"/>
              <w:suppressLineNumbers w:val="0"/>
              <w:spacing w:before="8" w:beforeAutospacing="0" w:after="0" w:afterAutospacing="0"/>
              <w:ind w:left="0" w:right="0"/>
              <w:rPr>
                <w:rFonts w:hint="eastAsia" w:ascii="宋体" w:hAnsi="宋体" w:eastAsia="宋体" w:cs="宋体"/>
                <w:sz w:val="24"/>
                <w:szCs w:val="24"/>
              </w:rPr>
            </w:pPr>
          </w:p>
          <w:p w14:paraId="0C8EE344">
            <w:pPr>
              <w:pStyle w:val="13"/>
              <w:keepNext w:val="0"/>
              <w:keepLines w:val="0"/>
              <w:suppressLineNumbers w:val="0"/>
              <w:tabs>
                <w:tab w:val="left" w:pos="2418"/>
              </w:tabs>
              <w:spacing w:before="0" w:beforeAutospacing="0" w:after="0" w:afterAutospacing="0"/>
              <w:ind w:left="107" w:right="0"/>
              <w:rPr>
                <w:rFonts w:hint="eastAsia" w:ascii="宋体" w:hAnsi="宋体" w:eastAsia="宋体" w:cs="宋体"/>
                <w:sz w:val="24"/>
                <w:szCs w:val="24"/>
              </w:rPr>
            </w:pPr>
            <w:sdt>
              <w:sdtPr>
                <w:rPr>
                  <w:rFonts w:hint="eastAsia" w:ascii="宋体" w:hAnsi="宋体" w:eastAsia="宋体" w:cs="宋体"/>
                  <w:sz w:val="24"/>
                  <w:szCs w:val="24"/>
                </w:rPr>
                <w:id w:val="-184816743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rPr>
              <w:tab/>
            </w:r>
            <w:sdt>
              <w:sdtPr>
                <w:rPr>
                  <w:rFonts w:hint="eastAsia" w:ascii="宋体" w:hAnsi="宋体" w:eastAsia="宋体" w:cs="宋体"/>
                  <w:sz w:val="24"/>
                  <w:szCs w:val="24"/>
                </w:rPr>
                <w:id w:val="412049691"/>
                <w14:checkbox>
                  <w14:checked w14:val="1"/>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Wingdings 2" w:hAnsi="Wingdings 2" w:eastAsia="宋体" w:cs="宋体"/>
                    <w:kern w:val="2"/>
                    <w:sz w:val="24"/>
                    <w:szCs w:val="24"/>
                    <w:lang w:val="en-US" w:eastAsia="zh-CN" w:bidi="ar-SA"/>
                  </w:rPr>
                  <w:t>R</w:t>
                </w:r>
              </w:sdtContent>
            </w:sdt>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14:paraId="528B0AC5">
            <w:pPr>
              <w:pStyle w:val="13"/>
              <w:keepNext w:val="0"/>
              <w:keepLines w:val="0"/>
              <w:suppressLineNumbers w:val="0"/>
              <w:spacing w:before="8" w:beforeAutospacing="0" w:after="0" w:afterAutospacing="0"/>
              <w:ind w:left="0" w:right="0"/>
              <w:rPr>
                <w:rFonts w:hint="eastAsia" w:ascii="宋体" w:hAnsi="宋体" w:eastAsia="宋体" w:cs="宋体"/>
                <w:sz w:val="24"/>
                <w:szCs w:val="24"/>
              </w:rPr>
            </w:pPr>
          </w:p>
          <w:p w14:paraId="7D5065DD">
            <w:pPr>
              <w:pStyle w:val="13"/>
              <w:keepNext w:val="0"/>
              <w:keepLines w:val="0"/>
              <w:suppressLineNumbers w:val="0"/>
              <w:spacing w:before="0" w:beforeAutospacing="0" w:after="0" w:afterAutospacing="0"/>
              <w:ind w:left="107" w:right="0"/>
              <w:rPr>
                <w:rFonts w:hint="eastAsia" w:ascii="宋体" w:hAnsi="宋体" w:eastAsia="宋体" w:cs="宋体"/>
                <w:sz w:val="24"/>
                <w:szCs w:val="24"/>
              </w:rPr>
            </w:pPr>
            <w:sdt>
              <w:sdtPr>
                <w:rPr>
                  <w:rFonts w:hint="eastAsia" w:ascii="宋体" w:hAnsi="宋体" w:eastAsia="宋体" w:cs="宋体"/>
                  <w:sz w:val="24"/>
                  <w:szCs w:val="24"/>
                </w:rPr>
                <w:id w:val="-133336691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现场参观</w:t>
            </w:r>
          </w:p>
          <w:p w14:paraId="0953A49B">
            <w:pPr>
              <w:pStyle w:val="13"/>
              <w:keepNext w:val="0"/>
              <w:keepLines w:val="0"/>
              <w:suppressLineNumbers w:val="0"/>
              <w:spacing w:before="11" w:beforeAutospacing="0" w:after="0" w:afterAutospacing="0"/>
              <w:ind w:left="0" w:right="0"/>
              <w:rPr>
                <w:rFonts w:hint="eastAsia" w:ascii="宋体" w:hAnsi="宋体" w:eastAsia="宋体" w:cs="宋体"/>
                <w:sz w:val="24"/>
                <w:szCs w:val="24"/>
              </w:rPr>
            </w:pPr>
          </w:p>
          <w:p w14:paraId="53FC46EF">
            <w:pPr>
              <w:keepNext w:val="0"/>
              <w:keepLines w:val="0"/>
              <w:suppressLineNumbers w:val="0"/>
              <w:spacing w:before="0" w:beforeAutospacing="0" w:after="0" w:afterAutospacing="0" w:line="360" w:lineRule="auto"/>
              <w:ind w:left="0" w:right="0"/>
              <w:jc w:val="left"/>
              <w:rPr>
                <w:rFonts w:hint="default" w:asciiTheme="minorEastAsia" w:hAnsiTheme="minorEastAsia" w:cstheme="minorEastAsia"/>
                <w:kern w:val="0"/>
                <w:sz w:val="24"/>
              </w:rPr>
            </w:pPr>
            <w:sdt>
              <w:sdtPr>
                <w:rPr>
                  <w:rFonts w:hint="eastAsia" w:ascii="宋体" w:hAnsi="宋体" w:eastAsia="宋体" w:cs="宋体"/>
                  <w:sz w:val="24"/>
                  <w:szCs w:val="24"/>
                </w:rPr>
                <w:id w:val="400885218"/>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kern w:val="2"/>
                    <w:sz w:val="24"/>
                    <w:szCs w:val="24"/>
                    <w:lang w:val="en-US" w:eastAsia="zh-CN" w:bidi="ar-SA"/>
                  </w:rPr>
                  <w:t>☐</w:t>
                </w:r>
              </w:sdtContent>
            </w:sdt>
            <w:r>
              <w:rPr>
                <w:rFonts w:hint="eastAsia" w:ascii="宋体" w:hAnsi="宋体" w:eastAsia="宋体" w:cs="宋体"/>
                <w:sz w:val="24"/>
                <w:szCs w:val="24"/>
              </w:rPr>
              <w:t>其他</w:t>
            </w:r>
          </w:p>
        </w:tc>
      </w:tr>
      <w:tr w14:paraId="0016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5" w:type="dxa"/>
            <w:vAlign w:val="center"/>
          </w:tcPr>
          <w:p w14:paraId="112F7765">
            <w:pPr>
              <w:keepNext w:val="0"/>
              <w:keepLines w:val="0"/>
              <w:suppressLineNumbers w:val="0"/>
              <w:spacing w:before="0" w:beforeAutospacing="0" w:after="0" w:afterAutospacing="0" w:line="360" w:lineRule="auto"/>
              <w:ind w:left="0" w:right="0"/>
              <w:jc w:val="both"/>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参与单位名称及人员姓名</w:t>
            </w:r>
          </w:p>
        </w:tc>
        <w:tc>
          <w:tcPr>
            <w:tcW w:w="6477" w:type="dxa"/>
          </w:tcPr>
          <w:p w14:paraId="1300BB05">
            <w:pPr>
              <w:keepNext w:val="0"/>
              <w:keepLines w:val="0"/>
              <w:suppressLineNumbers w:val="0"/>
              <w:spacing w:before="0" w:beforeAutospacing="0" w:after="0" w:afterAutospacing="0" w:line="360" w:lineRule="auto"/>
              <w:ind w:left="0" w:right="0"/>
              <w:jc w:val="left"/>
              <w:rPr>
                <w:rFonts w:hint="default" w:asciiTheme="minorEastAsia" w:hAnsiTheme="minorEastAsia" w:cstheme="minorEastAsia"/>
                <w:kern w:val="0"/>
                <w:sz w:val="24"/>
                <w:lang w:val="en-US" w:eastAsia="zh-CN"/>
              </w:rPr>
            </w:pPr>
            <w:r>
              <w:rPr>
                <w:rFonts w:hint="eastAsia" w:cs="宋体" w:asciiTheme="minorEastAsia" w:hAnsiTheme="minorEastAsia"/>
                <w:color w:val="auto"/>
                <w:sz w:val="24"/>
                <w:szCs w:val="24"/>
                <w:lang w:val="en-US" w:eastAsia="zh-CN"/>
              </w:rPr>
              <w:t>安联资管 长江证券等</w:t>
            </w:r>
          </w:p>
        </w:tc>
      </w:tr>
      <w:tr w14:paraId="2D07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045" w:type="dxa"/>
            <w:vAlign w:val="center"/>
          </w:tcPr>
          <w:p w14:paraId="2C96838B">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时间</w:t>
            </w:r>
          </w:p>
        </w:tc>
        <w:tc>
          <w:tcPr>
            <w:tcW w:w="6477" w:type="dxa"/>
          </w:tcPr>
          <w:p w14:paraId="1636CFD8">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15-16日</w:t>
            </w:r>
          </w:p>
        </w:tc>
      </w:tr>
      <w:tr w14:paraId="0223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5" w:type="dxa"/>
            <w:vAlign w:val="center"/>
          </w:tcPr>
          <w:p w14:paraId="3C015C7B">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地点</w:t>
            </w:r>
          </w:p>
        </w:tc>
        <w:tc>
          <w:tcPr>
            <w:tcW w:w="6477" w:type="dxa"/>
          </w:tcPr>
          <w:p w14:paraId="4C12372E">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stheme="minorEastAsia"/>
                <w:kern w:val="0"/>
                <w:sz w:val="24"/>
                <w:lang w:val="en-US" w:eastAsia="zh-CN"/>
              </w:rPr>
            </w:pPr>
            <w:r>
              <w:rPr>
                <w:rFonts w:hint="eastAsia" w:asciiTheme="minorEastAsia" w:hAnsiTheme="minorEastAsia" w:cstheme="minorEastAsia"/>
                <w:kern w:val="0"/>
                <w:sz w:val="24"/>
                <w:lang w:val="en-US" w:eastAsia="zh-CN"/>
              </w:rPr>
              <w:t>杭州</w:t>
            </w:r>
          </w:p>
        </w:tc>
      </w:tr>
      <w:tr w14:paraId="744C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5" w:type="dxa"/>
            <w:vAlign w:val="center"/>
          </w:tcPr>
          <w:p w14:paraId="314A00B7">
            <w:pPr>
              <w:keepNext w:val="0"/>
              <w:keepLines w:val="0"/>
              <w:suppressLineNumbers w:val="0"/>
              <w:spacing w:before="0" w:beforeAutospacing="0" w:after="0" w:afterAutospacing="0" w:line="360" w:lineRule="auto"/>
              <w:ind w:left="0" w:right="0"/>
              <w:jc w:val="both"/>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上市公司接待人员姓名</w:t>
            </w:r>
          </w:p>
        </w:tc>
        <w:tc>
          <w:tcPr>
            <w:tcW w:w="6477" w:type="dxa"/>
          </w:tcPr>
          <w:p w14:paraId="745D89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广西三维董事长 吴善国</w:t>
            </w:r>
          </w:p>
          <w:p w14:paraId="421DE7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投资者关系总监 刘晓帆</w:t>
            </w:r>
          </w:p>
        </w:tc>
      </w:tr>
      <w:tr w14:paraId="76B8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5" w:type="dxa"/>
            <w:vAlign w:val="center"/>
          </w:tcPr>
          <w:p w14:paraId="75574F3F">
            <w:pPr>
              <w:keepNext w:val="0"/>
              <w:keepLines w:val="0"/>
              <w:suppressLineNumbers w:val="0"/>
              <w:spacing w:before="0" w:beforeAutospacing="0" w:after="0" w:afterAutospacing="0" w:line="360" w:lineRule="auto"/>
              <w:ind w:left="0" w:right="0"/>
              <w:jc w:val="both"/>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投资者关系活动主要内容介绍</w:t>
            </w:r>
          </w:p>
        </w:tc>
        <w:tc>
          <w:tcPr>
            <w:tcW w:w="6477" w:type="dxa"/>
            <w:vAlign w:val="top"/>
          </w:tcPr>
          <w:p w14:paraId="775ED3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1、三维控股集团情况介绍</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 xml:space="preserve">    三维控股集团始建于1990年，</w:t>
            </w:r>
            <w:r>
              <w:rPr>
                <w:rFonts w:hint="eastAsia" w:asciiTheme="minorEastAsia" w:hAnsiTheme="minorEastAsia" w:cstheme="minorEastAsia"/>
                <w:b w:val="0"/>
                <w:bCs w:val="0"/>
                <w:kern w:val="2"/>
                <w:sz w:val="24"/>
                <w:szCs w:val="24"/>
                <w:lang w:val="en-US" w:eastAsia="zh-CN" w:bidi="ar"/>
              </w:rPr>
              <w:t>2016</w:t>
            </w:r>
            <w:r>
              <w:rPr>
                <w:rFonts w:hint="eastAsia" w:asciiTheme="minorEastAsia" w:hAnsiTheme="minorEastAsia" w:eastAsiaTheme="minorEastAsia" w:cstheme="minorEastAsia"/>
                <w:b w:val="0"/>
                <w:bCs w:val="0"/>
                <w:kern w:val="2"/>
                <w:sz w:val="24"/>
                <w:szCs w:val="24"/>
                <w:lang w:val="en-US" w:eastAsia="zh-CN" w:bidi="ar"/>
              </w:rPr>
              <w:t>年12月</w:t>
            </w:r>
            <w:r>
              <w:rPr>
                <w:rFonts w:hint="eastAsia" w:asciiTheme="minorEastAsia" w:hAnsiTheme="minorEastAsia" w:eastAsiaTheme="minorEastAsia" w:cstheme="minorEastAsia"/>
                <w:kern w:val="2"/>
                <w:sz w:val="24"/>
                <w:szCs w:val="24"/>
                <w:lang w:val="en-US" w:eastAsia="zh-CN" w:bidi="ar"/>
              </w:rPr>
              <w:t>在上海证券交易所上市</w:t>
            </w:r>
            <w:r>
              <w:rPr>
                <w:rFonts w:hint="eastAsia" w:asciiTheme="minorEastAsia" w:hAnsiTheme="minorEastAsia" w:eastAsiaTheme="minorEastAsia" w:cstheme="minorEastAsia"/>
                <w:sz w:val="24"/>
                <w:szCs w:val="24"/>
                <w:lang w:val="en-US" w:eastAsia="zh-CN"/>
              </w:rPr>
              <w:t>，上市时主要从事橡胶输送带、传动V带的研发、生产和销售；2019年以非公开发行股份购买资产的方式收购广西三维100%股权，增加轨道交通业务；2020年相继布局了热电联产项目、聚酯切片和工业涤纶丝项目；2022年公司开始投资建设化工新材料BDO一体化项目。</w:t>
            </w:r>
            <w:r>
              <w:rPr>
                <w:rFonts w:hint="eastAsia" w:asciiTheme="minorEastAsia" w:hAnsiTheme="minorEastAsia" w:eastAsiaTheme="minorEastAsia" w:cstheme="minorEastAsia"/>
                <w:kern w:val="2"/>
                <w:sz w:val="24"/>
                <w:szCs w:val="24"/>
                <w:lang w:val="en-US" w:eastAsia="zh-CN" w:bidi="ar"/>
              </w:rPr>
              <w:t>公司历经多年发展，坚定立足实体经济，锚定中国智造带来的新机遇，稳步推进多元化业务布局，现已形成“化工、交通”两大领域三大主业的业务格局。</w:t>
            </w:r>
          </w:p>
          <w:p w14:paraId="30FB66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sz w:val="24"/>
                <w:szCs w:val="24"/>
                <w:lang w:val="en-US" w:eastAsia="zh-CN"/>
              </w:rPr>
              <w:t>聚酯切片—涤纶工业丝—橡胶制品，配套热电联产，共同组成了公司橡胶化工业务，</w:t>
            </w:r>
            <w:r>
              <w:rPr>
                <w:rFonts w:hint="eastAsia" w:asciiTheme="minorEastAsia" w:hAnsiTheme="minorEastAsia" w:eastAsiaTheme="minorEastAsia" w:cstheme="minorEastAsia"/>
                <w:kern w:val="2"/>
                <w:sz w:val="24"/>
                <w:szCs w:val="24"/>
                <w:lang w:val="en-US" w:eastAsia="zh-CN" w:bidi="ar"/>
              </w:rPr>
              <w:t>公司是我国输送带及橡胶V带领域的龙头企业之一，拥有年产5000万㎡橡胶输送带、2亿Am橡胶普通V带、500万条汽车切边带、25万吨聚酯切片、10万吨涤纶工业丝等产能。</w:t>
            </w:r>
          </w:p>
          <w:p w14:paraId="123928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公司是我国专业化轨道交通预制品领域的省级高新技术企业，主营各型预应力混凝土轨枕、混凝土桥枕、岔枕、电容枕和地铁管片等产品，产品通过国家铁科院质检中心鉴定，是铁总公司指定的轨枕生产企业之一，公司先后在广西、广东、云南、四川、浙江等建立了多个生产基地，致力于高铁建设和城市地铁等项目的开拓发展。</w:t>
            </w:r>
          </w:p>
          <w:p w14:paraId="31CFA4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新材料化工业务已布局BDO及电石产能，</w:t>
            </w:r>
            <w:r>
              <w:rPr>
                <w:rFonts w:hint="eastAsia" w:asciiTheme="minorEastAsia" w:hAnsiTheme="minorEastAsia" w:eastAsiaTheme="minorEastAsia" w:cstheme="minorEastAsia"/>
                <w:kern w:val="2"/>
                <w:sz w:val="24"/>
                <w:szCs w:val="24"/>
                <w:lang w:val="en-US" w:eastAsia="zh-CN" w:bidi="ar"/>
              </w:rPr>
              <w:t>公司将向全球规模领先的BDO及可降解塑料一体化龙头企业目标奋进，公司在内蒙乌海低碳园区投资建设年产90万吨BDO及可降解塑料一体化项目，目前一期已建成投产，已形成30万吨/年BDO、36万吨/年电石产能，未来公司将进一步向上游拓展兰炭、绿电等产能，实现原料供给一体化，向下游拓展高端聚醚材料PTMEG、可降解塑料PBAT、电子化学品NMP等产品，产品线涵盖精细化工基础原料、生物降解材料、化工新材料等。</w:t>
            </w:r>
          </w:p>
          <w:p w14:paraId="41C713B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2、公司BDO一体化项目的核心竞争力分析</w:t>
            </w:r>
          </w:p>
          <w:p w14:paraId="00862B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sz w:val="24"/>
                <w:szCs w:val="24"/>
                <w:lang w:val="en-US" w:eastAsia="zh-CN"/>
              </w:rPr>
              <w:t>（1）规模及产业一体化优势：</w:t>
            </w:r>
            <w:r>
              <w:rPr>
                <w:rFonts w:hint="eastAsia" w:asciiTheme="minorEastAsia" w:hAnsiTheme="minorEastAsia" w:eastAsiaTheme="minorEastAsia" w:cstheme="minorEastAsia"/>
                <w:kern w:val="2"/>
                <w:sz w:val="24"/>
                <w:szCs w:val="24"/>
                <w:lang w:val="en-US" w:eastAsia="zh-CN" w:bidi="ar"/>
              </w:rPr>
              <w:t>未来BDO产业链的竞争中，一定是具有完整上下游产业链的企业更具有竞争能力和抗风险能力。本项目拟建设总规模为90万吨/年BDO（电石完全自给），配套120万吨/年电石装置，若完工建成，产能规模将达到国内前列。此外，公司拟向上延伸兰炭配套产能总规模200万吨/年（其中100万吨兰炭已取得能耗指标），向下拓展60万吨/年PBAT、30万吨/年PTMEG、10万吨/年GBL及5万吨/年NMP等下游新材料产能，有望形成“资源-材料-应用”全产业链闭环。公司在不同的经济周期或产品需求发生变化时，通过产业链的延伸，可及时调节，保障原料供应的充足、产品质量的稳定和公司效益的连续，获得了产业链增值价值。</w:t>
            </w:r>
          </w:p>
          <w:p w14:paraId="77CBC25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bCs/>
                <w:kern w:val="2"/>
                <w:sz w:val="24"/>
                <w:szCs w:val="24"/>
                <w:lang w:val="en-US" w:eastAsia="zh-CN" w:bidi="ar"/>
              </w:rPr>
              <w:t>电石及其原料兰炭的生产过程均具有高能耗、高排放的特点，新建产能的能耗指标需要国家发改委批复、国务院备案，新批项目已几乎不可能。内蒙古自治区发改委出台《关于修订&lt;确保完成“十四五”能耗双控目标任务若干保障措施&gt;的通知》规定：从2021年起，不再审批焦炭（兰炭）、电石、聚氯乙烯（PVC）、合成氨（尿素）等新增产能项目，确有必要建设的，须在区内实施产能和能耗减量置换。因此，在双碳目标下大化工行业壁垒进一步提高，产业政策限制进一步凸显BDO一体化项目价值。</w:t>
            </w:r>
          </w:p>
          <w:p w14:paraId="4DD655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bidi="ar"/>
              </w:rPr>
            </w:pPr>
            <w:r>
              <w:rPr>
                <w:rFonts w:hint="eastAsia" w:asciiTheme="minorEastAsia" w:hAnsiTheme="minorEastAsia" w:eastAsiaTheme="minorEastAsia" w:cstheme="minorEastAsia"/>
                <w:kern w:val="2"/>
                <w:sz w:val="24"/>
                <w:szCs w:val="24"/>
                <w:lang w:val="en-US" w:eastAsia="zh-CN" w:bidi="ar"/>
              </w:rPr>
              <w:t>（2）区位资源和成本优势</w:t>
            </w:r>
          </w:p>
          <w:p w14:paraId="08755A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乌海周边拥有丰富的煤炭、石灰石、电力等资源，在原材料采购、能源采购上具备天然的区位优势。此外在现有装置的基础上，公司持续采取一系列措施降本增效。公司污水处理系统实现零排放，并凭借智能制造布局获“2025年内蒙古自治区先进级智能工厂”称号；能源方面：公司配套了50兆瓦背压式发电机组实现热电联产，实施余热回收项目，节能降碳；工艺方面：在各流程环节寻找降本空间，比如催化剂回收、乙炔尾气回收、电石炉尾气制氢技改等，其中电石炉尾气制氢技改通过调整工艺方案，采用电石尾气制氢部分替代甲醇裂解制氢，节约甲醇采购。</w:t>
            </w:r>
          </w:p>
          <w:p w14:paraId="7A6BCC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未来公司还将通过兰炭项目深度将本，兰炭项目的优势在于1）兰炭本身是电石原材料，2）兰炭尾气和电石炉尾气耦合制氢气和甲醇，省却公司甲醇原料采购，大大降低BDO成本，3）兰炭副产物煤焦油具有较高经济价值。兰炭项目完成建设后，有望成为业内成本最具竞争力的企业之一。</w:t>
            </w:r>
          </w:p>
          <w:p w14:paraId="095F7D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（3）技术、管理等优势</w:t>
            </w:r>
          </w:p>
          <w:p w14:paraId="06A67F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采用香港冠达、庄信万丰、北京瑞思达、奥地利P&amp;P工业股份公司的废酸回收以及中元联合化学的乙快回收技术等多套较为先进的工艺技术，不但使装置的自动化程度、安全性能以及装置运行的稳定性、连续性大幅度提升的同时，还能使产品品质长期保持在较高水平，反应副产物较少，主产品收率高，更适宜高端下游产品使用，从品质上赢得市场。公司生产、管理团队行业经验丰富、成熟协作。</w:t>
            </w:r>
          </w:p>
          <w:p w14:paraId="033C806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3、下游应用领域介绍及开拓情况</w:t>
            </w:r>
          </w:p>
          <w:p w14:paraId="1CD6582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隆众资讯研报，2024年BDO总消费量约262万吨、出口21万吨，根据BDO下游新建产能趋势，预计2025-2029年对BDO消费量增量年均复合增长率为15%。目前，50%左右的应用领域是氨纶产业，保持平稳增长；空间最大的领域是可降解塑料推广带动的增长，其他应用领域还有车用工程塑料、</w:t>
            </w:r>
            <w:r>
              <w:rPr>
                <w:rFonts w:hint="eastAsia" w:asciiTheme="minorEastAsia" w:hAnsiTheme="minorEastAsia" w:cstheme="minorEastAsia"/>
                <w:color w:val="auto"/>
                <w:sz w:val="24"/>
                <w:szCs w:val="24"/>
                <w:lang w:val="en-US" w:eastAsia="zh-CN"/>
              </w:rPr>
              <w:t>锂电材料</w:t>
            </w:r>
            <w:r>
              <w:rPr>
                <w:rFonts w:hint="eastAsia" w:asciiTheme="minorEastAsia" w:hAnsiTheme="minorEastAsia" w:eastAsiaTheme="minorEastAsia" w:cstheme="minorEastAsia"/>
                <w:color w:val="auto"/>
                <w:sz w:val="24"/>
                <w:szCs w:val="24"/>
                <w:lang w:val="en-US" w:eastAsia="zh-CN"/>
              </w:rPr>
              <w:t>等</w:t>
            </w:r>
            <w:r>
              <w:rPr>
                <w:rFonts w:hint="eastAsia" w:asciiTheme="minorEastAsia" w:hAnsiTheme="minorEastAsia" w:eastAsiaTheme="minorEastAsia" w:cstheme="minorEastAsia"/>
                <w:sz w:val="24"/>
                <w:szCs w:val="24"/>
                <w:lang w:val="en-US" w:eastAsia="zh-CN"/>
              </w:rPr>
              <w:t>。</w:t>
            </w:r>
            <w:bookmarkStart w:id="0" w:name="_GoBack"/>
            <w:bookmarkEnd w:id="0"/>
          </w:p>
          <w:p w14:paraId="67B0BDC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随着国家限塑令、禁塑令等政策的持续推动，可降解塑料在食品包装、快递包装、农业地膜等领域加快推进。上海等地已明确提出依法禁止、限制使用一次性塑料制品，推动应用可循环、易回收、可降解的替代方案；我国快递业务量五年翻番，快递包装的绿色转型也在加快脚步，今年6月国务院发布《快递暂行条例》新规，推进快递包装绿色化、减量化、可循环，鼓励使用可降解、可重复利用的环保包装材料，并加大了企业不履行相关义务的处罚力度。2024年我国生物降解地膜累计年覆膜面积近300万亩，仅占农业地膜覆膜总面积的1%，生物降解地膜的推广能有效解决农田残膜污染问题。可降解塑料的推广带动BDO需求增长。</w:t>
            </w:r>
          </w:p>
          <w:p w14:paraId="527F90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lang w:val="en-US" w:eastAsia="zh-CN"/>
              </w:rPr>
              <w:t>公司持续拓展下游应用，目前公司下游客户涵盖了BDO行业主要下游领域，并持续开发新客户。同时，公司高度重视下游应用拓展，2025年3月，与乌海市科技局，中国工程院院士、大连理工大学教授蹇锡高签署三方合作协议，共建“院士联合创新中心”。蹇院士提出BDO改性生产合成橡胶及改性塑料等领域技术路线，为BDO应用到橡胶制品领域开辟广阔的想象空间。</w:t>
            </w:r>
          </w:p>
        </w:tc>
      </w:tr>
      <w:tr w14:paraId="2416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5" w:type="dxa"/>
            <w:vAlign w:val="center"/>
          </w:tcPr>
          <w:p w14:paraId="5A8789EF">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附件清单（如有）</w:t>
            </w:r>
          </w:p>
        </w:tc>
        <w:tc>
          <w:tcPr>
            <w:tcW w:w="6477" w:type="dxa"/>
          </w:tcPr>
          <w:p w14:paraId="7039C511">
            <w:pPr>
              <w:keepNext w:val="0"/>
              <w:keepLines w:val="0"/>
              <w:suppressLineNumbers w:val="0"/>
              <w:spacing w:before="0" w:beforeAutospacing="0" w:after="0" w:afterAutospacing="0" w:line="360" w:lineRule="auto"/>
              <w:ind w:left="0" w:right="0"/>
              <w:jc w:val="left"/>
              <w:rPr>
                <w:rFonts w:hint="default" w:asciiTheme="minorEastAsia" w:hAnsiTheme="minorEastAsia" w:cstheme="minorEastAsia"/>
                <w:kern w:val="0"/>
                <w:sz w:val="24"/>
              </w:rPr>
            </w:pPr>
            <w:r>
              <w:rPr>
                <w:rFonts w:hint="eastAsia" w:asciiTheme="minorEastAsia" w:hAnsiTheme="minorEastAsia" w:cstheme="minorEastAsia"/>
                <w:kern w:val="0"/>
                <w:sz w:val="24"/>
              </w:rPr>
              <w:t>无</w:t>
            </w:r>
          </w:p>
        </w:tc>
      </w:tr>
      <w:tr w14:paraId="43E1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5" w:type="dxa"/>
            <w:vAlign w:val="center"/>
          </w:tcPr>
          <w:p w14:paraId="4F64A8FC">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日期</w:t>
            </w:r>
          </w:p>
        </w:tc>
        <w:tc>
          <w:tcPr>
            <w:tcW w:w="6477" w:type="dxa"/>
          </w:tcPr>
          <w:p w14:paraId="46451E0F">
            <w:pPr>
              <w:keepNext w:val="0"/>
              <w:keepLines w:val="0"/>
              <w:suppressLineNumbers w:val="0"/>
              <w:spacing w:before="0" w:beforeAutospacing="0" w:after="0" w:afterAutospacing="0" w:line="360" w:lineRule="auto"/>
              <w:ind w:left="0" w:right="0"/>
              <w:jc w:val="left"/>
              <w:rPr>
                <w:rFonts w:hint="default" w:asciiTheme="minorEastAsia" w:hAnsiTheme="minorEastAsia" w:cstheme="minorEastAsia"/>
                <w:kern w:val="0"/>
                <w:sz w:val="24"/>
              </w:rPr>
            </w:pPr>
            <w:r>
              <w:rPr>
                <w:rFonts w:hint="eastAsia" w:asciiTheme="minorEastAsia" w:hAnsiTheme="minorEastAsia" w:cstheme="minorEastAsia"/>
                <w:kern w:val="0"/>
                <w:sz w:val="24"/>
              </w:rPr>
              <w:t>202</w:t>
            </w:r>
            <w:r>
              <w:rPr>
                <w:rFonts w:hint="eastAsia" w:asciiTheme="minorEastAsia" w:hAnsiTheme="minorEastAsia" w:cstheme="minorEastAsia"/>
                <w:kern w:val="0"/>
                <w:sz w:val="24"/>
                <w:lang w:val="en-US" w:eastAsia="zh-CN"/>
              </w:rPr>
              <w:t>5</w:t>
            </w:r>
            <w:r>
              <w:rPr>
                <w:rFonts w:hint="eastAsia" w:asciiTheme="minorEastAsia" w:hAnsiTheme="minorEastAsia" w:cstheme="minorEastAsia"/>
                <w:kern w:val="0"/>
                <w:sz w:val="24"/>
              </w:rPr>
              <w:t>年</w:t>
            </w:r>
            <w:r>
              <w:rPr>
                <w:rFonts w:hint="eastAsia" w:asciiTheme="minorEastAsia" w:hAnsiTheme="minorEastAsia" w:cstheme="minorEastAsia"/>
                <w:kern w:val="0"/>
                <w:sz w:val="24"/>
                <w:lang w:val="en-US" w:eastAsia="zh-CN"/>
              </w:rPr>
              <w:t>10</w:t>
            </w:r>
            <w:r>
              <w:rPr>
                <w:rFonts w:hint="eastAsia" w:asciiTheme="minorEastAsia" w:hAnsiTheme="minorEastAsia" w:cstheme="minorEastAsia"/>
                <w:kern w:val="0"/>
                <w:sz w:val="24"/>
              </w:rPr>
              <w:t>月</w:t>
            </w:r>
            <w:r>
              <w:rPr>
                <w:rFonts w:hint="eastAsia" w:asciiTheme="minorEastAsia" w:hAnsiTheme="minorEastAsia" w:cstheme="minorEastAsia"/>
                <w:kern w:val="0"/>
                <w:sz w:val="24"/>
                <w:lang w:val="en-US" w:eastAsia="zh-CN"/>
              </w:rPr>
              <w:t>15-16</w:t>
            </w:r>
            <w:r>
              <w:rPr>
                <w:rFonts w:hint="eastAsia" w:asciiTheme="minorEastAsia" w:hAnsiTheme="minorEastAsia" w:cstheme="minorEastAsia"/>
                <w:kern w:val="0"/>
                <w:sz w:val="24"/>
              </w:rPr>
              <w:t>日</w:t>
            </w:r>
          </w:p>
        </w:tc>
      </w:tr>
    </w:tbl>
    <w:p w14:paraId="0A2C9F63"/>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xNjEyNzYyODllOWIwNzNhMjAwODNlMDI2MTMyMDYifQ=="/>
  </w:docVars>
  <w:rsids>
    <w:rsidRoot w:val="00682F31"/>
    <w:rsid w:val="00012D47"/>
    <w:rsid w:val="00016474"/>
    <w:rsid w:val="00017459"/>
    <w:rsid w:val="00020DAB"/>
    <w:rsid w:val="00033933"/>
    <w:rsid w:val="00034316"/>
    <w:rsid w:val="00042493"/>
    <w:rsid w:val="00066762"/>
    <w:rsid w:val="000835B9"/>
    <w:rsid w:val="00083DB1"/>
    <w:rsid w:val="000B7072"/>
    <w:rsid w:val="000D7989"/>
    <w:rsid w:val="000F7B67"/>
    <w:rsid w:val="001029FD"/>
    <w:rsid w:val="00112696"/>
    <w:rsid w:val="001136FF"/>
    <w:rsid w:val="00130F57"/>
    <w:rsid w:val="00137EF2"/>
    <w:rsid w:val="00147CAC"/>
    <w:rsid w:val="0015227A"/>
    <w:rsid w:val="0015489F"/>
    <w:rsid w:val="0018424C"/>
    <w:rsid w:val="00197DFC"/>
    <w:rsid w:val="001C21DB"/>
    <w:rsid w:val="00203E1D"/>
    <w:rsid w:val="002620E1"/>
    <w:rsid w:val="00272C27"/>
    <w:rsid w:val="00272F85"/>
    <w:rsid w:val="002766B9"/>
    <w:rsid w:val="002A28A6"/>
    <w:rsid w:val="002C0C84"/>
    <w:rsid w:val="002C1A8A"/>
    <w:rsid w:val="002D1503"/>
    <w:rsid w:val="002F155B"/>
    <w:rsid w:val="0031758C"/>
    <w:rsid w:val="003176F9"/>
    <w:rsid w:val="003254FC"/>
    <w:rsid w:val="00335F30"/>
    <w:rsid w:val="00341F81"/>
    <w:rsid w:val="00342AD0"/>
    <w:rsid w:val="00343930"/>
    <w:rsid w:val="00356C0E"/>
    <w:rsid w:val="0037038B"/>
    <w:rsid w:val="003873C5"/>
    <w:rsid w:val="003A3E31"/>
    <w:rsid w:val="003C0A25"/>
    <w:rsid w:val="003D23C6"/>
    <w:rsid w:val="003D37F1"/>
    <w:rsid w:val="003D75F9"/>
    <w:rsid w:val="003E2AE7"/>
    <w:rsid w:val="003E3D0B"/>
    <w:rsid w:val="003F355B"/>
    <w:rsid w:val="00401314"/>
    <w:rsid w:val="00421F6C"/>
    <w:rsid w:val="004339E4"/>
    <w:rsid w:val="004413E8"/>
    <w:rsid w:val="0046159D"/>
    <w:rsid w:val="004615DC"/>
    <w:rsid w:val="004620CC"/>
    <w:rsid w:val="004761A2"/>
    <w:rsid w:val="004819C6"/>
    <w:rsid w:val="00483944"/>
    <w:rsid w:val="00496117"/>
    <w:rsid w:val="00496429"/>
    <w:rsid w:val="004A7273"/>
    <w:rsid w:val="004D29A5"/>
    <w:rsid w:val="0050213F"/>
    <w:rsid w:val="005131A3"/>
    <w:rsid w:val="0052378A"/>
    <w:rsid w:val="00524D07"/>
    <w:rsid w:val="005540A6"/>
    <w:rsid w:val="005705C7"/>
    <w:rsid w:val="00581225"/>
    <w:rsid w:val="005B3669"/>
    <w:rsid w:val="005B5071"/>
    <w:rsid w:val="005C0232"/>
    <w:rsid w:val="005C3EAD"/>
    <w:rsid w:val="005D4BC8"/>
    <w:rsid w:val="005F187D"/>
    <w:rsid w:val="005F3BBD"/>
    <w:rsid w:val="005F3D84"/>
    <w:rsid w:val="0060105B"/>
    <w:rsid w:val="00613134"/>
    <w:rsid w:val="006248B5"/>
    <w:rsid w:val="00641064"/>
    <w:rsid w:val="0065286F"/>
    <w:rsid w:val="00666B08"/>
    <w:rsid w:val="00682F31"/>
    <w:rsid w:val="006B1C4A"/>
    <w:rsid w:val="006C7B29"/>
    <w:rsid w:val="006E1895"/>
    <w:rsid w:val="006E66B3"/>
    <w:rsid w:val="006F23FE"/>
    <w:rsid w:val="00705716"/>
    <w:rsid w:val="00717965"/>
    <w:rsid w:val="00755653"/>
    <w:rsid w:val="00767BAE"/>
    <w:rsid w:val="007C56AC"/>
    <w:rsid w:val="007E7AC6"/>
    <w:rsid w:val="008164C1"/>
    <w:rsid w:val="008350AD"/>
    <w:rsid w:val="008404F1"/>
    <w:rsid w:val="00842357"/>
    <w:rsid w:val="00846A4D"/>
    <w:rsid w:val="00852180"/>
    <w:rsid w:val="00881A58"/>
    <w:rsid w:val="008B50D4"/>
    <w:rsid w:val="008C3900"/>
    <w:rsid w:val="008C7972"/>
    <w:rsid w:val="008D0D81"/>
    <w:rsid w:val="008F23C3"/>
    <w:rsid w:val="009305EC"/>
    <w:rsid w:val="00940A18"/>
    <w:rsid w:val="0094124B"/>
    <w:rsid w:val="00955DAA"/>
    <w:rsid w:val="00977B78"/>
    <w:rsid w:val="00984D66"/>
    <w:rsid w:val="009E118B"/>
    <w:rsid w:val="009E5302"/>
    <w:rsid w:val="009E6481"/>
    <w:rsid w:val="009E7C4C"/>
    <w:rsid w:val="009F4437"/>
    <w:rsid w:val="00A00A6F"/>
    <w:rsid w:val="00A36DDB"/>
    <w:rsid w:val="00A51613"/>
    <w:rsid w:val="00A544EB"/>
    <w:rsid w:val="00A55A44"/>
    <w:rsid w:val="00A66AC3"/>
    <w:rsid w:val="00A7266C"/>
    <w:rsid w:val="00A74983"/>
    <w:rsid w:val="00A8593A"/>
    <w:rsid w:val="00A90910"/>
    <w:rsid w:val="00A95F2F"/>
    <w:rsid w:val="00AE1494"/>
    <w:rsid w:val="00AF6965"/>
    <w:rsid w:val="00B10EF4"/>
    <w:rsid w:val="00B14588"/>
    <w:rsid w:val="00B24BDB"/>
    <w:rsid w:val="00B312BE"/>
    <w:rsid w:val="00B4097C"/>
    <w:rsid w:val="00B640A8"/>
    <w:rsid w:val="00B65D8C"/>
    <w:rsid w:val="00B737AD"/>
    <w:rsid w:val="00B8180D"/>
    <w:rsid w:val="00B95238"/>
    <w:rsid w:val="00BA1F3B"/>
    <w:rsid w:val="00BB4A22"/>
    <w:rsid w:val="00BC6381"/>
    <w:rsid w:val="00BD55A7"/>
    <w:rsid w:val="00BF2666"/>
    <w:rsid w:val="00C2744A"/>
    <w:rsid w:val="00C45902"/>
    <w:rsid w:val="00C56354"/>
    <w:rsid w:val="00C66A03"/>
    <w:rsid w:val="00C70187"/>
    <w:rsid w:val="00C746C1"/>
    <w:rsid w:val="00CB59FE"/>
    <w:rsid w:val="00D0003E"/>
    <w:rsid w:val="00D12A4F"/>
    <w:rsid w:val="00D25B9D"/>
    <w:rsid w:val="00D3397B"/>
    <w:rsid w:val="00D45569"/>
    <w:rsid w:val="00D52234"/>
    <w:rsid w:val="00D54971"/>
    <w:rsid w:val="00D6469C"/>
    <w:rsid w:val="00DB3C83"/>
    <w:rsid w:val="00DC7F7A"/>
    <w:rsid w:val="00DD226D"/>
    <w:rsid w:val="00E14961"/>
    <w:rsid w:val="00E24041"/>
    <w:rsid w:val="00E667F8"/>
    <w:rsid w:val="00E679A9"/>
    <w:rsid w:val="00E81256"/>
    <w:rsid w:val="00E813CA"/>
    <w:rsid w:val="00E9697C"/>
    <w:rsid w:val="00EA2866"/>
    <w:rsid w:val="00EC1742"/>
    <w:rsid w:val="00EC545C"/>
    <w:rsid w:val="00EC6825"/>
    <w:rsid w:val="00F1391B"/>
    <w:rsid w:val="00F16C96"/>
    <w:rsid w:val="00F4160B"/>
    <w:rsid w:val="00F501B8"/>
    <w:rsid w:val="00F85CB6"/>
    <w:rsid w:val="00F9106B"/>
    <w:rsid w:val="00FB23DE"/>
    <w:rsid w:val="0353342F"/>
    <w:rsid w:val="046A25CD"/>
    <w:rsid w:val="0C012D8F"/>
    <w:rsid w:val="0C7A6D8D"/>
    <w:rsid w:val="0D0F131E"/>
    <w:rsid w:val="0D912286"/>
    <w:rsid w:val="103E2346"/>
    <w:rsid w:val="12883727"/>
    <w:rsid w:val="14800DBF"/>
    <w:rsid w:val="14C16EC3"/>
    <w:rsid w:val="14F81DCF"/>
    <w:rsid w:val="15590953"/>
    <w:rsid w:val="16016B48"/>
    <w:rsid w:val="174238E7"/>
    <w:rsid w:val="174628D3"/>
    <w:rsid w:val="18607424"/>
    <w:rsid w:val="1E0E0231"/>
    <w:rsid w:val="1EAB168B"/>
    <w:rsid w:val="2298569F"/>
    <w:rsid w:val="230B2896"/>
    <w:rsid w:val="234C5ED9"/>
    <w:rsid w:val="23E80DC5"/>
    <w:rsid w:val="2872353B"/>
    <w:rsid w:val="29D05CC2"/>
    <w:rsid w:val="2AF13AB4"/>
    <w:rsid w:val="2BF37A45"/>
    <w:rsid w:val="2EB6442C"/>
    <w:rsid w:val="2F8E2741"/>
    <w:rsid w:val="32C53982"/>
    <w:rsid w:val="333D0DFF"/>
    <w:rsid w:val="33E7446D"/>
    <w:rsid w:val="3A7975FB"/>
    <w:rsid w:val="3B9F2782"/>
    <w:rsid w:val="3D6E7B38"/>
    <w:rsid w:val="3DD61D33"/>
    <w:rsid w:val="3EE161E9"/>
    <w:rsid w:val="40EA5463"/>
    <w:rsid w:val="418D0338"/>
    <w:rsid w:val="421B6045"/>
    <w:rsid w:val="4269670B"/>
    <w:rsid w:val="42D1094E"/>
    <w:rsid w:val="42FB1252"/>
    <w:rsid w:val="47782CC2"/>
    <w:rsid w:val="47A31488"/>
    <w:rsid w:val="4A6320FC"/>
    <w:rsid w:val="4C531F86"/>
    <w:rsid w:val="4CBA771C"/>
    <w:rsid w:val="4DFA27BC"/>
    <w:rsid w:val="51373C68"/>
    <w:rsid w:val="518F24E8"/>
    <w:rsid w:val="51C01E3C"/>
    <w:rsid w:val="53FA37B7"/>
    <w:rsid w:val="54700B18"/>
    <w:rsid w:val="55592280"/>
    <w:rsid w:val="5B3F0B5A"/>
    <w:rsid w:val="639367E6"/>
    <w:rsid w:val="64BF61A9"/>
    <w:rsid w:val="676B3662"/>
    <w:rsid w:val="6D100BEE"/>
    <w:rsid w:val="6D2B0F5F"/>
    <w:rsid w:val="71C55295"/>
    <w:rsid w:val="73FA6D7A"/>
    <w:rsid w:val="74DF0F4C"/>
    <w:rsid w:val="75A5314B"/>
    <w:rsid w:val="76074109"/>
    <w:rsid w:val="76C4765F"/>
    <w:rsid w:val="78620369"/>
    <w:rsid w:val="7ABB7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sz w:val="24"/>
      <w:szCs w:val="24"/>
      <w:lang w:val="en-US" w:eastAsia="en-US" w:bidi="ar-SA"/>
    </w:r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 w:type="paragraph" w:customStyle="1" w:styleId="12">
    <w:name w:val="_Style 107"/>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2528</Words>
  <Characters>2681</Characters>
  <Lines>9</Lines>
  <Paragraphs>2</Paragraphs>
  <TotalTime>17</TotalTime>
  <ScaleCrop>false</ScaleCrop>
  <LinksUpToDate>false</LinksUpToDate>
  <CharactersWithSpaces>2732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2021-09-09T06:49:00Z</dcterms:created>
  <dc:creator>admin</dc:creator>
  <cp:lastModifiedBy>南方</cp:lastModifiedBy>
  <dcterms:modified xsi:type="dcterms:W3CDTF">2025-10-19T03:13:14Z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2CF16B7666374A9497BA5C2B90ECB633</vt:lpwstr>
  </property>
  <property fmtid="{D5CDD505-2E9C-101B-9397-08002B2CF9AE}" pid="4" name="KSOTemplateDocerSaveRecord">
    <vt:lpwstr>eyJoZGlkIjoiNjZhYTI5Y2E5MWJiMWNjOWJkNTM3YzJhMGE0NzEwNzUiLCJ1c2VySWQiOiIyODM3MDc4MDgifQ==</vt:lpwstr>
  </property>
</Properties>
</file>