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3DB7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黑龙江天有为电子股份有限公司</w:t>
      </w:r>
    </w:p>
    <w:p w14:paraId="00FBE4AE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投资者关系活动记录表</w:t>
      </w:r>
    </w:p>
    <w:p w14:paraId="49677F1B">
      <w:pPr>
        <w:ind w:firstLine="241" w:firstLineChars="100"/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t>证券简称：天有为</w:t>
      </w:r>
      <w:r>
        <w:rPr>
          <w:b/>
          <w:bCs/>
          <w:szCs w:val="24"/>
        </w:rPr>
        <w:t xml:space="preserve"> </w:t>
      </w:r>
      <w:r>
        <w:rPr>
          <w:rFonts w:hint="eastAsia"/>
          <w:b/>
          <w:bCs/>
          <w:szCs w:val="24"/>
        </w:rPr>
        <w:t xml:space="preserve">    </w:t>
      </w:r>
      <w:r>
        <w:rPr>
          <w:b/>
          <w:bCs/>
          <w:szCs w:val="24"/>
        </w:rPr>
        <w:t xml:space="preserve">  </w:t>
      </w:r>
      <w:r>
        <w:rPr>
          <w:rFonts w:hint="eastAsia"/>
          <w:b/>
          <w:bCs/>
          <w:szCs w:val="24"/>
        </w:rPr>
        <w:t>证券代码：603202</w:t>
      </w:r>
      <w:r>
        <w:rPr>
          <w:b/>
          <w:bCs/>
          <w:szCs w:val="24"/>
        </w:rPr>
        <w:t xml:space="preserve"> </w:t>
      </w:r>
      <w:r>
        <w:rPr>
          <w:rFonts w:hint="eastAsia"/>
          <w:b/>
          <w:bCs/>
          <w:szCs w:val="24"/>
        </w:rPr>
        <w:t xml:space="preserve">       </w:t>
      </w:r>
      <w:r>
        <w:rPr>
          <w:b/>
          <w:bCs/>
          <w:szCs w:val="24"/>
        </w:rPr>
        <w:t xml:space="preserve">    </w:t>
      </w:r>
      <w:r>
        <w:rPr>
          <w:rFonts w:hint="eastAsia"/>
          <w:b/>
          <w:bCs/>
          <w:szCs w:val="24"/>
        </w:rPr>
        <w:t>编号：2025-006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6751"/>
      </w:tblGrid>
      <w:tr w14:paraId="0BBA3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pct"/>
            <w:vAlign w:val="center"/>
          </w:tcPr>
          <w:p w14:paraId="1B5C188D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投资者关系活动类别</w:t>
            </w:r>
          </w:p>
        </w:tc>
        <w:tc>
          <w:tcPr>
            <w:tcW w:w="3961" w:type="pct"/>
          </w:tcPr>
          <w:p w14:paraId="601D821C">
            <w:pPr>
              <w:spacing w:line="360" w:lineRule="auto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□特定对象调研 </w:t>
            </w:r>
            <w:r>
              <w:rPr>
                <w:rFonts w:ascii="宋体" w:hAnsi="宋体"/>
                <w:szCs w:val="24"/>
              </w:rPr>
              <w:t xml:space="preserve">   </w:t>
            </w:r>
            <w:r>
              <w:rPr>
                <w:rFonts w:hint="eastAsia" w:ascii="宋体" w:hAnsi="宋体"/>
                <w:szCs w:val="24"/>
              </w:rPr>
              <w:t>□分析师会议</w:t>
            </w:r>
          </w:p>
          <w:p w14:paraId="49709E3F">
            <w:pPr>
              <w:spacing w:line="360" w:lineRule="auto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□媒体采访 </w:t>
            </w:r>
            <w:r>
              <w:rPr>
                <w:rFonts w:ascii="宋体" w:hAnsi="宋体"/>
                <w:szCs w:val="24"/>
              </w:rPr>
              <w:t xml:space="preserve">       </w:t>
            </w:r>
            <w:r>
              <w:rPr>
                <w:rFonts w:hint="eastAsia" w:ascii="宋体" w:hAnsi="宋体"/>
                <w:szCs w:val="24"/>
              </w:rPr>
              <w:t>☑业绩说明会</w:t>
            </w:r>
          </w:p>
          <w:p w14:paraId="53A8CB61">
            <w:pPr>
              <w:spacing w:line="360" w:lineRule="auto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□新闻发布会 </w:t>
            </w:r>
            <w:r>
              <w:rPr>
                <w:rFonts w:ascii="宋体" w:hAnsi="宋体"/>
                <w:szCs w:val="24"/>
              </w:rPr>
              <w:t xml:space="preserve">     </w:t>
            </w:r>
            <w:r>
              <w:rPr>
                <w:rFonts w:hint="eastAsia" w:ascii="宋体" w:hAnsi="宋体"/>
                <w:szCs w:val="24"/>
              </w:rPr>
              <w:t>□路演活动</w:t>
            </w:r>
          </w:p>
          <w:p w14:paraId="66D3FB07">
            <w:pPr>
              <w:spacing w:line="360" w:lineRule="auto"/>
              <w:rPr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□现场参观□其他（</w:t>
            </w:r>
            <w:r>
              <w:rPr>
                <w:rFonts w:hint="eastAsia" w:ascii="宋体" w:hAnsi="宋体"/>
                <w:szCs w:val="24"/>
                <w:u w:val="thick"/>
              </w:rPr>
              <w:t>请文字说明其他活动内容</w:t>
            </w:r>
            <w:r>
              <w:rPr>
                <w:rFonts w:hint="eastAsia" w:ascii="宋体" w:hAnsi="宋体"/>
                <w:szCs w:val="24"/>
              </w:rPr>
              <w:t>）</w:t>
            </w:r>
          </w:p>
        </w:tc>
      </w:tr>
      <w:tr w14:paraId="64031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39" w:type="pct"/>
            <w:vAlign w:val="center"/>
          </w:tcPr>
          <w:p w14:paraId="5F35790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参会人员</w:t>
            </w:r>
          </w:p>
        </w:tc>
        <w:tc>
          <w:tcPr>
            <w:tcW w:w="3961" w:type="pct"/>
            <w:vAlign w:val="center"/>
          </w:tcPr>
          <w:p w14:paraId="30FCB7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bidi="ar"/>
              </w:rPr>
              <w:t>线上参与公司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4"/>
                <w:lang w:bidi="ar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  <w:lang w:bidi="ar"/>
              </w:rPr>
              <w:t>025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  <w:lang w:bidi="ar"/>
              </w:rPr>
              <w:t>年半年度业绩说明会的投资者</w:t>
            </w:r>
          </w:p>
        </w:tc>
      </w:tr>
      <w:tr w14:paraId="078D9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39" w:type="pct"/>
            <w:vAlign w:val="center"/>
          </w:tcPr>
          <w:p w14:paraId="09C6063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时    间</w:t>
            </w:r>
          </w:p>
        </w:tc>
        <w:tc>
          <w:tcPr>
            <w:tcW w:w="3961" w:type="pct"/>
            <w:vAlign w:val="center"/>
          </w:tcPr>
          <w:p w14:paraId="1E55659E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2025年10月20日（周一）10:00-11:00</w:t>
            </w:r>
          </w:p>
        </w:tc>
      </w:tr>
      <w:tr w14:paraId="1BC9A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pct"/>
            <w:vAlign w:val="center"/>
          </w:tcPr>
          <w:p w14:paraId="56DCC634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地点/方式</w:t>
            </w:r>
          </w:p>
        </w:tc>
        <w:tc>
          <w:tcPr>
            <w:tcW w:w="3961" w:type="pct"/>
          </w:tcPr>
          <w:p w14:paraId="4C50A06D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上证路演中心</w:t>
            </w:r>
            <w:r>
              <w:rPr>
                <w:rFonts w:hint="default" w:ascii="Times New Roman" w:hAnsi="Times New Roman" w:cs="Times New Roman"/>
                <w:bCs/>
              </w:rPr>
              <w:t xml:space="preserve"> </w:t>
            </w:r>
            <w:r>
              <w:rPr>
                <w:rStyle w:val="9"/>
                <w:rFonts w:hint="default" w:ascii="Times New Roman" w:hAnsi="Times New Roman" w:cs="Times New Roman"/>
                <w:bCs/>
              </w:rPr>
              <w:t>https://roadshow.sseinfo.com</w:t>
            </w:r>
          </w:p>
          <w:p w14:paraId="5DDCAE84">
            <w:pPr>
              <w:rPr>
                <w:szCs w:val="24"/>
              </w:rPr>
            </w:pPr>
            <w:r>
              <w:rPr>
                <w:rFonts w:hint="eastAsia" w:ascii="宋体" w:hAnsi="宋体"/>
                <w:bCs/>
              </w:rPr>
              <w:t>网络文字互动</w:t>
            </w:r>
          </w:p>
        </w:tc>
      </w:tr>
      <w:tr w14:paraId="6E82E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pct"/>
            <w:vAlign w:val="center"/>
          </w:tcPr>
          <w:p w14:paraId="20E7DE9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上市公司接待人员姓名</w:t>
            </w:r>
          </w:p>
        </w:tc>
        <w:tc>
          <w:tcPr>
            <w:tcW w:w="3961" w:type="pct"/>
          </w:tcPr>
          <w:p w14:paraId="5D204BDB">
            <w:pPr>
              <w:jc w:val="left"/>
              <w:rPr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董事长王文博先生，董事、总经理吕冬芳女士，独立董事王栋先生、刘志伟先生，董事会秘书张智先生，财务负责人于洪波先生。</w:t>
            </w:r>
          </w:p>
        </w:tc>
      </w:tr>
      <w:tr w14:paraId="31FF8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86" w:hRule="atLeast"/>
        </w:trPr>
        <w:tc>
          <w:tcPr>
            <w:tcW w:w="1039" w:type="pct"/>
            <w:vAlign w:val="center"/>
          </w:tcPr>
          <w:p w14:paraId="16493B7B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投资者关系活动主要内容介绍</w:t>
            </w:r>
          </w:p>
        </w:tc>
        <w:tc>
          <w:tcPr>
            <w:tcW w:w="3961" w:type="pct"/>
          </w:tcPr>
          <w:p w14:paraId="7089214A">
            <w:pPr>
              <w:widowControl/>
              <w:ind w:firstLine="480" w:firstLineChars="200"/>
              <w:rPr>
                <w:rFonts w:cs="Times New Roman"/>
              </w:rPr>
            </w:pPr>
            <w:r>
              <w:rPr>
                <w:rFonts w:cs="Times New Roman"/>
                <w:color w:val="000000"/>
                <w:kern w:val="0"/>
                <w:szCs w:val="24"/>
                <w:lang w:bidi="ar"/>
              </w:rPr>
              <w:t xml:space="preserve">公司于2025年10 月20日（周一）召开2025 年半年度业绩说明会。本次业绩说明会采取网络文字互动形式召开。完整交流内容请见上证路演中心网站。 </w:t>
            </w:r>
          </w:p>
          <w:p w14:paraId="614B8186">
            <w:pPr>
              <w:widowControl/>
              <w:ind w:firstLine="480" w:firstLineChars="20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  <w:lang w:bidi="ar"/>
              </w:rPr>
              <w:t>主要交流内容如下：</w:t>
            </w:r>
          </w:p>
          <w:p w14:paraId="661D1650">
            <w:pPr>
              <w:ind w:firstLine="482" w:firstLineChars="200"/>
              <w:rPr>
                <w:rFonts w:cs="Times New Roman"/>
                <w:b/>
              </w:rPr>
            </w:pPr>
            <w:r>
              <w:rPr>
                <w:rFonts w:hint="eastAsia" w:cs="Times New Roman"/>
                <w:b/>
              </w:rPr>
              <w:t>问题</w:t>
            </w:r>
            <w:r>
              <w:rPr>
                <w:rFonts w:cs="Times New Roman"/>
                <w:b/>
              </w:rPr>
              <w:t>1</w:t>
            </w:r>
            <w:r>
              <w:rPr>
                <w:rFonts w:hint="eastAsia" w:cs="Times New Roman"/>
                <w:b/>
              </w:rPr>
              <w:t>：</w:t>
            </w:r>
            <w:r>
              <w:rPr>
                <w:rFonts w:cs="Times New Roman"/>
                <w:b/>
              </w:rPr>
              <w:t>公司今年利润分配有什么打算？</w:t>
            </w:r>
          </w:p>
          <w:p w14:paraId="7645B1B9">
            <w:pPr>
              <w:ind w:firstLine="480" w:firstLineChars="200"/>
              <w:rPr>
                <w:rFonts w:cs="Times New Roman"/>
              </w:rPr>
            </w:pPr>
            <w:r>
              <w:rPr>
                <w:rFonts w:cs="Times New Roman"/>
              </w:rPr>
              <w:t>尊敬的投资者，您好</w:t>
            </w:r>
            <w:r>
              <w:rPr>
                <w:rFonts w:hint="eastAsia" w:cs="Times New Roman"/>
                <w:lang w:eastAsia="zh-CN"/>
              </w:rPr>
              <w:t>！</w:t>
            </w:r>
            <w:r>
              <w:rPr>
                <w:rFonts w:cs="Times New Roman"/>
              </w:rPr>
              <w:t>公司将在满足正常经营的基础上，以当期利润为基础，编制利润分配方案，力争保持利润分配政策的连续性和稳定性，积极采取以现金为主的分红方式</w:t>
            </w:r>
            <w:r>
              <w:rPr>
                <w:rFonts w:hint="eastAsia" w:cs="Times New Roman"/>
                <w:lang w:eastAsia="zh-CN"/>
              </w:rPr>
              <w:t>，</w:t>
            </w:r>
            <w:r>
              <w:rPr>
                <w:rFonts w:cs="Times New Roman"/>
              </w:rPr>
              <w:t>将公司经营效益回馈投资者，维护公司价值及股东权益。感谢您对公司的关注</w:t>
            </w:r>
            <w:r>
              <w:rPr>
                <w:rFonts w:hint="eastAsia" w:cs="Times New Roman"/>
                <w:lang w:eastAsia="zh-CN"/>
              </w:rPr>
              <w:t>！</w:t>
            </w:r>
          </w:p>
          <w:p w14:paraId="154FD5E1">
            <w:pPr>
              <w:ind w:firstLine="482" w:firstLineChars="200"/>
              <w:rPr>
                <w:rFonts w:cs="Times New Roman"/>
              </w:rPr>
            </w:pPr>
            <w:r>
              <w:rPr>
                <w:rFonts w:hint="eastAsia" w:cs="Times New Roman"/>
                <w:b/>
              </w:rPr>
              <w:t>问题</w:t>
            </w:r>
            <w:r>
              <w:rPr>
                <w:rFonts w:cs="Times New Roman"/>
                <w:b/>
              </w:rPr>
              <w:t>2</w:t>
            </w:r>
            <w:r>
              <w:rPr>
                <w:rFonts w:hint="eastAsia" w:cs="Times New Roman"/>
                <w:b/>
              </w:rPr>
              <w:t>：</w:t>
            </w:r>
            <w:r>
              <w:rPr>
                <w:rFonts w:cs="Times New Roman"/>
                <w:b/>
              </w:rPr>
              <w:t>请问中美关税战，对贵公司的营收以及利润，有什么影响吗？</w:t>
            </w:r>
          </w:p>
          <w:p w14:paraId="79A7CA63">
            <w:pPr>
              <w:ind w:firstLine="480" w:firstLineChars="200"/>
              <w:rPr>
                <w:rFonts w:cs="Times New Roman"/>
              </w:rPr>
            </w:pPr>
            <w:r>
              <w:rPr>
                <w:rFonts w:cs="Times New Roman"/>
              </w:rPr>
              <w:t>尊敬的投资者，您好！公司将持续关注全球贸易政策动态，并通过优化客户结构、加快国际化布局等措施提升抗风险能力。未来若有重大影响，公司将依法及时履行披露义务。感谢您对公司的关注！</w:t>
            </w:r>
          </w:p>
          <w:p w14:paraId="24672C72">
            <w:pPr>
              <w:ind w:firstLine="482" w:firstLineChars="200"/>
              <w:rPr>
                <w:rFonts w:cs="Times New Roman"/>
              </w:rPr>
            </w:pPr>
            <w:r>
              <w:rPr>
                <w:rFonts w:hint="eastAsia" w:cs="Times New Roman"/>
                <w:b/>
              </w:rPr>
              <w:t>问题</w:t>
            </w:r>
            <w:r>
              <w:rPr>
                <w:rFonts w:cs="Times New Roman"/>
                <w:b/>
              </w:rPr>
              <w:t>3</w:t>
            </w:r>
            <w:r>
              <w:rPr>
                <w:rFonts w:hint="eastAsia" w:cs="Times New Roman"/>
                <w:b/>
              </w:rPr>
              <w:t>：</w:t>
            </w:r>
            <w:r>
              <w:rPr>
                <w:rFonts w:cs="Times New Roman"/>
                <w:b/>
              </w:rPr>
              <w:t>公司股价目前濒临破发，近两年上市新股罕见破发。上市前高速增长透支了股价，投资者担忧业绩增长的可持续性问题。募投项目是否有订单支持？</w:t>
            </w:r>
          </w:p>
          <w:p w14:paraId="4B586F9B">
            <w:pPr>
              <w:ind w:firstLine="480" w:firstLineChars="200"/>
              <w:rPr>
                <w:rFonts w:cs="Times New Roman"/>
              </w:rPr>
            </w:pPr>
            <w:r>
              <w:rPr>
                <w:rFonts w:cs="Times New Roman"/>
              </w:rPr>
              <w:t>尊敬的投资者您好，公司生产经营工作一切正常开展，业务稳步推进。股价波动受宏观经济环境、市场形势、投资者情绪等多种因素影响，敬请理性看待并注意投资风险。公司将及时履行信息披露义务，相关募投项目会在定期报告及相关公告中披露。公司管理层对公司发展充满信心，公司将持续做好自身生产经营和发展工作，保持公司的健康发展，谢谢！</w:t>
            </w:r>
          </w:p>
          <w:p w14:paraId="775F0E4A">
            <w:pPr>
              <w:ind w:firstLine="482" w:firstLineChars="200"/>
              <w:rPr>
                <w:rFonts w:cs="Times New Roman"/>
              </w:rPr>
            </w:pPr>
            <w:r>
              <w:rPr>
                <w:rFonts w:hint="eastAsia" w:cs="Times New Roman"/>
                <w:b/>
              </w:rPr>
              <w:t>问题</w:t>
            </w:r>
            <w:r>
              <w:rPr>
                <w:rFonts w:cs="Times New Roman"/>
                <w:b/>
              </w:rPr>
              <w:t>4</w:t>
            </w:r>
            <w:r>
              <w:rPr>
                <w:rFonts w:hint="eastAsia" w:cs="Times New Roman"/>
                <w:b/>
              </w:rPr>
              <w:t>：</w:t>
            </w:r>
            <w:r>
              <w:rPr>
                <w:rFonts w:cs="Times New Roman"/>
                <w:b/>
              </w:rPr>
              <w:t>请问股价这么低，有这么多的现金，不考虑回购吗？</w:t>
            </w:r>
          </w:p>
          <w:p w14:paraId="0B8E07E0">
            <w:pPr>
              <w:ind w:firstLine="480" w:firstLineChars="200"/>
              <w:rPr>
                <w:rFonts w:cs="Times New Roman"/>
              </w:rPr>
            </w:pPr>
            <w:r>
              <w:rPr>
                <w:rFonts w:cs="Times New Roman"/>
              </w:rPr>
              <w:t>尊敬的投资者，您好！感谢您的提问。公司始终高度重视股东回报，并严格遵守信息披露法规。关于股票回购事宜，公司会基于市场环境、现金流状况及业务发展需求，在符合相关规定的前提下审慎评估。目前，公司已公开披露了2024年度利润分配方案，每10股派发现金24.9元（含税），以及2025年半年度利润分配方案，每股派发现金红利1.00元（含税）。同时，公司通过现金管理优化资金使用效率，相关操作已履行审议程序并公告。未来如有回购等重大决策，公司将严格按照法律法规要求及时履行信息披露义务。感谢您对公司的关注！</w:t>
            </w:r>
          </w:p>
          <w:p w14:paraId="429CAEDE">
            <w:pPr>
              <w:ind w:firstLine="482" w:firstLineChars="200"/>
              <w:rPr>
                <w:rFonts w:cs="Times New Roman"/>
              </w:rPr>
            </w:pPr>
            <w:r>
              <w:rPr>
                <w:rFonts w:hint="eastAsia" w:cs="Times New Roman"/>
                <w:b/>
              </w:rPr>
              <w:t>问题</w:t>
            </w:r>
            <w:r>
              <w:rPr>
                <w:rFonts w:cs="Times New Roman"/>
                <w:b/>
              </w:rPr>
              <w:t>5</w:t>
            </w:r>
            <w:r>
              <w:rPr>
                <w:rFonts w:hint="eastAsia" w:cs="Times New Roman"/>
                <w:b/>
              </w:rPr>
              <w:t>：</w:t>
            </w:r>
            <w:r>
              <w:rPr>
                <w:rFonts w:cs="Times New Roman"/>
                <w:b/>
              </w:rPr>
              <w:t>请问公司今年大量招聘机器人相关人才，是有这方面的规划吗</w:t>
            </w:r>
            <w:r>
              <w:rPr>
                <w:rFonts w:hint="eastAsia" w:cs="Times New Roman"/>
                <w:b/>
              </w:rPr>
              <w:t>？</w:t>
            </w:r>
          </w:p>
          <w:p w14:paraId="4F125634">
            <w:pPr>
              <w:ind w:firstLine="480" w:firstLineChars="200"/>
              <w:rPr>
                <w:rFonts w:cs="Times New Roman"/>
              </w:rPr>
            </w:pPr>
            <w:r>
              <w:rPr>
                <w:rFonts w:cs="Times New Roman"/>
              </w:rPr>
              <w:t>尊敬的投资者，您好！公司始终聚焦行业技术发展趋势，开展前瞻性研发，积极拥抱新兴领域和新兴行业的发展，以保证公司的可持续增长。</w:t>
            </w:r>
          </w:p>
          <w:p w14:paraId="376EF7B3">
            <w:pPr>
              <w:ind w:firstLine="482" w:firstLineChars="200"/>
              <w:rPr>
                <w:rFonts w:hint="eastAsia" w:cs="Times New Roman"/>
                <w:b/>
                <w:bCs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>问题6：二季度的营业收入同比出现较大下降，三季度是否扭转这种同比下滑的情况，公司后续业绩增长的空间在哪里？</w:t>
            </w:r>
          </w:p>
          <w:p w14:paraId="29CAF0F9">
            <w:pPr>
              <w:ind w:firstLine="480" w:firstLineChars="200"/>
              <w:rPr>
                <w:rFonts w:hint="default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2025年1-6月，公司实现营业收入202,943.58万元，同比略有下降0.49%，公司管理层紧紧围绕公司发展战略和年度经营目标，持续优化内部生产管理、改进工艺技术、提开产品合格率，坚持研发创新和客户拓展。后续公司未来将持续大力发展汽车仪表相关业务，在巩周国内既有市场份额的同时，努力提升全球市场份额，积极拓展国际业务，寻求海外市场的业务增长点</w:t>
            </w:r>
            <w:r>
              <w:rPr>
                <w:rFonts w:hint="eastAsia" w:cs="Times New Roman"/>
                <w:lang w:val="en-US" w:eastAsia="zh-CN"/>
              </w:rPr>
              <w:t>。</w:t>
            </w:r>
          </w:p>
        </w:tc>
      </w:tr>
      <w:tr w14:paraId="7272E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pct"/>
            <w:vAlign w:val="center"/>
          </w:tcPr>
          <w:p w14:paraId="619167A6">
            <w:pPr>
              <w:jc w:val="center"/>
              <w:rPr>
                <w:b/>
                <w:bCs/>
                <w:szCs w:val="24"/>
              </w:rPr>
            </w:pPr>
          </w:p>
          <w:p w14:paraId="4B6D6670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附件清单（如有）</w:t>
            </w:r>
          </w:p>
          <w:p w14:paraId="6A1C020B">
            <w:pPr>
              <w:rPr>
                <w:rFonts w:hint="eastAsia"/>
                <w:b/>
                <w:bCs/>
                <w:szCs w:val="24"/>
              </w:rPr>
            </w:pPr>
          </w:p>
        </w:tc>
        <w:tc>
          <w:tcPr>
            <w:tcW w:w="3961" w:type="pct"/>
          </w:tcPr>
          <w:p w14:paraId="5CBCBF0A">
            <w:pPr>
              <w:jc w:val="left"/>
              <w:rPr>
                <w:szCs w:val="24"/>
              </w:rPr>
            </w:pPr>
          </w:p>
          <w:p w14:paraId="2F7ACD83">
            <w:pPr>
              <w:tabs>
                <w:tab w:val="left" w:pos="20"/>
              </w:tabs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rFonts w:hint="eastAsia"/>
                <w:szCs w:val="24"/>
              </w:rPr>
              <w:t>无</w:t>
            </w:r>
          </w:p>
        </w:tc>
      </w:tr>
      <w:tr w14:paraId="75D1A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pct"/>
            <w:vAlign w:val="center"/>
          </w:tcPr>
          <w:p w14:paraId="54060DD6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关于本次活动是否涉及应当披露重大信息的说明</w:t>
            </w:r>
          </w:p>
        </w:tc>
        <w:tc>
          <w:tcPr>
            <w:tcW w:w="3961" w:type="pct"/>
            <w:vAlign w:val="center"/>
          </w:tcPr>
          <w:p w14:paraId="2F873D1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不涉及</w:t>
            </w:r>
          </w:p>
        </w:tc>
      </w:tr>
    </w:tbl>
    <w:p w14:paraId="3FCD667C">
      <w:pPr>
        <w:spacing w:line="360" w:lineRule="auto"/>
        <w:rPr>
          <w:szCs w:val="24"/>
        </w:rPr>
      </w:pPr>
    </w:p>
    <w:p w14:paraId="1713B5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82C30"/>
    <w:rsid w:val="00406DCA"/>
    <w:rsid w:val="00466870"/>
    <w:rsid w:val="005A7AE8"/>
    <w:rsid w:val="00662734"/>
    <w:rsid w:val="00822435"/>
    <w:rsid w:val="008E65FF"/>
    <w:rsid w:val="00B36130"/>
    <w:rsid w:val="00CA3C20"/>
    <w:rsid w:val="00CC72DA"/>
    <w:rsid w:val="00D33D4A"/>
    <w:rsid w:val="016E7389"/>
    <w:rsid w:val="069E11EB"/>
    <w:rsid w:val="07795121"/>
    <w:rsid w:val="08142376"/>
    <w:rsid w:val="0C33690E"/>
    <w:rsid w:val="0D062D98"/>
    <w:rsid w:val="0E20525B"/>
    <w:rsid w:val="102E5041"/>
    <w:rsid w:val="109C285E"/>
    <w:rsid w:val="142E2699"/>
    <w:rsid w:val="14F84B69"/>
    <w:rsid w:val="17B76CE3"/>
    <w:rsid w:val="18865F4F"/>
    <w:rsid w:val="1D753E62"/>
    <w:rsid w:val="1E3A3CAC"/>
    <w:rsid w:val="1F993F88"/>
    <w:rsid w:val="1FAC1400"/>
    <w:rsid w:val="21CC79CE"/>
    <w:rsid w:val="24311562"/>
    <w:rsid w:val="28124331"/>
    <w:rsid w:val="28C96CAB"/>
    <w:rsid w:val="28E1427A"/>
    <w:rsid w:val="2AEC0B11"/>
    <w:rsid w:val="2D054B16"/>
    <w:rsid w:val="2D995F65"/>
    <w:rsid w:val="303A23F2"/>
    <w:rsid w:val="310867AA"/>
    <w:rsid w:val="36F84DB2"/>
    <w:rsid w:val="37A4502A"/>
    <w:rsid w:val="3A3313FA"/>
    <w:rsid w:val="3D143D6C"/>
    <w:rsid w:val="3D8362B5"/>
    <w:rsid w:val="40BF4803"/>
    <w:rsid w:val="41543FB7"/>
    <w:rsid w:val="41E87D96"/>
    <w:rsid w:val="42620BA7"/>
    <w:rsid w:val="47F03D9D"/>
    <w:rsid w:val="4CAF02E1"/>
    <w:rsid w:val="561422D7"/>
    <w:rsid w:val="57E56460"/>
    <w:rsid w:val="584D19EF"/>
    <w:rsid w:val="58E82C30"/>
    <w:rsid w:val="5BEA3334"/>
    <w:rsid w:val="5BF2791D"/>
    <w:rsid w:val="65054177"/>
    <w:rsid w:val="6A9A4A03"/>
    <w:rsid w:val="6B152B46"/>
    <w:rsid w:val="6B7802DF"/>
    <w:rsid w:val="6E9C10D5"/>
    <w:rsid w:val="6E9E361D"/>
    <w:rsid w:val="721E505F"/>
    <w:rsid w:val="731719F3"/>
    <w:rsid w:val="75663ABD"/>
    <w:rsid w:val="7ECF3AD1"/>
    <w:rsid w:val="7F89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nhideWhenUsed/>
    <w:qFormat/>
    <w:uiPriority w:val="99"/>
    <w:rPr>
      <w:color w:val="0563C1"/>
      <w:u w:val="single"/>
    </w:rPr>
  </w:style>
  <w:style w:type="character" w:styleId="12">
    <w:name w:val="annotation reference"/>
    <w:basedOn w:val="9"/>
    <w:qFormat/>
    <w:uiPriority w:val="0"/>
    <w:rPr>
      <w:sz w:val="21"/>
      <w:szCs w:val="21"/>
    </w:rPr>
  </w:style>
  <w:style w:type="character" w:customStyle="1" w:styleId="13">
    <w:name w:val="批注文字 字符"/>
    <w:basedOn w:val="9"/>
    <w:link w:val="2"/>
    <w:qFormat/>
    <w:uiPriority w:val="0"/>
    <w:rPr>
      <w:rFonts w:cstheme="minorBidi"/>
      <w:kern w:val="2"/>
      <w:sz w:val="24"/>
      <w:szCs w:val="22"/>
    </w:rPr>
  </w:style>
  <w:style w:type="character" w:customStyle="1" w:styleId="14">
    <w:name w:val="批注主题 字符"/>
    <w:basedOn w:val="13"/>
    <w:link w:val="6"/>
    <w:qFormat/>
    <w:uiPriority w:val="0"/>
    <w:rPr>
      <w:rFonts w:cstheme="minorBidi"/>
      <w:b/>
      <w:bCs/>
      <w:kern w:val="2"/>
      <w:sz w:val="24"/>
      <w:szCs w:val="22"/>
    </w:rPr>
  </w:style>
  <w:style w:type="character" w:customStyle="1" w:styleId="15">
    <w:name w:val="批注框文本 字符"/>
    <w:basedOn w:val="9"/>
    <w:link w:val="3"/>
    <w:qFormat/>
    <w:uiPriority w:val="0"/>
    <w:rPr>
      <w:rFonts w:cstheme="minorBidi"/>
      <w:kern w:val="2"/>
      <w:sz w:val="18"/>
      <w:szCs w:val="18"/>
    </w:rPr>
  </w:style>
  <w:style w:type="character" w:customStyle="1" w:styleId="16">
    <w:name w:val="页眉 字符"/>
    <w:basedOn w:val="9"/>
    <w:link w:val="5"/>
    <w:qFormat/>
    <w:uiPriority w:val="0"/>
    <w:rPr>
      <w:rFonts w:cstheme="minorBidi"/>
      <w:kern w:val="2"/>
      <w:sz w:val="18"/>
      <w:szCs w:val="18"/>
    </w:rPr>
  </w:style>
  <w:style w:type="character" w:customStyle="1" w:styleId="17">
    <w:name w:val="页脚 字符"/>
    <w:basedOn w:val="9"/>
    <w:link w:val="4"/>
    <w:qFormat/>
    <w:uiPriority w:val="0"/>
    <w:rPr>
      <w:rFonts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1386</Words>
  <Characters>1482</Characters>
  <Lines>131</Lines>
  <Paragraphs>128</Paragraphs>
  <TotalTime>47</TotalTime>
  <ScaleCrop>false</ScaleCrop>
  <LinksUpToDate>false</LinksUpToDate>
  <CharactersWithSpaces>1528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2025-07-25T01:59:00Z</dcterms:created>
  <dc:creator>企业用户_411354505</dc:creator>
  <cp:lastModifiedBy>企业用户_411354505</cp:lastModifiedBy>
  <dcterms:modified xsi:type="dcterms:W3CDTF">2025-10-21T05:31:27Z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32A3C1EF49804DB6981D50CBD8FCCE39_13</vt:lpwstr>
  </property>
  <property fmtid="{D5CDD505-2E9C-101B-9397-08002B2CF9AE}" pid="4" name="KSOTemplateDocerSaveRecord">
    <vt:lpwstr>eyJoZGlkIjoiNzdkMDBiZGE4YTg1NGIzNGY3NWExNzg3NDMzY2U2MzIiLCJ1c2VySWQiOiIxNjE2MzkxMTIzIn0=</vt:lpwstr>
  </property>
</Properties>
</file>