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4"/>
          <w:szCs w:val="24"/>
        </w:rPr>
      </w:pPr>
      <w:r>
        <w:rPr>
          <w:rFonts w:hint="eastAsia" w:ascii="宋体" w:hAnsi="宋体"/>
          <w:sz w:val="24"/>
          <w:szCs w:val="24"/>
        </w:rPr>
        <w:t>证券代码：</w:t>
      </w:r>
      <w:r>
        <w:rPr>
          <w:rFonts w:ascii="宋体" w:hAnsi="宋体"/>
          <w:sz w:val="24"/>
          <w:szCs w:val="24"/>
        </w:rPr>
        <w:t>600872</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中炬高新</w:t>
      </w:r>
    </w:p>
    <w:p>
      <w:pPr>
        <w:jc w:val="center"/>
        <w:rPr>
          <w:rFonts w:ascii="黑体" w:hAnsi="黑体" w:eastAsia="黑体"/>
          <w:sz w:val="36"/>
          <w:szCs w:val="36"/>
        </w:rPr>
      </w:pPr>
      <w:r>
        <w:rPr>
          <w:rFonts w:hint="eastAsia" w:ascii="黑体" w:hAnsi="黑体" w:eastAsia="黑体"/>
          <w:sz w:val="36"/>
          <w:szCs w:val="36"/>
        </w:rPr>
        <w:t>中炬高新技术实业（集团）股份有限公司</w:t>
      </w:r>
    </w:p>
    <w:p>
      <w:pPr>
        <w:jc w:val="center"/>
        <w:rPr>
          <w:rFonts w:ascii="黑体" w:hAnsi="黑体" w:eastAsia="黑体"/>
          <w:sz w:val="36"/>
          <w:szCs w:val="36"/>
        </w:rPr>
      </w:pPr>
      <w:r>
        <w:rPr>
          <w:rFonts w:hint="eastAsia" w:ascii="黑体" w:hAnsi="黑体" w:eastAsia="黑体"/>
          <w:sz w:val="36"/>
          <w:szCs w:val="36"/>
        </w:rPr>
        <w:t>投资者关系活动记录表</w:t>
      </w:r>
    </w:p>
    <w:p>
      <w:pPr>
        <w:jc w:val="center"/>
        <w:rPr>
          <w:rFonts w:ascii="黑体" w:hAnsi="黑体" w:eastAsia="黑体"/>
          <w:sz w:val="24"/>
          <w:szCs w:val="24"/>
        </w:rPr>
      </w:pPr>
    </w:p>
    <w:tbl>
      <w:tblPr>
        <w:tblStyle w:val="7"/>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pPr>
              <w:rPr>
                <w:sz w:val="24"/>
                <w:szCs w:val="24"/>
              </w:rPr>
            </w:pPr>
            <w:r>
              <w:rPr>
                <w:rFonts w:hint="eastAsia"/>
                <w:sz w:val="24"/>
                <w:szCs w:val="24"/>
              </w:rPr>
              <w:t>投资者关系活动类别</w:t>
            </w:r>
          </w:p>
        </w:tc>
        <w:tc>
          <w:tcPr>
            <w:tcW w:w="7191" w:type="dxa"/>
            <w:vAlign w:val="center"/>
          </w:tcPr>
          <w:p>
            <w:pPr>
              <w:spacing w:line="360" w:lineRule="auto"/>
              <w:rPr>
                <w:sz w:val="24"/>
                <w:szCs w:val="24"/>
              </w:rPr>
            </w:pPr>
            <w:r>
              <w:rPr>
                <w:rFonts w:hint="eastAsia"/>
              </w:rPr>
              <w:t>机构交流会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pPr>
              <w:rPr>
                <w:sz w:val="24"/>
                <w:szCs w:val="24"/>
              </w:rPr>
            </w:pPr>
            <w:r>
              <w:rPr>
                <w:rFonts w:hint="eastAsia"/>
                <w:sz w:val="24"/>
                <w:szCs w:val="24"/>
              </w:rPr>
              <w:t>活动主题</w:t>
            </w:r>
          </w:p>
        </w:tc>
        <w:tc>
          <w:tcPr>
            <w:tcW w:w="7191" w:type="dxa"/>
            <w:vAlign w:val="center"/>
          </w:tcPr>
          <w:p>
            <w:pPr>
              <w:rPr>
                <w:sz w:val="24"/>
                <w:szCs w:val="24"/>
              </w:rPr>
            </w:pPr>
            <w:r>
              <w:rPr>
                <w:rFonts w:hint="eastAsia"/>
                <w:lang w:val="en-GB"/>
              </w:rPr>
              <w:t>中炬高新</w:t>
            </w:r>
            <w:r>
              <w:rPr>
                <w:rFonts w:hint="eastAsia"/>
              </w:rPr>
              <w:t>2025年三季度投资者交流会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pPr>
              <w:rPr>
                <w:sz w:val="24"/>
                <w:szCs w:val="24"/>
              </w:rPr>
            </w:pPr>
            <w:r>
              <w:rPr>
                <w:rFonts w:hint="eastAsia"/>
                <w:sz w:val="24"/>
                <w:szCs w:val="24"/>
              </w:rPr>
              <w:t>时间</w:t>
            </w:r>
          </w:p>
        </w:tc>
        <w:tc>
          <w:tcPr>
            <w:tcW w:w="7191" w:type="dxa"/>
            <w:vAlign w:val="center"/>
          </w:tcPr>
          <w:p>
            <w:pPr>
              <w:rPr>
                <w:sz w:val="24"/>
                <w:szCs w:val="24"/>
              </w:rPr>
            </w:pPr>
            <w:r>
              <w:rPr>
                <w:rFonts w:hint="eastAsia"/>
                <w:lang w:val="en-GB"/>
              </w:rPr>
              <w:t>2025-</w:t>
            </w:r>
            <w:r>
              <w:rPr>
                <w:rFonts w:hint="eastAsia"/>
              </w:rPr>
              <w:t>10</w:t>
            </w:r>
            <w:r>
              <w:rPr>
                <w:rFonts w:hint="eastAsia"/>
                <w:lang w:val="en-GB"/>
              </w:rPr>
              <w:t>-</w:t>
            </w:r>
            <w:r>
              <w:rPr>
                <w:rFonts w:hint="eastAsia"/>
              </w:rPr>
              <w:t>27</w:t>
            </w:r>
            <w:r>
              <w:rPr>
                <w:rFonts w:hint="eastAsia"/>
                <w:lang w:val="en-GB"/>
              </w:rPr>
              <w:t xml:space="preserve"> - </w:t>
            </w:r>
            <w:r>
              <w:rPr>
                <w:rFonts w:hint="eastAsia"/>
              </w:rPr>
              <w:t>9</w:t>
            </w:r>
            <w:r>
              <w:rPr>
                <w:rFonts w:hint="eastAsia"/>
                <w:lang w:val="en-GB"/>
              </w:rPr>
              <w:t>:00-</w:t>
            </w:r>
            <w:r>
              <w:rPr>
                <w:rFonts w:hint="eastAsia"/>
              </w:rPr>
              <w:t>10</w:t>
            </w:r>
            <w:r>
              <w:rPr>
                <w:rFonts w:hint="eastAsia"/>
                <w:lang w:val="en-GB"/>
              </w:rPr>
              <w:t>:</w:t>
            </w:r>
            <w:r>
              <w:rPr>
                <w:rFonts w:hint="eastAsia"/>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vAlign w:val="center"/>
          </w:tcPr>
          <w:p>
            <w:pPr>
              <w:jc w:val="left"/>
              <w:rPr>
                <w:sz w:val="24"/>
                <w:szCs w:val="24"/>
              </w:rPr>
            </w:pPr>
            <w:r>
              <w:rPr>
                <w:rFonts w:hint="eastAsia" w:ascii="宋体" w:hAnsi="宋体"/>
                <w:szCs w:val="21"/>
              </w:rPr>
              <w:t>公司现场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1526" w:type="dxa"/>
            <w:vAlign w:val="center"/>
          </w:tcPr>
          <w:p>
            <w:pPr>
              <w:rPr>
                <w:sz w:val="24"/>
                <w:szCs w:val="24"/>
              </w:rPr>
            </w:pPr>
            <w:r>
              <w:rPr>
                <w:rFonts w:hint="eastAsia"/>
                <w:sz w:val="24"/>
                <w:szCs w:val="24"/>
              </w:rPr>
              <w:t>上市公司接待人员姓名</w:t>
            </w:r>
          </w:p>
        </w:tc>
        <w:tc>
          <w:tcPr>
            <w:tcW w:w="7191" w:type="dxa"/>
            <w:vAlign w:val="center"/>
          </w:tcPr>
          <w:p>
            <w:pPr>
              <w:spacing w:line="360" w:lineRule="auto"/>
            </w:pPr>
            <w:r>
              <w:rPr>
                <w:rFonts w:hint="eastAsia"/>
              </w:rPr>
              <w:t>董事长：黎汝雄</w:t>
            </w:r>
          </w:p>
          <w:p>
            <w:pPr>
              <w:spacing w:line="360" w:lineRule="auto"/>
            </w:pPr>
            <w:r>
              <w:rPr>
                <w:rFonts w:hint="eastAsia"/>
              </w:rPr>
              <w:t>总经理：余向阳</w:t>
            </w:r>
          </w:p>
          <w:p>
            <w:pPr>
              <w:spacing w:line="360" w:lineRule="auto"/>
            </w:pPr>
            <w:r>
              <w:rPr>
                <w:rFonts w:hint="eastAsia"/>
              </w:rPr>
              <w:t>董事、常务副总经理兼财务负责人：林颖</w:t>
            </w:r>
          </w:p>
          <w:p>
            <w:pPr>
              <w:pStyle w:val="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pPr>
              <w:rPr>
                <w:sz w:val="24"/>
                <w:szCs w:val="24"/>
              </w:rPr>
            </w:pPr>
            <w:r>
              <w:rPr>
                <w:rFonts w:hint="eastAsia"/>
                <w:sz w:val="24"/>
                <w:szCs w:val="24"/>
              </w:rPr>
              <w:t>参与单位名称与人数</w:t>
            </w:r>
          </w:p>
        </w:tc>
        <w:tc>
          <w:tcPr>
            <w:tcW w:w="7191" w:type="dxa"/>
            <w:vAlign w:val="center"/>
          </w:tcPr>
          <w:p>
            <w:pPr>
              <w:pStyle w:val="2"/>
            </w:pPr>
            <w:r>
              <w:rPr>
                <w:rFonts w:hint="eastAsia" w:ascii="Calibri" w:hAnsi="Calibri" w:eastAsia="宋体"/>
                <w:sz w:val="21"/>
              </w:rPr>
              <w:t>浙商证券、西部证券、海南羊角私募、国都证券、华鑫证券、富瑞、华创证券、永赢基金、上海申银万国证券、中银国际证券、建信基金、上海侏罗纪资产管理、平安、国盛证券、太平养老、光大证券、广东汇创投资、富国基金、华泰保兴基金、华西证券、博时基金、国联民生证券、DYMON ASIA CONSULTING、东兴证券、上海顶天投资、合煦智远基金、深圳市辰禾投资、海通国际、赛富投资基金、华源证券、中信建投、上海申银万国证券、中信里昂、汇和丰投资控股、华源证券、国华兴益保险资产、BlueCrestCapital、深圳世纪财通投资、广州上山路投资、国泰海通证券、上海高毅、川财证券、广发证券、财通证券、首创证券、高盛、花旗、光大证券、开源证券、国联安基金、国海证券、西南证券、摩根基金管理、国金证券、中国国际金融、中国银河证券、长江证券、东方财富证券、中邮证券、国信证券、中泰证券、华福证券、华安证券、Regents Capital、中信证券等超60家机构（注：以上机构顺序排名不分先后）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3" w:hRule="atLeast"/>
        </w:trPr>
        <w:tc>
          <w:tcPr>
            <w:tcW w:w="1526" w:type="dxa"/>
            <w:vAlign w:val="center"/>
          </w:tcPr>
          <w:p>
            <w:pPr>
              <w:rPr>
                <w:sz w:val="24"/>
                <w:szCs w:val="24"/>
              </w:rPr>
            </w:pPr>
            <w:r>
              <w:rPr>
                <w:rFonts w:hint="eastAsia"/>
                <w:sz w:val="24"/>
                <w:szCs w:val="24"/>
              </w:rPr>
              <w:t>投资者关系活动主要内容介绍</w:t>
            </w:r>
          </w:p>
        </w:tc>
        <w:tc>
          <w:tcPr>
            <w:tcW w:w="7191" w:type="dxa"/>
          </w:tcPr>
          <w:p>
            <w:pPr>
              <w:pStyle w:val="2"/>
              <w:rPr>
                <w:rFonts w:ascii="Calibri" w:hAnsi="Calibri" w:eastAsia="宋体"/>
                <w:b/>
                <w:bCs/>
                <w:sz w:val="21"/>
              </w:rPr>
            </w:pPr>
            <w:r>
              <w:rPr>
                <w:rFonts w:hint="eastAsia" w:ascii="Calibri" w:hAnsi="Calibri" w:eastAsia="宋体"/>
                <w:b/>
                <w:bCs/>
                <w:sz w:val="21"/>
              </w:rPr>
              <w:t>投资者关系活动主要内容</w:t>
            </w:r>
          </w:p>
          <w:p>
            <w:pPr>
              <w:pStyle w:val="2"/>
              <w:ind w:firstLine="420" w:firstLineChars="200"/>
              <w:rPr>
                <w:rFonts w:ascii="Calibri" w:hAnsi="Calibri" w:eastAsia="宋体"/>
                <w:sz w:val="21"/>
              </w:rPr>
            </w:pPr>
            <w:r>
              <w:rPr>
                <w:rFonts w:hint="eastAsia" w:ascii="Calibri" w:hAnsi="Calibri" w:eastAsia="宋体"/>
                <w:sz w:val="21"/>
              </w:rPr>
              <w:t>会上，董事、常务副总经理兼财务负责人林颖总汇报了公司前三季度经营情况，并就三季度主要措施和未来展望内容进行分享。</w:t>
            </w:r>
          </w:p>
          <w:p>
            <w:pPr>
              <w:ind w:firstLine="420"/>
            </w:pPr>
            <w:r>
              <w:rPr>
                <w:rFonts w:hint="eastAsia"/>
              </w:rPr>
              <w:t>2025年前三季度，公司实现营业总收入31.56亿元，同比减少7.90亿元，减幅20.01%； 扣除非经常性损益后归属母公司净利润为3.84亿元，同比减少1.68亿元，减幅30.45%。美味鲜本期销售毛利率为39.70%，同比增加2.26个百分点，增幅6.03%。经常性EBITDA 6.19亿元，同比增幅-27.48%。扣非后加权平均ROE 6.77%，同比增额-4.87</w:t>
            </w:r>
            <w:r>
              <w:rPr>
                <w:rFonts w:hint="eastAsia"/>
                <w:lang w:val="en-US" w:eastAsia="zh-CN"/>
              </w:rPr>
              <w:t>个百分点</w:t>
            </w:r>
            <w:r>
              <w:rPr>
                <w:rFonts w:hint="eastAsia"/>
              </w:rPr>
              <w:t>。</w:t>
            </w:r>
          </w:p>
          <w:p>
            <w:pPr>
              <w:pStyle w:val="2"/>
              <w:ind w:firstLine="420"/>
              <w:rPr>
                <w:rFonts w:ascii="Calibri" w:hAnsi="Calibri" w:eastAsia="宋体"/>
                <w:sz w:val="21"/>
              </w:rPr>
            </w:pPr>
            <w:r>
              <w:rPr>
                <w:rFonts w:hint="eastAsia" w:ascii="Calibri" w:hAnsi="Calibri" w:eastAsia="宋体"/>
                <w:sz w:val="21"/>
              </w:rPr>
              <w:t>三季度主要业务举措：</w:t>
            </w:r>
            <w:bookmarkStart w:id="0" w:name="_GoBack"/>
            <w:bookmarkEnd w:id="0"/>
          </w:p>
          <w:p>
            <w:pPr>
              <w:pStyle w:val="2"/>
              <w:ind w:firstLine="420"/>
              <w:rPr>
                <w:rFonts w:ascii="Calibri" w:hAnsi="Calibri" w:eastAsia="宋体"/>
                <w:sz w:val="21"/>
              </w:rPr>
            </w:pPr>
            <w:r>
              <w:rPr>
                <w:rFonts w:hint="eastAsia" w:ascii="Calibri" w:hAnsi="Calibri" w:eastAsia="宋体"/>
                <w:sz w:val="21"/>
              </w:rPr>
              <w:t>1、强基：落实经销商经营趋势健康体检表（两套表）PDCA工作体系，强化过程管理，确保目标达成。实现从“解读-计划-写实-评价-复盘”的闭环，推动销售团队向精细化、体系化转型。</w:t>
            </w:r>
          </w:p>
          <w:p>
            <w:pPr>
              <w:pStyle w:val="2"/>
              <w:ind w:firstLine="420"/>
              <w:rPr>
                <w:rFonts w:ascii="Calibri" w:hAnsi="Calibri" w:eastAsia="宋体"/>
                <w:sz w:val="21"/>
              </w:rPr>
            </w:pPr>
            <w:r>
              <w:rPr>
                <w:rFonts w:hint="eastAsia" w:ascii="Calibri" w:hAnsi="Calibri" w:eastAsia="宋体"/>
                <w:sz w:val="21"/>
              </w:rPr>
              <w:t>2、多元：与江南大学签署独家战略合作协议，锁定顶级研发资源。构筑研发护城河，系统性驱动产品品质升级与创新迭代。</w:t>
            </w:r>
          </w:p>
          <w:p>
            <w:pPr>
              <w:pStyle w:val="2"/>
              <w:ind w:firstLine="420"/>
              <w:rPr>
                <w:rFonts w:ascii="Calibri" w:hAnsi="Calibri" w:eastAsia="宋体"/>
                <w:sz w:val="21"/>
              </w:rPr>
            </w:pPr>
            <w:r>
              <w:rPr>
                <w:rFonts w:hint="eastAsia" w:ascii="Calibri" w:hAnsi="Calibri" w:eastAsia="宋体"/>
                <w:sz w:val="21"/>
              </w:rPr>
              <w:t>3、高效：全面应用新代言人形象，线上线下联动，定制化主题传播。提升品牌市场声量，强化“高端、健康、专业” 的品牌形象认知。</w:t>
            </w:r>
          </w:p>
          <w:p>
            <w:pPr>
              <w:pStyle w:val="2"/>
              <w:ind w:firstLine="420"/>
              <w:rPr>
                <w:rFonts w:ascii="Calibri" w:hAnsi="Calibri" w:eastAsia="宋体"/>
                <w:sz w:val="21"/>
              </w:rPr>
            </w:pPr>
            <w:r>
              <w:rPr>
                <w:rFonts w:hint="eastAsia" w:ascii="Calibri" w:hAnsi="Calibri" w:eastAsia="宋体"/>
                <w:sz w:val="21"/>
              </w:rPr>
              <w:t>四季度及2026年展望</w:t>
            </w:r>
          </w:p>
          <w:p>
            <w:pPr>
              <w:pStyle w:val="2"/>
              <w:ind w:firstLine="420"/>
              <w:rPr>
                <w:rFonts w:ascii="Calibri" w:hAnsi="Calibri" w:eastAsia="宋体"/>
                <w:sz w:val="21"/>
              </w:rPr>
            </w:pPr>
            <w:r>
              <w:rPr>
                <w:rFonts w:hint="eastAsia" w:ascii="Calibri" w:hAnsi="Calibri" w:eastAsia="宋体"/>
                <w:sz w:val="21"/>
              </w:rPr>
              <w:t>利用业绩调整期，夯实管理基础，为明年业绩进入良性增长做好准备；2026年在强化基本盘基础上，积极开拓新业务（餐饮、代工、内容电商），努力升级产品组合（健康化、功能化），重塑供应链，进一步降本增效，并坚持战略并购，通过并购突破内生增长的瓶颈，加速实现业务组合最优化，达成市场份额的战略性提升与企业价值的可持续增长。</w:t>
            </w:r>
          </w:p>
          <w:p>
            <w:pPr>
              <w:pStyle w:val="2"/>
              <w:ind w:firstLine="420"/>
            </w:pPr>
          </w:p>
          <w:p>
            <w:pPr>
              <w:rPr>
                <w:b/>
                <w:bCs/>
              </w:rPr>
            </w:pPr>
            <w:r>
              <w:rPr>
                <w:rFonts w:hint="eastAsia"/>
                <w:b/>
                <w:bCs/>
              </w:rPr>
              <w:t>Q&amp;A</w:t>
            </w:r>
          </w:p>
          <w:p>
            <w:pPr>
              <w:rPr>
                <w:b/>
                <w:bCs/>
              </w:rPr>
            </w:pPr>
            <w:r>
              <w:rPr>
                <w:b/>
                <w:bCs/>
              </w:rPr>
              <w:t>问：请问公司三季度向b端的餐饮业务增长情况如何，目前占比是什么样的水平？</w:t>
            </w:r>
          </w:p>
          <w:p>
            <w:r>
              <w:rPr>
                <w:b/>
                <w:bCs/>
              </w:rPr>
              <w:t>答：</w:t>
            </w:r>
            <w:r>
              <w:t>目前餐饮渠道在公司整体业务中占比仍相对有限，但已被明确列为战略级增长赛道。近两年来，我们</w:t>
            </w:r>
            <w:r>
              <w:rPr>
                <w:rFonts w:hint="eastAsia"/>
              </w:rPr>
              <w:t>一直在摸索</w:t>
            </w:r>
            <w:r>
              <w:t>构建一套差异化的餐饮业务模式，核心思路是从传统调味品辅助角色，转向以终端产品直接赋能餐饮客户。我们聚焦大众化餐饮市场，通过与厨师协同研发，助力中小型餐饮门店提升菜品品质与消费体验。该模式已在贵州、重庆、西安、沈阳等区域市场取得初步成功。当前，我们正积极组建专业餐饮业务团队，加速渠道拓展。尽管餐饮行业整体面临竞争加剧与增长放缓的挑战，但我们相信，通过持续提升菜品解决方案能力与终端满意度，有望在该赛道实现突破。</w:t>
            </w:r>
          </w:p>
          <w:p/>
          <w:p>
            <w:r>
              <w:rPr>
                <w:b/>
                <w:bCs/>
              </w:rPr>
              <w:t>问：请问针对主销区竞争，公司是否有针对性的渠道措施，主销区的增长预期如何？</w:t>
            </w:r>
          </w:p>
          <w:p>
            <w:r>
              <w:rPr>
                <w:b/>
                <w:bCs/>
              </w:rPr>
              <w:t>答：</w:t>
            </w:r>
            <w:r>
              <w:t>夯实主销区基本盘是公司今年的核心工作之一，具体围绕三方面展开：</w:t>
            </w:r>
          </w:p>
          <w:p>
            <w:pPr>
              <w:ind w:firstLine="420" w:firstLineChars="200"/>
            </w:pPr>
            <w:r>
              <w:rPr>
                <w:rFonts w:hint="eastAsia"/>
              </w:rPr>
              <w:t>1、</w:t>
            </w:r>
            <w:r>
              <w:t>数据化渠道管理：我们通过推行“经销商市场健康体检表”（两套表）体系，赋能经销商实现终端动销数据的可视化与过程管理，部分经销商已能据此精准指导业务动作。</w:t>
            </w:r>
          </w:p>
          <w:p>
            <w:pPr>
              <w:ind w:firstLine="420" w:firstLineChars="200"/>
            </w:pPr>
            <w:r>
              <w:rPr>
                <w:rFonts w:hint="eastAsia"/>
              </w:rPr>
              <w:t>2、</w:t>
            </w:r>
            <w:r>
              <w:t>费用精准投放：基于上述数据系统，我们能够将市场费用高效、精准地配置至终端网点，并激活存量合作终端，实现“费用-目标”强关联。试点经销商反馈，该模式已带来显著成效。</w:t>
            </w:r>
          </w:p>
          <w:p>
            <w:pPr>
              <w:ind w:firstLine="420" w:firstLineChars="200"/>
              <w:rPr>
                <w:b/>
                <w:bCs/>
              </w:rPr>
            </w:pPr>
            <w:r>
              <w:rPr>
                <w:rFonts w:hint="eastAsia"/>
              </w:rPr>
              <w:t>3、</w:t>
            </w:r>
            <w:r>
              <w:t>价格体系治理：我们成立了由经销商代表组成的“市场管理委员会”，充分发挥其自我管理与协同治理功能，对稳定市场价格秩序起到关键作用。目前，浙江市场价格管理政策执行坚决，其他主销区价格水平已基本恢复至2023年同期水平。我们将持续推进分区、分产品的价格修复工作，力争年内全面完成，确保核心产品的渠道毛利水平优于竞品。</w:t>
            </w:r>
          </w:p>
          <w:p/>
          <w:p>
            <w:pPr>
              <w:rPr>
                <w:b/>
                <w:bCs/>
              </w:rPr>
            </w:pPr>
            <w:r>
              <w:rPr>
                <w:b/>
                <w:bCs/>
              </w:rPr>
              <w:t>问：请问关于东部区域市场的特征和目标达成情况？</w:t>
            </w:r>
          </w:p>
          <w:p>
            <w:r>
              <w:rPr>
                <w:b/>
                <w:bCs/>
              </w:rPr>
              <w:t>答：</w:t>
            </w:r>
            <w:r>
              <w:t>华东事业部覆盖浙江、福建、安徽、江苏及上海市场，各区域表现有所分化：安徽市场经渠道调整后已进入稳定发展阶段；浙江与福建市场因前期对公司营销战略执行不到位，导致终端动销额一度落后于两广地区。目前，通过坚定执行价格修复与库存管控策略，该区域动销额与发货额已基本持平，渠道库存也回落至健康水平。我们将继续坚持当前的价格体系优化方向，后续修复工作已无技术性障碍。</w:t>
            </w:r>
          </w:p>
          <w:p/>
          <w:p>
            <w:pPr>
              <w:rPr>
                <w:b/>
                <w:bCs/>
              </w:rPr>
            </w:pPr>
            <w:r>
              <w:rPr>
                <w:b/>
                <w:bCs/>
              </w:rPr>
              <w:t>问：销售费用前三季度比较高，从市场竞争角度上，是否各家都会多投销售费用？另外在这样的情况下，如果做到销售费用更精准的管控？</w:t>
            </w:r>
          </w:p>
          <w:p>
            <w:r>
              <w:rPr>
                <w:b/>
                <w:bCs/>
              </w:rPr>
              <w:t>答：</w:t>
            </w:r>
            <w:r>
              <w:t>我们将销售费用结构化为“随量费用”与“固定费用”。目前，随量费用的投入产出比已恢复至2023年良性水平，这得益于价格体系的成功修复；而固定费用仍是下一阶段精细化管控的重点。在价格修复过程中，公司渠道安全库存已显著低于2023及2024年同期。我们认为，建立在健康的渠道管理、稳定的价格环境与高效的费效评估基础上的费用投入，将为2026年的持续健康发展提供有力支撑。针对第四季度，我们已对固定费用启动更严格的审核与控制机制。</w:t>
            </w:r>
          </w:p>
          <w:p>
            <w:pPr>
              <w:pStyle w:val="2"/>
            </w:pPr>
          </w:p>
          <w:p>
            <w:pPr>
              <w:rPr>
                <w:b/>
                <w:bCs/>
              </w:rPr>
            </w:pPr>
            <w:r>
              <w:rPr>
                <w:b/>
                <w:bCs/>
              </w:rPr>
              <w:t>问：请问毛利率明年是否有进一步提升的目标？是否有节省促销力度的可能性？</w:t>
            </w:r>
          </w:p>
          <w:p>
            <w:r>
              <w:rPr>
                <w:b/>
                <w:bCs/>
              </w:rPr>
              <w:t>答：</w:t>
            </w:r>
            <w:r>
              <w:t>毛利率提升是公司的持续性战略任务，由效能管理中心及多个专项降本小组系统推动。我们认为在成本优化方面仍有显著潜力可挖掘，将通过全链条的系统性效能改善支持毛利率的持续提升。在市场投入方面，公司将坚定贯彻“资源聚焦”原则，优先保障高毛利核心产品的推广与销售，以优化整体利润结构。</w:t>
            </w:r>
          </w:p>
          <w:p>
            <w:pPr>
              <w:pStyle w:val="2"/>
            </w:pPr>
          </w:p>
          <w:p>
            <w:pPr>
              <w:rPr>
                <w:b/>
                <w:bCs/>
              </w:rPr>
            </w:pPr>
            <w:r>
              <w:rPr>
                <w:b/>
                <w:bCs/>
              </w:rPr>
              <w:t>问：请问公司明年的收入目标制定是如何考虑的？是否继续保证渠道健康度为重点，还是有激进的销售回升目标？</w:t>
            </w:r>
          </w:p>
          <w:p>
            <w:pPr>
              <w:pStyle w:val="2"/>
              <w:rPr>
                <w:rFonts w:ascii="Calibri" w:hAnsi="Calibri" w:eastAsia="宋体"/>
                <w:sz w:val="21"/>
              </w:rPr>
            </w:pPr>
            <w:r>
              <w:rPr>
                <w:b/>
                <w:bCs/>
              </w:rPr>
              <w:t>答：</w:t>
            </w:r>
            <w:r>
              <w:rPr>
                <w:rFonts w:ascii="Calibri" w:hAnsi="Calibri" w:eastAsia="宋体"/>
                <w:sz w:val="21"/>
              </w:rPr>
              <w:t>明年公司将推动销售管理体系升级，系统引入新的管控理念、模式与工具，实现从“粗放式区域管理”向“终端与核心客户精细化运营”的转型。我们将通过“客户象限管理”与“产品分级推广”策略，聚焦资源，突破历史发展短板，核心目标是提升高价值产品的销售与利润贡献。同时，公司正积极推进多元化战略并筹建产品中心，旨在从产品战略规划、创新研发到上市管理的全链路重塑支撑体系，为达成2026年更具挑战性的收入目标构建组织与机制保障。</w:t>
            </w:r>
          </w:p>
          <w:p/>
          <w:p>
            <w:r>
              <w:rPr>
                <w:b/>
                <w:bCs/>
              </w:rPr>
              <w:t>问：公司明年在收购方面是否会有进展？管理团队是否有具体目标方向？</w:t>
            </w:r>
          </w:p>
          <w:p>
            <w:r>
              <w:rPr>
                <w:b/>
                <w:bCs/>
              </w:rPr>
              <w:t>答：</w:t>
            </w:r>
            <w:r>
              <w:t> 管理团队将审慎平衡公司现金状况与并购机会，持续推进战略并购计划。目前，我们仍在食品调味品行业内的相关细分赛道中积极寻找合适的并购标的，以突破内生增长瓶颈，优化业务组合。</w:t>
            </w:r>
          </w:p>
          <w:p/>
          <w:p>
            <w:r>
              <w:rPr>
                <w:b/>
                <w:bCs/>
              </w:rPr>
              <w:t>问：公司是否考虑改名，给股东和市场一个积极信号？</w:t>
            </w:r>
          </w:p>
          <w:p>
            <w:r>
              <w:rPr>
                <w:b/>
                <w:bCs/>
              </w:rPr>
              <w:t>答：</w:t>
            </w:r>
            <w:r>
              <w:t>公司高度重视品牌名称与业务战略的协同性，也已关注到市场在这方面的呼声。我们将结合战略推进与品牌升级的需要，审慎评估公司名称优化的可行性。</w:t>
            </w:r>
          </w:p>
          <w:p/>
          <w:p>
            <w:pPr>
              <w:pStyle w:val="2"/>
              <w:rPr>
                <w:rFonts w:ascii="Calibri" w:hAnsi="Calibri" w:eastAsia="宋体"/>
                <w:sz w:val="21"/>
              </w:rPr>
            </w:pPr>
            <w:r>
              <w:rPr>
                <w:rFonts w:hint="eastAsia" w:ascii="Calibri" w:hAnsi="Calibri" w:eastAsia="宋体"/>
                <w:sz w:val="21"/>
              </w:rPr>
              <w:t xml:space="preserve"> </w:t>
            </w:r>
          </w:p>
          <w:p>
            <w:pPr>
              <w:pStyle w:val="2"/>
              <w:rPr>
                <w:rFonts w:ascii="Calibri" w:hAnsi="Calibri" w:eastAsia="宋体"/>
                <w:sz w:val="21"/>
              </w:rPr>
            </w:pPr>
            <w:r>
              <w:rPr>
                <w:rFonts w:ascii="Calibri" w:hAnsi="Calibri" w:eastAsia="宋体"/>
                <w:sz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before="156" w:beforeLines="50"/>
              <w:jc w:val="center"/>
              <w:rPr>
                <w:rFonts w:ascii="宋体" w:hAnsi="宋体"/>
                <w:szCs w:val="21"/>
              </w:rPr>
            </w:pPr>
            <w:r>
              <w:rPr>
                <w:rFonts w:hint="eastAsia" w:ascii="宋体" w:hAnsi="宋体"/>
                <w:szCs w:val="21"/>
              </w:rPr>
              <w:t>关于本次活动是否涉及应披露重大信息的说明</w:t>
            </w:r>
          </w:p>
        </w:tc>
        <w:tc>
          <w:tcPr>
            <w:tcW w:w="7191" w:type="dxa"/>
            <w:vAlign w:val="center"/>
          </w:tcPr>
          <w:p>
            <w:pPr>
              <w:spacing w:before="156" w:beforeLines="50"/>
              <w:rPr>
                <w:rFonts w:ascii="宋体" w:hAnsi="宋体"/>
                <w:szCs w:val="21"/>
              </w:rPr>
            </w:pPr>
            <w:r>
              <w:rPr>
                <w:rFonts w:hint="eastAsia" w:ascii="宋体" w:hAnsi="宋体"/>
                <w:szCs w:val="21"/>
              </w:rPr>
              <w:t>接待交流过程中，公司接待人员严格按照有关制度要求，没有出现未公开重大信息泄露等情况。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26" w:type="dxa"/>
            <w:vAlign w:val="center"/>
          </w:tcPr>
          <w:p>
            <w:pPr>
              <w:spacing w:before="156" w:beforeLines="50"/>
              <w:jc w:val="center"/>
              <w:rPr>
                <w:rFonts w:ascii="宋体" w:hAnsi="宋体"/>
                <w:sz w:val="24"/>
                <w:szCs w:val="24"/>
              </w:rPr>
            </w:pPr>
            <w:r>
              <w:rPr>
                <w:rFonts w:hint="eastAsia" w:ascii="宋体" w:hAnsi="宋体"/>
                <w:szCs w:val="21"/>
              </w:rPr>
              <w:t>活动过程中所使用的演示文稿、提供文档等附件（如有）</w:t>
            </w:r>
          </w:p>
        </w:tc>
        <w:tc>
          <w:tcPr>
            <w:tcW w:w="7191" w:type="dxa"/>
            <w:vAlign w:val="center"/>
          </w:tcPr>
          <w:p>
            <w:pPr>
              <w:spacing w:line="288" w:lineRule="auto"/>
              <w:rPr>
                <w:rFonts w:ascii="宋体" w:hAnsi="宋体"/>
                <w:sz w:val="24"/>
                <w:szCs w:val="24"/>
              </w:rPr>
            </w:pPr>
            <w:r>
              <w:rPr>
                <w:rFonts w:hint="eastAsia" w:ascii="宋体" w:hAnsi="宋体"/>
                <w:szCs w:val="21"/>
              </w:rPr>
              <w:t>无</w:t>
            </w:r>
          </w:p>
        </w:tc>
      </w:tr>
    </w:tbl>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rFonts w:hint="eastAsia"/>
      </w:rPr>
      <w:t>中炬高新技术实业(集团)股份有限公司投资者关系活动记录表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TMyMTIzOWRhOGU0MjczYmIyOWM2MjgxNGY3OTcifQ=="/>
    <w:docVar w:name="KSO_WPS_MARK_KEY" w:val="464116d6-85f6-45c3-a8cb-82b1493d4748"/>
  </w:docVars>
  <w:rsids>
    <w:rsidRoot w:val="00FF3252"/>
    <w:rsid w:val="0034607E"/>
    <w:rsid w:val="00F607E2"/>
    <w:rsid w:val="00FF3252"/>
    <w:rsid w:val="03F16A00"/>
    <w:rsid w:val="10196F13"/>
    <w:rsid w:val="107C3892"/>
    <w:rsid w:val="14C56EA4"/>
    <w:rsid w:val="173C2EED"/>
    <w:rsid w:val="1CB2496B"/>
    <w:rsid w:val="1E854FF8"/>
    <w:rsid w:val="1F6B628B"/>
    <w:rsid w:val="22A5519F"/>
    <w:rsid w:val="26EA24C2"/>
    <w:rsid w:val="290F68AF"/>
    <w:rsid w:val="314A4C88"/>
    <w:rsid w:val="3E303994"/>
    <w:rsid w:val="40BA7B2E"/>
    <w:rsid w:val="46F920EB"/>
    <w:rsid w:val="4B06022B"/>
    <w:rsid w:val="4C27003E"/>
    <w:rsid w:val="4C33399F"/>
    <w:rsid w:val="4DC8028C"/>
    <w:rsid w:val="4E824F2D"/>
    <w:rsid w:val="4F7D74A2"/>
    <w:rsid w:val="501B3271"/>
    <w:rsid w:val="555148AC"/>
    <w:rsid w:val="57921EF7"/>
    <w:rsid w:val="61B42C51"/>
    <w:rsid w:val="65914762"/>
    <w:rsid w:val="670E1BEF"/>
    <w:rsid w:val="694F15D7"/>
    <w:rsid w:val="6DD00CF2"/>
    <w:rsid w:val="75615865"/>
    <w:rsid w:val="7A640BE3"/>
    <w:rsid w:val="7E9C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_GB2312"/>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563C1"/>
      <w:u w:val="single"/>
    </w:rPr>
  </w:style>
  <w:style w:type="paragraph" w:customStyle="1" w:styleId="11">
    <w:name w:val="_Style 6"/>
    <w:basedOn w:val="1"/>
    <w:qFormat/>
    <w:uiPriority w:val="34"/>
    <w:pPr>
      <w:ind w:firstLine="420" w:firstLineChars="200"/>
    </w:pPr>
  </w:style>
  <w:style w:type="character" w:customStyle="1" w:styleId="12">
    <w:name w:val="页脚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2971</Words>
  <Characters>3135</Characters>
  <Lines>23</Lines>
  <Paragraphs>6</Paragraphs>
  <TotalTime>14</TotalTime>
  <ScaleCrop>false</ScaleCrop>
  <LinksUpToDate>false</LinksUpToDate>
  <CharactersWithSpaces>3173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2025-10-28T06:10:00Z</dcterms:created>
  <dc:creator>Administrator</dc:creator>
  <cp:lastModifiedBy>林雁英</cp:lastModifiedBy>
  <dcterms:modified xsi:type="dcterms:W3CDTF">2025-10-28T06:32:53Z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A3896E01C5AE423CBFC6370FA73D1AE0_13</vt:lpwstr>
  </property>
  <property fmtid="{D5CDD505-2E9C-101B-9397-08002B2CF9AE}" pid="4" name="KSOTemplateDocerSaveRecord">
    <vt:lpwstr>eyJoZGlkIjoiNjA2M2E4NDRlNTFmNmVkZmY1N2Q2MDkzNTIzOTQ2NDkiLCJ1c2VySWQiOiIyMDExMjI3MzIifQ==</vt:lpwstr>
  </property>
</Properties>
</file>