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11B4" w14:textId="77777777" w:rsidR="00DF3F5C" w:rsidRDefault="008C2D4C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688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372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科技</w:t>
      </w:r>
      <w:proofErr w:type="gramEnd"/>
    </w:p>
    <w:p w14:paraId="0DB3F3B0" w14:textId="77777777" w:rsidR="00DF3F5C" w:rsidRDefault="008C2D4C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sz w:val="24"/>
          <w:szCs w:val="24"/>
          <w:lang w:val="en-US"/>
        </w:rPr>
        <w:t>转债代码：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 xml:space="preserve">118055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转债简称：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伟测转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债</w:t>
      </w:r>
    </w:p>
    <w:p w14:paraId="3CA4622F" w14:textId="77777777" w:rsidR="00DF3F5C" w:rsidRDefault="00DF3F5C">
      <w:pPr>
        <w:rPr>
          <w:rFonts w:ascii="Times New Roman" w:eastAsia="宋体" w:hAnsi="Times New Roman"/>
          <w:lang w:val="en-US"/>
        </w:rPr>
      </w:pPr>
    </w:p>
    <w:p w14:paraId="72A217B7" w14:textId="77777777" w:rsidR="00DF3F5C" w:rsidRDefault="008C2D4C">
      <w:pPr>
        <w:spacing w:line="360" w:lineRule="auto"/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上海伟测半导体科技股份有限公司</w:t>
      </w:r>
    </w:p>
    <w:p w14:paraId="3603D426" w14:textId="77777777" w:rsidR="00DF3F5C" w:rsidRDefault="008C2D4C">
      <w:pPr>
        <w:spacing w:line="360" w:lineRule="auto"/>
        <w:jc w:val="center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投资者关系活动记录表</w:t>
      </w:r>
    </w:p>
    <w:p w14:paraId="177DF8B7" w14:textId="65B060A5" w:rsidR="00DF3F5C" w:rsidRDefault="008C2D4C">
      <w:pPr>
        <w:spacing w:before="51" w:after="32"/>
        <w:ind w:right="19"/>
        <w:jc w:val="right"/>
        <w:rPr>
          <w:rFonts w:ascii="Times New Roman" w:eastAsia="宋体" w:hAnsi="Times New Roman" w:cs="宋体"/>
          <w:sz w:val="24"/>
          <w:szCs w:val="24"/>
          <w:lang w:val="en-US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编号：</w:t>
      </w:r>
      <w:r>
        <w:rPr>
          <w:rFonts w:ascii="Times New Roman" w:eastAsia="宋体" w:hAnsi="Times New Roman" w:cs="宋体" w:hint="eastAsia"/>
          <w:sz w:val="24"/>
          <w:szCs w:val="24"/>
          <w:lang w:val="en-US"/>
        </w:rPr>
        <w:t>2025</w:t>
      </w:r>
      <w:r>
        <w:rPr>
          <w:rFonts w:ascii="Times New Roman" w:eastAsia="宋体" w:hAnsi="Times New Roman" w:cs="宋体" w:hint="eastAsia"/>
          <w:sz w:val="24"/>
          <w:szCs w:val="24"/>
        </w:rPr>
        <w:t>-00</w:t>
      </w:r>
      <w:r w:rsidR="009C3234">
        <w:rPr>
          <w:rFonts w:ascii="Times New Roman" w:eastAsia="宋体" w:hAnsi="Times New Roman" w:cs="宋体" w:hint="eastAsia"/>
          <w:sz w:val="24"/>
          <w:szCs w:val="24"/>
          <w:lang w:val="en-US"/>
        </w:rPr>
        <w:t>5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7463"/>
      </w:tblGrid>
      <w:tr w:rsidR="00DF3F5C" w14:paraId="459B98A4" w14:textId="77777777">
        <w:trPr>
          <w:trHeight w:val="2801"/>
          <w:jc w:val="center"/>
        </w:trPr>
        <w:tc>
          <w:tcPr>
            <w:tcW w:w="1139" w:type="dxa"/>
            <w:vAlign w:val="center"/>
          </w:tcPr>
          <w:p w14:paraId="11AE9F3E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463" w:type="dxa"/>
          </w:tcPr>
          <w:p w14:paraId="42EEC4CD" w14:textId="77777777" w:rsidR="00DF3F5C" w:rsidRDefault="00DF3F5C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8831D41" w14:textId="77777777" w:rsidR="00DF3F5C" w:rsidRDefault="00FD4B9B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19BE919B" w14:textId="77777777" w:rsidR="00DF3F5C" w:rsidRDefault="00DF3F5C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F21A2E7" w14:textId="77777777" w:rsidR="00DF3F5C" w:rsidRDefault="00FD4B9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3E812998" w14:textId="77777777" w:rsidR="00DF3F5C" w:rsidRDefault="00DF3F5C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BFC867" w14:textId="77777777" w:rsidR="00DF3F5C" w:rsidRDefault="00FD4B9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3122382C" w14:textId="77777777" w:rsidR="00DF3F5C" w:rsidRDefault="00DF3F5C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8903ED" w14:textId="77777777" w:rsidR="00DF3F5C" w:rsidRDefault="00FD4B9B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 xml:space="preserve">现场访谈         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20441104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电话会议</w:t>
            </w:r>
          </w:p>
          <w:p w14:paraId="59C4796E" w14:textId="77777777" w:rsidR="00DF3F5C" w:rsidRDefault="00DF3F5C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F860F88" w14:textId="77777777" w:rsidR="00DF3F5C" w:rsidRDefault="00FD4B9B">
            <w:pPr>
              <w:pStyle w:val="TableParagraph"/>
              <w:ind w:left="107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 xml:space="preserve">其他 </w:t>
            </w:r>
            <w:r w:rsidR="008C2D4C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</w:p>
        </w:tc>
      </w:tr>
      <w:tr w:rsidR="00DF3F5C" w14:paraId="4224B6B1" w14:textId="77777777">
        <w:trPr>
          <w:trHeight w:val="485"/>
          <w:jc w:val="center"/>
        </w:trPr>
        <w:tc>
          <w:tcPr>
            <w:tcW w:w="1139" w:type="dxa"/>
            <w:vAlign w:val="center"/>
          </w:tcPr>
          <w:p w14:paraId="7E0305B3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463" w:type="dxa"/>
            <w:vAlign w:val="center"/>
          </w:tcPr>
          <w:p w14:paraId="2D304ABD" w14:textId="6978DA96" w:rsidR="00DF3F5C" w:rsidRDefault="00604F3B" w:rsidP="00097FCB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申万菱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信基金、华宝基金、蜂巢基金、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创金合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信基金、国寿资产、国泰基金、前海开源基金、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利位投资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睿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亿投资、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浙商证券资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管、交银施罗德基金、云汉资产、高腾国际、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信达澳亚基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金、国寿安保基金、宝盈基金、富达国际</w:t>
            </w:r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工银瑞信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基金、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泰德圣投资</w:t>
            </w:r>
            <w:bookmarkStart w:id="0" w:name="_GoBack"/>
            <w:bookmarkEnd w:id="0"/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、成泉资本、招商资管、西部利得基金、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圆信永丰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基金、正圆私募、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晨燕资产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、富安达基金、南方天辰、金信基金、中银国际证券、中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邮创业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基金、瀑布资产、东兴基金、东兴证券、东海基金、平安基金、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中庚基金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、平安银行、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途灵资产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、长城财富、长江资管、南方基金</w:t>
            </w:r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、长信基金、国联基金、英睿投资、粤民投、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观富资产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、新华基金、华夏久盈、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浦银安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盛基金、中银基金、天风证券、前海人寿保险、中金公司、淡水泉、路博迈基金、嘉实基金、东方红资管、鹤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禧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私募、紫金信托、国联安基金、瑞华投资、湘财证券、富国基金、龙航资产、季胜投资、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源乘私募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淳厚基金、鹏华基金、民生加银基金、农银汇理基金、摩根基金、华安基金、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鑫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元基金、富荣基金、迎水投资、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航长投资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、安信基金、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鹏扬基金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光证资管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、神农投资、长城基金、国泰君安国际、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彤</w:t>
            </w:r>
            <w:proofErr w:type="gramEnd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心雕</w:t>
            </w:r>
            <w:proofErr w:type="gramStart"/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珑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、重阳投资、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睿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石投资、东盈投资、申万宏源证券、博时基金、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森锦投资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、太平资管、中信资管、红塔证券、启泰私募、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嘉合基金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、长安基金、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沣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杨资产、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世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诚投资、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浦银安盛资管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lastRenderedPageBreak/>
              <w:t>中邮证券、光大保德信基金、鲍尔太平、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长心私募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、广发证券、天治基金、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兴证资管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、第一北京投资、兴业证券、</w:t>
            </w:r>
            <w:proofErr w:type="gramStart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精富私募</w:t>
            </w:r>
            <w:proofErr w:type="gramEnd"/>
            <w:r w:rsidRP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、中泰证券、国信证券、全天候私募、汇丰前海证券、浦发银行、中信建投、兴证全球基金、国海富兰克林基金、国海证券、九泰基金、中信证券、</w:t>
            </w:r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UBS</w:t>
            </w:r>
            <w:r w:rsidRPr="00604F3B">
              <w:rPr>
                <w:rFonts w:ascii="Times New Roman" w:eastAsia="宋体" w:hAnsi="Times New Roman" w:cs="宋体"/>
                <w:sz w:val="24"/>
                <w:szCs w:val="24"/>
              </w:rPr>
              <w:t>、招商证券</w:t>
            </w:r>
          </w:p>
        </w:tc>
      </w:tr>
      <w:tr w:rsidR="00DF3F5C" w14:paraId="425F98B1" w14:textId="77777777">
        <w:trPr>
          <w:trHeight w:val="558"/>
          <w:jc w:val="center"/>
        </w:trPr>
        <w:tc>
          <w:tcPr>
            <w:tcW w:w="1139" w:type="dxa"/>
            <w:vAlign w:val="center"/>
          </w:tcPr>
          <w:p w14:paraId="3C3F810D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463" w:type="dxa"/>
            <w:vAlign w:val="center"/>
          </w:tcPr>
          <w:p w14:paraId="66BF5A0A" w14:textId="7DEB93F6" w:rsidR="00DF3F5C" w:rsidRDefault="008C2D4C" w:rsidP="00604F3B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  <w:r w:rsidR="00604F3B">
              <w:rPr>
                <w:rFonts w:ascii="Times New Roman" w:eastAsia="宋体" w:hAnsi="Times New Roman" w:cs="宋体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DF3F5C" w14:paraId="15F15593" w14:textId="77777777">
        <w:trPr>
          <w:trHeight w:val="561"/>
          <w:jc w:val="center"/>
        </w:trPr>
        <w:tc>
          <w:tcPr>
            <w:tcW w:w="1139" w:type="dxa"/>
            <w:vAlign w:val="center"/>
          </w:tcPr>
          <w:p w14:paraId="23F08BB9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463" w:type="dxa"/>
            <w:vAlign w:val="center"/>
          </w:tcPr>
          <w:p w14:paraId="2FB4C04C" w14:textId="77777777" w:rsidR="00DF3F5C" w:rsidRDefault="008C2D4C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电话会议</w:t>
            </w:r>
          </w:p>
        </w:tc>
      </w:tr>
      <w:tr w:rsidR="00DF3F5C" w14:paraId="7858F3AA" w14:textId="77777777">
        <w:trPr>
          <w:trHeight w:val="643"/>
          <w:jc w:val="center"/>
        </w:trPr>
        <w:tc>
          <w:tcPr>
            <w:tcW w:w="1139" w:type="dxa"/>
            <w:vAlign w:val="center"/>
          </w:tcPr>
          <w:p w14:paraId="6F3F4F1F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7463" w:type="dxa"/>
            <w:vAlign w:val="center"/>
          </w:tcPr>
          <w:p w14:paraId="36734B09" w14:textId="77777777" w:rsidR="00DF3F5C" w:rsidRDefault="008C2D4C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董事、副总经理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财务总监王沛女士</w:t>
            </w:r>
          </w:p>
        </w:tc>
      </w:tr>
      <w:tr w:rsidR="00DF3F5C" w14:paraId="0DB8D9F1" w14:textId="77777777">
        <w:trPr>
          <w:trHeight w:val="2800"/>
          <w:jc w:val="center"/>
        </w:trPr>
        <w:tc>
          <w:tcPr>
            <w:tcW w:w="1139" w:type="dxa"/>
            <w:vAlign w:val="center"/>
          </w:tcPr>
          <w:p w14:paraId="7A6AFD28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463" w:type="dxa"/>
          </w:tcPr>
          <w:p w14:paraId="0E60D24A" w14:textId="2A789577" w:rsidR="00DF3F5C" w:rsidRDefault="008C2D4C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一、董事、副总经理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财务总监王沛女士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介绍公司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年</w:t>
            </w:r>
            <w:r w:rsidR="00604F3B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第三季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度业绩与经营情况</w:t>
            </w:r>
          </w:p>
          <w:p w14:paraId="4CFA86ED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（一）财务状况</w:t>
            </w:r>
          </w:p>
          <w:p w14:paraId="78E0F872" w14:textId="6F6CFC0D" w:rsidR="00604F3B" w:rsidRPr="00604F3B" w:rsidRDefault="00DF6703" w:rsidP="00DF6703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02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1-9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月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，公司实现营业收入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10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.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83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亿元，同比增加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46.22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；归属于上市公司股东的净利润为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2.02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亿元，同比增加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226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扣非后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的净利润为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1.44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亿元，同比增加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173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年前三季度，因股权激励确认的股份支付费用为</w:t>
            </w:r>
            <w:r w:rsidR="006D44A3" w:rsidRPr="00DF6703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29</w:t>
            </w:r>
            <w:r w:rsidR="006D44A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19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万元以及因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可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转债确认的利息费用为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1460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万元，如果剔除上述影响，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前三季度公司净利润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约</w:t>
            </w:r>
            <w:r w:rsidRPr="00DF6703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2.46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亿元。其中，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 w:rsidR="00604F3B" w:rsidRPr="00604F3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第三季度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实现营业收入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4.48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，环比增加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28%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；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净利润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1.01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亿元，环比增长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35%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；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扣非后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的净利润为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9018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环比增长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128%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单季度营收和利润均创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历史新高。</w:t>
            </w:r>
            <w:r w:rsidRPr="00DF670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经营活动产生的现金流量净额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约为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5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亿元，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同比增长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66%</w:t>
            </w:r>
            <w:r w:rsidR="00B40BD5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净资产规模</w:t>
            </w:r>
            <w:r w:rsidR="00B40BD5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28.5</w:t>
            </w:r>
            <w:r w:rsidR="00B40BD5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3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亿元，总资产规模</w:t>
            </w:r>
            <w:r w:rsidR="00B40BD5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69</w:t>
            </w:r>
            <w:r w:rsidR="00B40BD5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.07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</w:t>
            </w:r>
            <w:r w:rsidR="00A7631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元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23BF2A67" w14:textId="76CD1DF9" w:rsidR="00604F3B" w:rsidRPr="00604F3B" w:rsidRDefault="00B40BD5" w:rsidP="00604F3B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 w:rsidR="00604F3B" w:rsidRPr="00604F3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上半年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604F3B" w:rsidRPr="00604F3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高端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业务占比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70%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第三季度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提升至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75%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 w:rsidRPr="00604F3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上半年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CP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FT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的占比分别为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58%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42%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，而公司前三季度该两大类的占比也相对稳定，分别为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59%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41%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第三季度增长的主要动力</w:t>
            </w:r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来自</w:t>
            </w:r>
            <w:proofErr w:type="gramStart"/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于</w:t>
            </w:r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算力类</w:t>
            </w:r>
            <w:proofErr w:type="gramEnd"/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和车</w:t>
            </w:r>
            <w:proofErr w:type="gramStart"/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类</w:t>
            </w:r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产品的增长。</w:t>
            </w:r>
            <w:proofErr w:type="gramStart"/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算力类</w:t>
            </w:r>
            <w:proofErr w:type="gramEnd"/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产品的营收占</w:t>
            </w:r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比由</w:t>
            </w:r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上半年的</w:t>
            </w:r>
            <w:r w:rsidR="00604F3B" w:rsidRPr="0030456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9%</w:t>
            </w:r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提升到前三季度的</w:t>
            </w:r>
            <w:r w:rsidR="00604F3B" w:rsidRPr="0030456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13.5%</w:t>
            </w:r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；车</w:t>
            </w:r>
            <w:proofErr w:type="gramStart"/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类产品的营收较去年全年</w:t>
            </w:r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接近</w:t>
            </w:r>
            <w:r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翻番</w:t>
            </w:r>
            <w:r w:rsidR="00604F3B" w:rsidRPr="0030456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77CA8376" w14:textId="493B62C0" w:rsidR="00604F3B" w:rsidRPr="00604F3B" w:rsidRDefault="00B40BD5" w:rsidP="00604F3B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公司的</w:t>
            </w:r>
            <w:r w:rsidRPr="00604F3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综合毛利率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由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第二季度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35.99%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攀升至</w:t>
            </w:r>
            <w:r w:rsidRPr="00604F3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第三季度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的</w:t>
            </w:r>
            <w:r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44.59%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，环比提升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8.6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个百分点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主要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来自于高毛利的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高端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业务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的放量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。同时，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lastRenderedPageBreak/>
              <w:t>公司产能利用率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比较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饱满，带动整体毛利的</w:t>
            </w:r>
            <w:r w:rsidR="00604F3B" w:rsidRPr="00604F3B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提升。</w:t>
            </w:r>
          </w:p>
          <w:p w14:paraId="046077ED" w14:textId="79CB2644" w:rsidR="00DF3F5C" w:rsidRDefault="008C2D4C" w:rsidP="00604F3B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（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）业务布局与产能</w:t>
            </w:r>
          </w:p>
          <w:p w14:paraId="13FEB584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公司四个测试基地协同增效，产能稳步释放。南京新厂和无锡新厂分别于去年下半年和今年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7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月开始投入使用，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设备持续扩充，目前处于爬坡期；上海厂已经满产；深圳厂规模较小，属于租赁厂房接近满产。天津作为公司研发中心提供技术支持。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上海总部大楼预计明年落成。未来随着成都项目落地，将基本完成覆盖全国的战略布局。</w:t>
            </w:r>
          </w:p>
          <w:p w14:paraId="7C00348F" w14:textId="77777777" w:rsidR="00DF3F5C" w:rsidRDefault="008C2D4C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2"/>
                <w:sz w:val="24"/>
                <w:szCs w:val="24"/>
                <w:lang w:val="en-US" w:bidi="ar-SA"/>
              </w:rPr>
              <w:t>二、投资者提问</w:t>
            </w:r>
          </w:p>
          <w:p w14:paraId="621B0230" w14:textId="41CE5F0F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8F78A3" w:rsidRPr="008F78A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三季度环比二季度</w:t>
            </w:r>
            <w:r w:rsidR="008F78A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价格有变化吗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6B92D351" w14:textId="27D44665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8F78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比较稳定。</w:t>
            </w:r>
          </w:p>
          <w:p w14:paraId="57571F9A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79537E" w14:textId="60B6627B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proofErr w:type="gramStart"/>
            <w:r w:rsidR="008F78A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算力占</w:t>
            </w:r>
            <w:proofErr w:type="gramEnd"/>
            <w:r w:rsidR="008F78A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比及增速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26CC2AA7" w14:textId="4D43117E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C80FC9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公司前三季度</w:t>
            </w:r>
            <w:proofErr w:type="gramStart"/>
            <w:r w:rsidR="008F78A3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算力类</w:t>
            </w:r>
            <w:proofErr w:type="gramEnd"/>
            <w:r w:rsidR="008F78A3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业务占</w:t>
            </w:r>
            <w:r w:rsidR="00C80FC9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</w:t>
            </w:r>
            <w:r w:rsidR="008F78A3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="008F78A3" w:rsidRPr="0030456B">
              <w:rPr>
                <w:rFonts w:ascii="Times New Roman" w:eastAsia="宋体" w:hAnsi="Times New Roman" w:cs="Times New Roman"/>
                <w:sz w:val="24"/>
                <w:szCs w:val="24"/>
              </w:rPr>
              <w:t>13.5%</w:t>
            </w:r>
            <w:r w:rsidR="00C80FC9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F78A3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已超过去年全年的</w:t>
            </w:r>
            <w:r w:rsidR="008F78A3" w:rsidRPr="0030456B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8F78A3" w:rsidRPr="003045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倍。</w:t>
            </w:r>
          </w:p>
          <w:p w14:paraId="529BB1DE" w14:textId="2102FD85" w:rsidR="00DF3F5C" w:rsidRPr="00C80FC9" w:rsidRDefault="008C2D4C" w:rsidP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="008E2C4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07A8DA6" w14:textId="33B980A4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8E2C4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车</w:t>
            </w:r>
            <w:proofErr w:type="gramStart"/>
            <w:r w:rsidR="008E2C4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规</w:t>
            </w:r>
            <w:proofErr w:type="gramEnd"/>
            <w:r w:rsidR="008E2C4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类产品的情况</w:t>
            </w:r>
            <w:r w:rsidR="008C2D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5A649010" w14:textId="59DB185A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8E2C4E" w:rsidRPr="008E2C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公司车</w:t>
            </w:r>
            <w:proofErr w:type="gramStart"/>
            <w:r w:rsidR="008E2C4E" w:rsidRPr="008E2C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 w:rsidR="008E2C4E" w:rsidRPr="008E2C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产品驱动增长，客户覆盖</w:t>
            </w:r>
            <w:proofErr w:type="gramStart"/>
            <w:r w:rsidR="008E2C4E" w:rsidRPr="008E2C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主流智驾公司</w:t>
            </w:r>
            <w:proofErr w:type="gramEnd"/>
            <w:r w:rsidR="008E2C4E" w:rsidRPr="008E2C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，并正与车厂合作，看好明年市场前景</w:t>
            </w:r>
            <w:r w:rsidR="008E2C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7893BE" w14:textId="77777777" w:rsidR="00DF3F5C" w:rsidRDefault="00DF3F5C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6BDB31" w14:textId="12B619D4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8E2C4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展望下</w:t>
            </w:r>
            <w:proofErr w:type="gramStart"/>
            <w:r w:rsidR="008E2C4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稼</w:t>
            </w:r>
            <w:proofErr w:type="gramEnd"/>
            <w:r w:rsidR="008E2C4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动率</w:t>
            </w:r>
            <w:r w:rsidR="008C2D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114EC2D8" w14:textId="451BC503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DE4DE7" w:rsidRPr="00DE4D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公司四季度的产能利用率</w:t>
            </w:r>
            <w:r w:rsidR="00DE4D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预期继续</w:t>
            </w:r>
            <w:r w:rsidR="00DE4DE7" w:rsidRPr="00DE4D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维持在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高位，且四季度因新设备</w:t>
            </w:r>
            <w:r w:rsidR="00DE4DE7">
              <w:rPr>
                <w:rFonts w:ascii="Times New Roman" w:eastAsia="宋体" w:hAnsi="Times New Roman" w:cs="Times New Roman"/>
                <w:sz w:val="24"/>
                <w:szCs w:val="24"/>
              </w:rPr>
              <w:t>陆续到位以满足客户新需求，前景比较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乐观。</w:t>
            </w:r>
          </w:p>
          <w:p w14:paraId="57FB5789" w14:textId="77777777" w:rsidR="00DE4DE7" w:rsidRDefault="00DE4DE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D65277" w14:textId="13F6F8C3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DE4DE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资本支出计划</w:t>
            </w:r>
            <w:r w:rsidR="008C2D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8C2D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089CC60" w14:textId="252B7CE6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DE4DE7" w:rsidRPr="00DE4D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今年公司资本开支超出原计划，前三季度已达约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亿（设备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亿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厂房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亿）。主要原因是客户需求旺盛，尤其</w:t>
            </w:r>
            <w:proofErr w:type="gramStart"/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在算力和</w:t>
            </w:r>
            <w:proofErr w:type="gramEnd"/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汽车电子等领域增长</w:t>
            </w:r>
            <w:r w:rsidR="00DE4DE7">
              <w:rPr>
                <w:rFonts w:ascii="Times New Roman" w:eastAsia="宋体" w:hAnsi="Times New Roman" w:cs="Times New Roman"/>
                <w:sz w:val="24"/>
                <w:szCs w:val="24"/>
              </w:rPr>
              <w:t>较大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，同时为满足</w:t>
            </w:r>
            <w:r w:rsidR="00DE4DE7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测试需求</w:t>
            </w:r>
            <w:r w:rsidR="00DE4DE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DE4D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SLT 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测试、老化测试、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In Tray Mark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Lead Scan</w:t>
            </w:r>
            <w:r w:rsidR="00DE4DE7">
              <w:rPr>
                <w:rFonts w:ascii="Times New Roman" w:eastAsia="宋体" w:hAnsi="Times New Roman" w:cs="Times New Roman"/>
                <w:sz w:val="24"/>
                <w:szCs w:val="24"/>
              </w:rPr>
              <w:t>）也增加了投入，</w:t>
            </w:r>
            <w:r w:rsidR="00DE4DE7" w:rsidRPr="00DE4DE7">
              <w:rPr>
                <w:rFonts w:ascii="Times New Roman" w:eastAsia="宋体" w:hAnsi="Times New Roman" w:cs="Times New Roman"/>
                <w:sz w:val="24"/>
                <w:szCs w:val="24"/>
              </w:rPr>
              <w:t>旨为未来产能持续增长奠定基础。</w:t>
            </w:r>
          </w:p>
          <w:p w14:paraId="6A990F6F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79BB55" w14:textId="3ACFBAF2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DE4D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</w:t>
            </w:r>
            <w:r w:rsidR="00DE4D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营收占比提升的原因</w:t>
            </w:r>
            <w:r w:rsidR="008C2D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44C05B7E" w14:textId="45F75DA0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1F7884" w:rsidRPr="001F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上半年</w:t>
            </w:r>
            <w:r w:rsidR="001F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</w:t>
            </w:r>
            <w:proofErr w:type="gramStart"/>
            <w:r w:rsidR="001F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营收占比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因美国</w:t>
            </w:r>
            <w:proofErr w:type="gramEnd"/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BIS</w:t>
            </w:r>
            <w:r w:rsidR="001F7884">
              <w:rPr>
                <w:rFonts w:ascii="Times New Roman" w:eastAsia="宋体" w:hAnsi="Times New Roman" w:cs="Times New Roman"/>
                <w:sz w:val="24"/>
                <w:szCs w:val="24"/>
              </w:rPr>
              <w:t>政策影响同比稍有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减少，部分订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单转至</w:t>
            </w:r>
            <w:r w:rsidR="001F7884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台湾</w:t>
            </w:r>
            <w:r w:rsidR="001F7884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随着时间推移，部分客户通过进入</w:t>
            </w:r>
            <w:r w:rsidR="001F7884" w:rsidRPr="001F7884">
              <w:rPr>
                <w:rFonts w:ascii="宋体" w:eastAsia="宋体" w:hAnsi="宋体" w:cs="Times New Roman"/>
                <w:sz w:val="24"/>
                <w:szCs w:val="24"/>
              </w:rPr>
              <w:t>“白名单”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或调整供应链，已将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CP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测试转回。同时，</w:t>
            </w:r>
            <w:r w:rsidR="001F7884">
              <w:rPr>
                <w:rFonts w:ascii="Times New Roman" w:eastAsia="宋体" w:hAnsi="Times New Roman" w:cs="Times New Roman"/>
                <w:sz w:val="24"/>
                <w:szCs w:val="24"/>
              </w:rPr>
              <w:t>也有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新客户</w:t>
            </w:r>
            <w:r w:rsidR="001F7884">
              <w:rPr>
                <w:rFonts w:ascii="Times New Roman" w:eastAsia="宋体" w:hAnsi="Times New Roman" w:cs="Times New Roman"/>
                <w:sz w:val="24"/>
                <w:szCs w:val="24"/>
              </w:rPr>
              <w:t>的加入</w:t>
            </w:r>
            <w:r w:rsidR="001F7884" w:rsidRPr="001F788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C280DA3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C9D9D72" w14:textId="14A65D34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6678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设备采购是否紧张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21889253" w14:textId="2BBFD1D5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目前公司设备采购渠道较为顺畅</w:t>
            </w:r>
            <w:r w:rsidR="0066788C" w:rsidRP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47B65E5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09E438" w14:textId="6A435EE7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6678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四季度股份支付费用和可转</w:t>
            </w:r>
            <w:proofErr w:type="gramStart"/>
            <w:r w:rsidR="006678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债费用</w:t>
            </w:r>
            <w:proofErr w:type="gramEnd"/>
            <w:r w:rsidR="006678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及明年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017FC9AC" w14:textId="70E46CF4" w:rsidR="00DF3F5C" w:rsidRDefault="008C2D4C" w:rsidP="0066788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6788C" w:rsidRP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第四季度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66788C" w:rsidRP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股份支付费用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900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多万元，可</w:t>
            </w:r>
            <w:r w:rsidR="0066788C" w:rsidRP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转债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的利息</w:t>
            </w:r>
            <w:r w:rsidR="0066788C" w:rsidRP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费用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800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万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年全年</w:t>
            </w:r>
            <w:r w:rsidR="0066788C" w:rsidRP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股份支付费用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3800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多万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，明年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大概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2300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万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左右。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02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</w:t>
            </w:r>
            <w:r w:rsidR="0066788C" w:rsidRP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转债的利息费用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会高于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6678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02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如果不提前赎回，</w:t>
            </w:r>
            <w:r w:rsidR="0066788C">
              <w:rPr>
                <w:rFonts w:ascii="Times New Roman" w:eastAsia="宋体" w:hAnsi="Times New Roman" w:cs="Times New Roman"/>
                <w:sz w:val="24"/>
                <w:szCs w:val="24"/>
              </w:rPr>
              <w:t>预计</w:t>
            </w:r>
            <w:r w:rsidR="00652735">
              <w:rPr>
                <w:rFonts w:ascii="Times New Roman" w:eastAsia="宋体" w:hAnsi="Times New Roman" w:cs="Times New Roman"/>
                <w:sz w:val="24"/>
                <w:szCs w:val="24"/>
              </w:rPr>
              <w:t>明年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大概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3100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万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="0066788C" w:rsidRPr="0066788C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408B14F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9B23426" w14:textId="56EC4FA9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8C2D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r w:rsidR="00652735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今年的折旧</w:t>
            </w:r>
            <w:r w:rsidR="008C2D4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？</w:t>
            </w:r>
          </w:p>
          <w:p w14:paraId="3752FF5F" w14:textId="37806D9A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652735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折旧</w:t>
            </w:r>
            <w:r w:rsidR="00652735">
              <w:rPr>
                <w:rFonts w:ascii="Times New Roman" w:eastAsia="宋体" w:hAnsi="Times New Roman" w:cs="Times New Roman"/>
                <w:sz w:val="24"/>
                <w:szCs w:val="24"/>
              </w:rPr>
              <w:t>约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3.13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亿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。预计</w:t>
            </w:r>
            <w:r w:rsidR="00652735">
              <w:rPr>
                <w:rFonts w:ascii="Times New Roman" w:eastAsia="宋体" w:hAnsi="Times New Roman" w:cs="Times New Roman"/>
                <w:sz w:val="24"/>
                <w:szCs w:val="24"/>
              </w:rPr>
              <w:t>全年约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4.5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亿元的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折旧费用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536B2AE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094513F" w14:textId="4C594E9F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C80FC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proofErr w:type="gramStart"/>
            <w:r w:rsidR="0065273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算力类</w:t>
            </w:r>
            <w:proofErr w:type="gramEnd"/>
            <w:r w:rsidR="0065273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是怎么</w:t>
            </w:r>
            <w:r w:rsidR="00652735" w:rsidRPr="0065273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定义的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？</w:t>
            </w:r>
          </w:p>
          <w:p w14:paraId="7BA527BB" w14:textId="41AD1519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CPU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GPU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652735" w:rsidRPr="00652735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="00652735">
              <w:rPr>
                <w:rFonts w:ascii="Times New Roman" w:eastAsia="宋体" w:hAnsi="Times New Roman" w:cs="Times New Roman"/>
                <w:sz w:val="24"/>
                <w:szCs w:val="24"/>
              </w:rPr>
              <w:t>芯片、</w:t>
            </w:r>
            <w:r w:rsidR="00652735" w:rsidRP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智能驾驶芯片，以及服务器和比特币矿机</w:t>
            </w:r>
            <w:r w:rsidR="00870A2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652735" w:rsidRP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相关的芯片。</w:t>
            </w:r>
          </w:p>
          <w:p w14:paraId="46D9F4C6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16DDF57" w14:textId="7A241045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C80FC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r w:rsidR="00652735" w:rsidRPr="00652735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en-US"/>
              </w:rPr>
              <w:t>CPU、GPU</w:t>
            </w:r>
            <w:r w:rsidR="00652735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en-US"/>
              </w:rPr>
              <w:t>测试的</w:t>
            </w:r>
            <w:r w:rsidR="0065273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区别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？</w:t>
            </w:r>
          </w:p>
          <w:p w14:paraId="05CA18CB" w14:textId="79D4529B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proofErr w:type="gramStart"/>
            <w:r w:rsidR="00652735" w:rsidRP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算力类</w:t>
            </w:r>
            <w:proofErr w:type="gramEnd"/>
            <w:r w:rsidR="00652735" w:rsidRP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芯片的测试业务非常复杂，其特点是测试程序复杂、测试时间长，且每种芯片的测试方案都因性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能、功能和客户要求的不同而高度定制，几乎没有完全相同的两个案例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EE23A36" w14:textId="77777777" w:rsidR="00652735" w:rsidRDefault="00652735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A1AD1E2" w14:textId="616DFEDC" w:rsidR="00E00DEC" w:rsidRDefault="00E00DEC" w:rsidP="00E00DE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C80FC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en-US"/>
              </w:rPr>
              <w:t>各厂营收占比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？</w:t>
            </w:r>
          </w:p>
          <w:p w14:paraId="61F29355" w14:textId="052BA5B9" w:rsidR="00E00DEC" w:rsidRDefault="00E00DEC" w:rsidP="00E00DE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E00D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我们的营收基地分布为：无锡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(60%)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、上海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(20%)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、南京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(15%)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、深圳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(5%)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。上海因场地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有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限增长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受制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，新厂建成后将改变这一局面。</w:t>
            </w:r>
          </w:p>
          <w:p w14:paraId="3B864BE8" w14:textId="77777777" w:rsidR="00E00DEC" w:rsidRDefault="00E00DE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BDC239" w14:textId="022112B1" w:rsidR="00E00DEC" w:rsidRDefault="00E00DEC" w:rsidP="00E00DE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C80FC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、公司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en-US"/>
              </w:rPr>
              <w:t>存储芯片测试情况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？</w:t>
            </w:r>
          </w:p>
          <w:p w14:paraId="11255E9F" w14:textId="2C5CBC1D" w:rsidR="00DF3F5C" w:rsidRDefault="00E00DEC" w:rsidP="00E00DE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E00D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公司目前存储测试业务以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Nor Flash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为主，暂未计划大规模拓展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至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DRAM/NAND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领域。主要原因在于</w:t>
            </w:r>
            <w:r w:rsidRPr="00E00D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存储测试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专用设备通用性差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且投资巨大和国内存储芯片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厂商以自测为主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。公司更倾向于将资本投向客户覆盖面更广、通用性更强的领域</w:t>
            </w:r>
            <w:r w:rsidRPr="00E00DEC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093DA63" w14:textId="247755DA" w:rsidR="00E00DEC" w:rsidRDefault="00E00DEC" w:rsidP="00C80FC9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3F5C" w14:paraId="6C7F4666" w14:textId="77777777">
        <w:trPr>
          <w:trHeight w:val="1433"/>
          <w:jc w:val="center"/>
        </w:trPr>
        <w:tc>
          <w:tcPr>
            <w:tcW w:w="1139" w:type="dxa"/>
            <w:vAlign w:val="center"/>
          </w:tcPr>
          <w:p w14:paraId="7E8B0EAF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7463" w:type="dxa"/>
          </w:tcPr>
          <w:p w14:paraId="530EDC9E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以上如涉及对行业的预测、公司发展规划等相关内容，不代表公司或公司管理层对行业、公司发展或业绩的盈利预测和承诺，不构成公司对投资者的实质性承诺，敬请广大投资者注意投资风险。</w:t>
            </w:r>
          </w:p>
        </w:tc>
      </w:tr>
      <w:tr w:rsidR="00DF3F5C" w14:paraId="4225B1AD" w14:textId="77777777">
        <w:trPr>
          <w:trHeight w:val="599"/>
          <w:jc w:val="center"/>
        </w:trPr>
        <w:tc>
          <w:tcPr>
            <w:tcW w:w="1139" w:type="dxa"/>
            <w:vAlign w:val="center"/>
          </w:tcPr>
          <w:p w14:paraId="21A6E327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7463" w:type="dxa"/>
            <w:vAlign w:val="center"/>
          </w:tcPr>
          <w:p w14:paraId="7EE7F072" w14:textId="77777777" w:rsidR="00DF3F5C" w:rsidRDefault="008C2D4C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4"/>
                <w:szCs w:val="24"/>
                <w:lang w:val="en-US" w:eastAsia="zh-Hans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无</w:t>
            </w:r>
          </w:p>
        </w:tc>
      </w:tr>
    </w:tbl>
    <w:p w14:paraId="655743AE" w14:textId="77777777" w:rsidR="00DF3F5C" w:rsidRDefault="00DF3F5C">
      <w:pPr>
        <w:pStyle w:val="paragraph"/>
        <w:spacing w:before="0" w:beforeAutospacing="0" w:afterLines="100" w:after="240" w:afterAutospacing="0"/>
        <w:jc w:val="both"/>
        <w:rPr>
          <w:rFonts w:ascii="Times New Roman" w:eastAsia="宋体" w:hAnsi="Times New Roman"/>
          <w:color w:val="000000"/>
        </w:rPr>
      </w:pPr>
    </w:p>
    <w:sectPr w:rsidR="00DF3F5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EE96A" w14:textId="77777777" w:rsidR="00FD4B9B" w:rsidRDefault="00FD4B9B" w:rsidP="00097FCB">
      <w:r>
        <w:separator/>
      </w:r>
    </w:p>
  </w:endnote>
  <w:endnote w:type="continuationSeparator" w:id="0">
    <w:p w14:paraId="20BB3AAA" w14:textId="77777777" w:rsidR="00FD4B9B" w:rsidRDefault="00FD4B9B" w:rsidP="000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456E0" w14:textId="77777777" w:rsidR="00FD4B9B" w:rsidRDefault="00FD4B9B" w:rsidP="00097FCB">
      <w:r>
        <w:separator/>
      </w:r>
    </w:p>
  </w:footnote>
  <w:footnote w:type="continuationSeparator" w:id="0">
    <w:p w14:paraId="4C9CDB4E" w14:textId="77777777" w:rsidR="00FD4B9B" w:rsidRDefault="00FD4B9B" w:rsidP="00097FC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 Pei">
    <w15:presenceInfo w15:providerId="AD" w15:userId="S-1-5-21-3292799169-1765499166-59751486-1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6CC3"/>
    <w:rsid w:val="00036089"/>
    <w:rsid w:val="00053CFA"/>
    <w:rsid w:val="000577F8"/>
    <w:rsid w:val="000633EC"/>
    <w:rsid w:val="00063804"/>
    <w:rsid w:val="000665A2"/>
    <w:rsid w:val="00070D81"/>
    <w:rsid w:val="000759D7"/>
    <w:rsid w:val="00082944"/>
    <w:rsid w:val="000857A4"/>
    <w:rsid w:val="000877AB"/>
    <w:rsid w:val="0009126F"/>
    <w:rsid w:val="00097FCB"/>
    <w:rsid w:val="000A2828"/>
    <w:rsid w:val="000A44DE"/>
    <w:rsid w:val="000B75BA"/>
    <w:rsid w:val="000B7C08"/>
    <w:rsid w:val="000D12CF"/>
    <w:rsid w:val="000D2D88"/>
    <w:rsid w:val="000D658C"/>
    <w:rsid w:val="000E4B20"/>
    <w:rsid w:val="000E4FCF"/>
    <w:rsid w:val="000F5CFF"/>
    <w:rsid w:val="000F7B52"/>
    <w:rsid w:val="0011418F"/>
    <w:rsid w:val="00117B1D"/>
    <w:rsid w:val="0012250D"/>
    <w:rsid w:val="0013206B"/>
    <w:rsid w:val="00150BC8"/>
    <w:rsid w:val="00172C24"/>
    <w:rsid w:val="00173C36"/>
    <w:rsid w:val="00173DE7"/>
    <w:rsid w:val="001778F6"/>
    <w:rsid w:val="001818AD"/>
    <w:rsid w:val="00190FE3"/>
    <w:rsid w:val="001918C4"/>
    <w:rsid w:val="001A57E3"/>
    <w:rsid w:val="001B4711"/>
    <w:rsid w:val="001B559B"/>
    <w:rsid w:val="001C1D90"/>
    <w:rsid w:val="001C7260"/>
    <w:rsid w:val="001D2D55"/>
    <w:rsid w:val="001E1886"/>
    <w:rsid w:val="001E59D1"/>
    <w:rsid w:val="001E5EA4"/>
    <w:rsid w:val="001F1EE1"/>
    <w:rsid w:val="001F7884"/>
    <w:rsid w:val="002042A7"/>
    <w:rsid w:val="002051AE"/>
    <w:rsid w:val="00205911"/>
    <w:rsid w:val="002146AD"/>
    <w:rsid w:val="002348D1"/>
    <w:rsid w:val="0024262E"/>
    <w:rsid w:val="002618DB"/>
    <w:rsid w:val="002676DB"/>
    <w:rsid w:val="00275CB6"/>
    <w:rsid w:val="002800B5"/>
    <w:rsid w:val="00285CD0"/>
    <w:rsid w:val="00290116"/>
    <w:rsid w:val="00293238"/>
    <w:rsid w:val="00295331"/>
    <w:rsid w:val="00295B29"/>
    <w:rsid w:val="0029704C"/>
    <w:rsid w:val="00297501"/>
    <w:rsid w:val="002B45D2"/>
    <w:rsid w:val="002B62C3"/>
    <w:rsid w:val="002C13E4"/>
    <w:rsid w:val="002C4055"/>
    <w:rsid w:val="002C549B"/>
    <w:rsid w:val="002C6F3D"/>
    <w:rsid w:val="002D1A46"/>
    <w:rsid w:val="002D2CE3"/>
    <w:rsid w:val="002D355E"/>
    <w:rsid w:val="002D4073"/>
    <w:rsid w:val="002E7098"/>
    <w:rsid w:val="002F5191"/>
    <w:rsid w:val="002F63BE"/>
    <w:rsid w:val="00301D32"/>
    <w:rsid w:val="0030456B"/>
    <w:rsid w:val="00306A62"/>
    <w:rsid w:val="00307E23"/>
    <w:rsid w:val="0031357A"/>
    <w:rsid w:val="00322733"/>
    <w:rsid w:val="00347CB6"/>
    <w:rsid w:val="00351E4A"/>
    <w:rsid w:val="0035561C"/>
    <w:rsid w:val="00357807"/>
    <w:rsid w:val="003578E8"/>
    <w:rsid w:val="00366FAD"/>
    <w:rsid w:val="0036713B"/>
    <w:rsid w:val="0037105B"/>
    <w:rsid w:val="0038006C"/>
    <w:rsid w:val="0039316F"/>
    <w:rsid w:val="003975BA"/>
    <w:rsid w:val="003A2B26"/>
    <w:rsid w:val="003A74E6"/>
    <w:rsid w:val="003B73DD"/>
    <w:rsid w:val="003C7C2F"/>
    <w:rsid w:val="003D011C"/>
    <w:rsid w:val="003F6D3C"/>
    <w:rsid w:val="00401496"/>
    <w:rsid w:val="00403B08"/>
    <w:rsid w:val="004108C7"/>
    <w:rsid w:val="00412DC2"/>
    <w:rsid w:val="004146AD"/>
    <w:rsid w:val="004350A0"/>
    <w:rsid w:val="004368FF"/>
    <w:rsid w:val="00440041"/>
    <w:rsid w:val="00443FE5"/>
    <w:rsid w:val="00451268"/>
    <w:rsid w:val="004515AD"/>
    <w:rsid w:val="00451857"/>
    <w:rsid w:val="00453516"/>
    <w:rsid w:val="0045629D"/>
    <w:rsid w:val="00457548"/>
    <w:rsid w:val="00461796"/>
    <w:rsid w:val="0046309A"/>
    <w:rsid w:val="004632DA"/>
    <w:rsid w:val="00463650"/>
    <w:rsid w:val="00470DB2"/>
    <w:rsid w:val="00480ACA"/>
    <w:rsid w:val="00482DDD"/>
    <w:rsid w:val="00483B65"/>
    <w:rsid w:val="0048425F"/>
    <w:rsid w:val="00485A3F"/>
    <w:rsid w:val="004925E7"/>
    <w:rsid w:val="00495B11"/>
    <w:rsid w:val="004C4F91"/>
    <w:rsid w:val="004D414E"/>
    <w:rsid w:val="004D503C"/>
    <w:rsid w:val="004E286B"/>
    <w:rsid w:val="004E3894"/>
    <w:rsid w:val="004E4304"/>
    <w:rsid w:val="004E43C1"/>
    <w:rsid w:val="004E4491"/>
    <w:rsid w:val="004F0F72"/>
    <w:rsid w:val="004F1B91"/>
    <w:rsid w:val="004F6FF3"/>
    <w:rsid w:val="00500908"/>
    <w:rsid w:val="00507A0D"/>
    <w:rsid w:val="0051181D"/>
    <w:rsid w:val="00522E31"/>
    <w:rsid w:val="00524AC9"/>
    <w:rsid w:val="00525CFE"/>
    <w:rsid w:val="00533E07"/>
    <w:rsid w:val="00544AD9"/>
    <w:rsid w:val="005458CF"/>
    <w:rsid w:val="005540AA"/>
    <w:rsid w:val="00571B49"/>
    <w:rsid w:val="005743AE"/>
    <w:rsid w:val="005762CD"/>
    <w:rsid w:val="005869A1"/>
    <w:rsid w:val="005934B2"/>
    <w:rsid w:val="0059477D"/>
    <w:rsid w:val="005972A6"/>
    <w:rsid w:val="005A3F66"/>
    <w:rsid w:val="005B313C"/>
    <w:rsid w:val="005B482C"/>
    <w:rsid w:val="005D0DCE"/>
    <w:rsid w:val="005D30A7"/>
    <w:rsid w:val="005D64CA"/>
    <w:rsid w:val="005E2FC7"/>
    <w:rsid w:val="005E5717"/>
    <w:rsid w:val="005E6DB2"/>
    <w:rsid w:val="005F44BD"/>
    <w:rsid w:val="005F709A"/>
    <w:rsid w:val="00604F3B"/>
    <w:rsid w:val="00611393"/>
    <w:rsid w:val="00611E0E"/>
    <w:rsid w:val="0061433E"/>
    <w:rsid w:val="006159E3"/>
    <w:rsid w:val="00616F76"/>
    <w:rsid w:val="00616FDF"/>
    <w:rsid w:val="0062246F"/>
    <w:rsid w:val="0062751D"/>
    <w:rsid w:val="00627BB3"/>
    <w:rsid w:val="0063059B"/>
    <w:rsid w:val="00631087"/>
    <w:rsid w:val="006354AA"/>
    <w:rsid w:val="00642556"/>
    <w:rsid w:val="0064351C"/>
    <w:rsid w:val="00652735"/>
    <w:rsid w:val="00661AFA"/>
    <w:rsid w:val="0066788C"/>
    <w:rsid w:val="006726BF"/>
    <w:rsid w:val="00675B49"/>
    <w:rsid w:val="00677B77"/>
    <w:rsid w:val="0068718A"/>
    <w:rsid w:val="0069089C"/>
    <w:rsid w:val="006960E7"/>
    <w:rsid w:val="00696FCC"/>
    <w:rsid w:val="006A2286"/>
    <w:rsid w:val="006A2739"/>
    <w:rsid w:val="006A57E2"/>
    <w:rsid w:val="006B5C95"/>
    <w:rsid w:val="006B7293"/>
    <w:rsid w:val="006C0CED"/>
    <w:rsid w:val="006D1AD0"/>
    <w:rsid w:val="006D44A3"/>
    <w:rsid w:val="006D544A"/>
    <w:rsid w:val="006D737E"/>
    <w:rsid w:val="006E14B0"/>
    <w:rsid w:val="006E66E1"/>
    <w:rsid w:val="006F0108"/>
    <w:rsid w:val="006F4275"/>
    <w:rsid w:val="006F4608"/>
    <w:rsid w:val="006F672A"/>
    <w:rsid w:val="00704AE6"/>
    <w:rsid w:val="00711DB3"/>
    <w:rsid w:val="007153A2"/>
    <w:rsid w:val="007205DC"/>
    <w:rsid w:val="00724A68"/>
    <w:rsid w:val="007271BF"/>
    <w:rsid w:val="00727DDE"/>
    <w:rsid w:val="00730DD3"/>
    <w:rsid w:val="00733224"/>
    <w:rsid w:val="00733C9A"/>
    <w:rsid w:val="00741E7A"/>
    <w:rsid w:val="00744BA0"/>
    <w:rsid w:val="00755F0F"/>
    <w:rsid w:val="00756904"/>
    <w:rsid w:val="00763EA3"/>
    <w:rsid w:val="00764128"/>
    <w:rsid w:val="00767AE4"/>
    <w:rsid w:val="007817AF"/>
    <w:rsid w:val="007824B8"/>
    <w:rsid w:val="00785B39"/>
    <w:rsid w:val="007910DD"/>
    <w:rsid w:val="00795B68"/>
    <w:rsid w:val="007A3EC1"/>
    <w:rsid w:val="007B3368"/>
    <w:rsid w:val="007C10BC"/>
    <w:rsid w:val="007C1D25"/>
    <w:rsid w:val="007C37B9"/>
    <w:rsid w:val="007C3CA9"/>
    <w:rsid w:val="007C68E1"/>
    <w:rsid w:val="007C7017"/>
    <w:rsid w:val="007D0A69"/>
    <w:rsid w:val="007D64BB"/>
    <w:rsid w:val="007D6DC4"/>
    <w:rsid w:val="007F529A"/>
    <w:rsid w:val="00807FCD"/>
    <w:rsid w:val="00810505"/>
    <w:rsid w:val="00812425"/>
    <w:rsid w:val="00812598"/>
    <w:rsid w:val="008160A0"/>
    <w:rsid w:val="00830491"/>
    <w:rsid w:val="00831107"/>
    <w:rsid w:val="00832BF4"/>
    <w:rsid w:val="0083536E"/>
    <w:rsid w:val="00840B10"/>
    <w:rsid w:val="00840FC0"/>
    <w:rsid w:val="008467EA"/>
    <w:rsid w:val="0085308D"/>
    <w:rsid w:val="00853463"/>
    <w:rsid w:val="00856D25"/>
    <w:rsid w:val="008615C6"/>
    <w:rsid w:val="00870A23"/>
    <w:rsid w:val="00876634"/>
    <w:rsid w:val="00890268"/>
    <w:rsid w:val="00893F25"/>
    <w:rsid w:val="008949B2"/>
    <w:rsid w:val="00895035"/>
    <w:rsid w:val="008977AF"/>
    <w:rsid w:val="008A1E07"/>
    <w:rsid w:val="008B2B14"/>
    <w:rsid w:val="008B57AA"/>
    <w:rsid w:val="008B6464"/>
    <w:rsid w:val="008C1BE0"/>
    <w:rsid w:val="008C2D4C"/>
    <w:rsid w:val="008C6AED"/>
    <w:rsid w:val="008C7604"/>
    <w:rsid w:val="008D2EAF"/>
    <w:rsid w:val="008E0A51"/>
    <w:rsid w:val="008E1B27"/>
    <w:rsid w:val="008E2C4E"/>
    <w:rsid w:val="008E61B0"/>
    <w:rsid w:val="008F7496"/>
    <w:rsid w:val="008F78A3"/>
    <w:rsid w:val="00903379"/>
    <w:rsid w:val="00906975"/>
    <w:rsid w:val="009171C5"/>
    <w:rsid w:val="00917F0B"/>
    <w:rsid w:val="00917F8B"/>
    <w:rsid w:val="00932338"/>
    <w:rsid w:val="00951CD8"/>
    <w:rsid w:val="00954332"/>
    <w:rsid w:val="009564E0"/>
    <w:rsid w:val="009605F6"/>
    <w:rsid w:val="00960698"/>
    <w:rsid w:val="00960964"/>
    <w:rsid w:val="00965E4D"/>
    <w:rsid w:val="009760BD"/>
    <w:rsid w:val="00977143"/>
    <w:rsid w:val="00986110"/>
    <w:rsid w:val="0099154E"/>
    <w:rsid w:val="009922B0"/>
    <w:rsid w:val="009A20C4"/>
    <w:rsid w:val="009B1D5C"/>
    <w:rsid w:val="009B4901"/>
    <w:rsid w:val="009C080B"/>
    <w:rsid w:val="009C2464"/>
    <w:rsid w:val="009C2E31"/>
    <w:rsid w:val="009C3234"/>
    <w:rsid w:val="009D0316"/>
    <w:rsid w:val="009D4301"/>
    <w:rsid w:val="009E0D5D"/>
    <w:rsid w:val="009E1955"/>
    <w:rsid w:val="009E7ED5"/>
    <w:rsid w:val="00A061BF"/>
    <w:rsid w:val="00A10245"/>
    <w:rsid w:val="00A26325"/>
    <w:rsid w:val="00A330C0"/>
    <w:rsid w:val="00A33784"/>
    <w:rsid w:val="00A3445D"/>
    <w:rsid w:val="00A416C4"/>
    <w:rsid w:val="00A43140"/>
    <w:rsid w:val="00A52607"/>
    <w:rsid w:val="00A527AA"/>
    <w:rsid w:val="00A56784"/>
    <w:rsid w:val="00A5684D"/>
    <w:rsid w:val="00A63B43"/>
    <w:rsid w:val="00A75C61"/>
    <w:rsid w:val="00A76316"/>
    <w:rsid w:val="00A7758F"/>
    <w:rsid w:val="00A955CE"/>
    <w:rsid w:val="00A9601B"/>
    <w:rsid w:val="00A9642C"/>
    <w:rsid w:val="00AA02FC"/>
    <w:rsid w:val="00AA0910"/>
    <w:rsid w:val="00AA4348"/>
    <w:rsid w:val="00AB2DDC"/>
    <w:rsid w:val="00AD100E"/>
    <w:rsid w:val="00AD3FFF"/>
    <w:rsid w:val="00AE1E36"/>
    <w:rsid w:val="00AF74AA"/>
    <w:rsid w:val="00B03C2F"/>
    <w:rsid w:val="00B05CAA"/>
    <w:rsid w:val="00B07DE9"/>
    <w:rsid w:val="00B15064"/>
    <w:rsid w:val="00B219F7"/>
    <w:rsid w:val="00B27754"/>
    <w:rsid w:val="00B3167B"/>
    <w:rsid w:val="00B340A3"/>
    <w:rsid w:val="00B36D66"/>
    <w:rsid w:val="00B375AD"/>
    <w:rsid w:val="00B40BD5"/>
    <w:rsid w:val="00B410F5"/>
    <w:rsid w:val="00B44242"/>
    <w:rsid w:val="00B546CF"/>
    <w:rsid w:val="00B6280C"/>
    <w:rsid w:val="00B6415C"/>
    <w:rsid w:val="00B671A4"/>
    <w:rsid w:val="00B72CD4"/>
    <w:rsid w:val="00B83832"/>
    <w:rsid w:val="00B85B00"/>
    <w:rsid w:val="00BA4159"/>
    <w:rsid w:val="00BA5BB7"/>
    <w:rsid w:val="00BB40A8"/>
    <w:rsid w:val="00BB56F7"/>
    <w:rsid w:val="00BC0C7F"/>
    <w:rsid w:val="00BC1591"/>
    <w:rsid w:val="00BC41EC"/>
    <w:rsid w:val="00BD5195"/>
    <w:rsid w:val="00BD66FE"/>
    <w:rsid w:val="00BE0A7D"/>
    <w:rsid w:val="00BE74F3"/>
    <w:rsid w:val="00BF132F"/>
    <w:rsid w:val="00BF3270"/>
    <w:rsid w:val="00BF392F"/>
    <w:rsid w:val="00BF5955"/>
    <w:rsid w:val="00C04289"/>
    <w:rsid w:val="00C06081"/>
    <w:rsid w:val="00C13878"/>
    <w:rsid w:val="00C15DBD"/>
    <w:rsid w:val="00C31284"/>
    <w:rsid w:val="00C40110"/>
    <w:rsid w:val="00C40873"/>
    <w:rsid w:val="00C634E9"/>
    <w:rsid w:val="00C80FC9"/>
    <w:rsid w:val="00C94E06"/>
    <w:rsid w:val="00C9551B"/>
    <w:rsid w:val="00CA1705"/>
    <w:rsid w:val="00CB787F"/>
    <w:rsid w:val="00CC2F08"/>
    <w:rsid w:val="00CC322F"/>
    <w:rsid w:val="00CE1A54"/>
    <w:rsid w:val="00CE3B27"/>
    <w:rsid w:val="00CF1332"/>
    <w:rsid w:val="00CF18F2"/>
    <w:rsid w:val="00CF4A48"/>
    <w:rsid w:val="00CF5FB6"/>
    <w:rsid w:val="00CF629B"/>
    <w:rsid w:val="00CF7697"/>
    <w:rsid w:val="00D02518"/>
    <w:rsid w:val="00D02BF7"/>
    <w:rsid w:val="00D05354"/>
    <w:rsid w:val="00D17454"/>
    <w:rsid w:val="00D242D6"/>
    <w:rsid w:val="00D33FBC"/>
    <w:rsid w:val="00D4153D"/>
    <w:rsid w:val="00D55629"/>
    <w:rsid w:val="00D65CF6"/>
    <w:rsid w:val="00D67CC9"/>
    <w:rsid w:val="00D7535C"/>
    <w:rsid w:val="00D76302"/>
    <w:rsid w:val="00D920F6"/>
    <w:rsid w:val="00DA5CE2"/>
    <w:rsid w:val="00DB32A8"/>
    <w:rsid w:val="00DB37BC"/>
    <w:rsid w:val="00DC5238"/>
    <w:rsid w:val="00DD4AAF"/>
    <w:rsid w:val="00DD77DA"/>
    <w:rsid w:val="00DE10E8"/>
    <w:rsid w:val="00DE4A17"/>
    <w:rsid w:val="00DE4DE7"/>
    <w:rsid w:val="00DF3F5C"/>
    <w:rsid w:val="00DF432F"/>
    <w:rsid w:val="00DF5B93"/>
    <w:rsid w:val="00DF6703"/>
    <w:rsid w:val="00E00DEC"/>
    <w:rsid w:val="00E06DBC"/>
    <w:rsid w:val="00E12C2C"/>
    <w:rsid w:val="00E16FDA"/>
    <w:rsid w:val="00E22383"/>
    <w:rsid w:val="00E24110"/>
    <w:rsid w:val="00E32F5A"/>
    <w:rsid w:val="00E3505B"/>
    <w:rsid w:val="00E35F58"/>
    <w:rsid w:val="00E36B27"/>
    <w:rsid w:val="00E40CAC"/>
    <w:rsid w:val="00E41F88"/>
    <w:rsid w:val="00E42644"/>
    <w:rsid w:val="00E45BD9"/>
    <w:rsid w:val="00E46A6A"/>
    <w:rsid w:val="00E5290D"/>
    <w:rsid w:val="00E5761F"/>
    <w:rsid w:val="00E66FFC"/>
    <w:rsid w:val="00E7556B"/>
    <w:rsid w:val="00E759D6"/>
    <w:rsid w:val="00E75D35"/>
    <w:rsid w:val="00E82523"/>
    <w:rsid w:val="00E84A8C"/>
    <w:rsid w:val="00E91D05"/>
    <w:rsid w:val="00E97626"/>
    <w:rsid w:val="00E976DE"/>
    <w:rsid w:val="00EA06FF"/>
    <w:rsid w:val="00EA3568"/>
    <w:rsid w:val="00EB1A79"/>
    <w:rsid w:val="00EC0A5A"/>
    <w:rsid w:val="00EC0F83"/>
    <w:rsid w:val="00EC2F21"/>
    <w:rsid w:val="00ED45DB"/>
    <w:rsid w:val="00EE3187"/>
    <w:rsid w:val="00EE5EE9"/>
    <w:rsid w:val="00EE617E"/>
    <w:rsid w:val="00EF4407"/>
    <w:rsid w:val="00EF499B"/>
    <w:rsid w:val="00F12205"/>
    <w:rsid w:val="00F13757"/>
    <w:rsid w:val="00F14977"/>
    <w:rsid w:val="00F23035"/>
    <w:rsid w:val="00F252DF"/>
    <w:rsid w:val="00F3343A"/>
    <w:rsid w:val="00F4504F"/>
    <w:rsid w:val="00F52668"/>
    <w:rsid w:val="00F772C5"/>
    <w:rsid w:val="00FA7F70"/>
    <w:rsid w:val="00FB4A08"/>
    <w:rsid w:val="00FB597F"/>
    <w:rsid w:val="00FC0C2A"/>
    <w:rsid w:val="00FC3C57"/>
    <w:rsid w:val="00FC6286"/>
    <w:rsid w:val="00FD4B9B"/>
    <w:rsid w:val="00FD7F8E"/>
    <w:rsid w:val="00FE13FC"/>
    <w:rsid w:val="00FE2093"/>
    <w:rsid w:val="00FF11E4"/>
    <w:rsid w:val="00FF7C19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A950E9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  <w:rsid w:val="7FA7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character" w:styleId="ab">
    <w:name w:val="Strong"/>
    <w:basedOn w:val="a0"/>
    <w:uiPriority w:val="22"/>
    <w:qFormat/>
    <w:rsid w:val="008F7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character" w:styleId="ab">
    <w:name w:val="Strong"/>
    <w:basedOn w:val="a0"/>
    <w:uiPriority w:val="22"/>
    <w:qFormat/>
    <w:rsid w:val="008F7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435</Words>
  <Characters>2486</Characters>
  <Application>Microsoft Office Word</Application>
  <DocSecurity>0</DocSecurity>
  <Lines>20</Lines>
  <Paragraphs>5</Paragraphs>
  <ScaleCrop>false</ScaleCrop>
  <Company>P R C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Dan Liu</cp:lastModifiedBy>
  <cp:revision>26</cp:revision>
  <dcterms:created xsi:type="dcterms:W3CDTF">2025-08-22T06:37:00Z</dcterms:created>
  <dcterms:modified xsi:type="dcterms:W3CDTF">2025-10-28T07:59:00Z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eyJoZGlkIjoiYmQ0NjBhOGUzYTQyMGFkMGJhOTU5ZTA0NTU4YWViMWUifQ==</vt:lpwstr>
  </property>
</Properties>
</file>