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8F68" w14:textId="33BEE0C9" w:rsidR="00C807C8" w:rsidRPr="00C807C8" w:rsidRDefault="00F235A7" w:rsidP="005E0A3D">
      <w:pPr>
        <w:spacing w:after="0" w:line="240" w:lineRule="auto"/>
        <w:jc w:val="center"/>
        <w:rPr>
          <w:rFonts w:ascii="黑体" w:eastAsia="黑体" w:hAnsi="黑体" w:hint="eastAsia"/>
          <w:b/>
          <w:bCs/>
          <w:sz w:val="32"/>
          <w:szCs w:val="36"/>
        </w:rPr>
      </w:pPr>
      <w:r w:rsidRPr="00C807C8">
        <w:rPr>
          <w:rFonts w:ascii="黑体" w:eastAsia="黑体" w:hAnsi="黑体" w:hint="eastAsia"/>
          <w:b/>
          <w:bCs/>
          <w:sz w:val="32"/>
          <w:szCs w:val="36"/>
        </w:rPr>
        <w:t>上海家化</w:t>
      </w:r>
      <w:r w:rsidR="00C807C8" w:rsidRPr="00C807C8">
        <w:rPr>
          <w:rFonts w:ascii="黑体" w:eastAsia="黑体" w:hAnsi="黑体" w:hint="eastAsia"/>
          <w:b/>
          <w:bCs/>
          <w:sz w:val="32"/>
          <w:szCs w:val="36"/>
        </w:rPr>
        <w:t>联合股份有限公司</w:t>
      </w:r>
    </w:p>
    <w:p w14:paraId="0D11C520" w14:textId="7742A6A5" w:rsidR="005E0A3D" w:rsidRPr="00C807C8" w:rsidRDefault="000E7227" w:rsidP="005E0A3D">
      <w:pPr>
        <w:spacing w:after="0" w:line="240" w:lineRule="auto"/>
        <w:jc w:val="center"/>
        <w:rPr>
          <w:rFonts w:ascii="黑体" w:eastAsia="黑体" w:hAnsi="黑体" w:hint="eastAsia"/>
          <w:b/>
          <w:bCs/>
          <w:sz w:val="32"/>
          <w:szCs w:val="36"/>
        </w:rPr>
      </w:pPr>
      <w:r w:rsidRPr="001C3CAF">
        <w:rPr>
          <w:rFonts w:ascii="Arial" w:eastAsia="黑体" w:hAnsi="Arial" w:cs="Arial"/>
          <w:b/>
          <w:bCs/>
          <w:sz w:val="32"/>
          <w:szCs w:val="36"/>
        </w:rPr>
        <w:t>2025</w:t>
      </w:r>
      <w:r w:rsidR="001C3CAF">
        <w:rPr>
          <w:rFonts w:ascii="黑体" w:eastAsia="黑体" w:hAnsi="黑体" w:hint="eastAsia"/>
          <w:b/>
          <w:bCs/>
          <w:sz w:val="32"/>
          <w:szCs w:val="36"/>
        </w:rPr>
        <w:t>年</w:t>
      </w:r>
      <w:r w:rsidR="00185050">
        <w:rPr>
          <w:rFonts w:ascii="黑体" w:eastAsia="黑体" w:hAnsi="黑体" w:hint="eastAsia"/>
          <w:b/>
          <w:bCs/>
          <w:sz w:val="32"/>
          <w:szCs w:val="36"/>
        </w:rPr>
        <w:t>三季报</w:t>
      </w:r>
      <w:r w:rsidR="00C807C8" w:rsidRPr="00C807C8">
        <w:rPr>
          <w:rFonts w:ascii="黑体" w:eastAsia="黑体" w:hAnsi="黑体"/>
          <w:b/>
          <w:bCs/>
          <w:sz w:val="32"/>
          <w:szCs w:val="36"/>
        </w:rPr>
        <w:t>业绩说明会会议纪要</w:t>
      </w:r>
    </w:p>
    <w:p w14:paraId="421FC6E8" w14:textId="77777777" w:rsidR="00C807C8" w:rsidRDefault="00C807C8" w:rsidP="00711840">
      <w:pPr>
        <w:spacing w:after="0" w:line="240" w:lineRule="auto"/>
        <w:jc w:val="both"/>
        <w:rPr>
          <w:rFonts w:ascii="楷体" w:eastAsia="楷体" w:hAnsi="楷体" w:hint="eastAsia"/>
        </w:rPr>
      </w:pPr>
    </w:p>
    <w:p w14:paraId="42A5AFEC" w14:textId="09FCCBB6" w:rsidR="00C807C8" w:rsidRPr="001C3CAF" w:rsidRDefault="00C807C8" w:rsidP="001723E5">
      <w:pPr>
        <w:spacing w:after="0" w:line="440" w:lineRule="exact"/>
        <w:ind w:firstLineChars="200" w:firstLine="482"/>
        <w:jc w:val="both"/>
        <w:rPr>
          <w:rFonts w:ascii="宋体" w:eastAsia="宋体" w:hAnsi="宋体" w:hint="eastAsia"/>
          <w:b/>
          <w:sz w:val="24"/>
          <w:szCs w:val="28"/>
        </w:rPr>
      </w:pPr>
      <w:r w:rsidRPr="001C3CAF">
        <w:rPr>
          <w:rFonts w:ascii="宋体" w:eastAsia="宋体" w:hAnsi="宋体" w:hint="eastAsia"/>
          <w:b/>
          <w:sz w:val="24"/>
          <w:szCs w:val="28"/>
        </w:rPr>
        <w:t>一、会议召开情况</w:t>
      </w:r>
    </w:p>
    <w:p w14:paraId="678E44FC" w14:textId="7619B8B7" w:rsidR="00C807C8" w:rsidRPr="001C3CAF" w:rsidRDefault="00C807C8" w:rsidP="001723E5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sz w:val="24"/>
          <w:szCs w:val="28"/>
        </w:rPr>
      </w:pPr>
      <w:r w:rsidRPr="001C3CAF">
        <w:rPr>
          <w:rFonts w:ascii="宋体" w:eastAsia="宋体" w:hAnsi="宋体" w:hint="eastAsia"/>
          <w:sz w:val="24"/>
          <w:szCs w:val="28"/>
        </w:rPr>
        <w:t>1、时间</w:t>
      </w:r>
      <w:r w:rsidRPr="001C3CAF">
        <w:rPr>
          <w:rFonts w:ascii="宋体" w:eastAsia="宋体" w:hAnsi="宋体" w:cs="Times New Roman"/>
          <w:sz w:val="24"/>
          <w:szCs w:val="28"/>
        </w:rPr>
        <w:t>：</w:t>
      </w:r>
      <w:r w:rsidRPr="001C3CAF">
        <w:rPr>
          <w:rFonts w:ascii="Arial" w:eastAsia="宋体" w:hAnsi="Arial" w:cs="Arial"/>
          <w:sz w:val="24"/>
          <w:szCs w:val="28"/>
        </w:rPr>
        <w:t>202</w:t>
      </w:r>
      <w:r w:rsidR="000E7227" w:rsidRPr="001C3CAF">
        <w:rPr>
          <w:rFonts w:ascii="Arial" w:eastAsia="宋体" w:hAnsi="Arial" w:cs="Arial"/>
          <w:sz w:val="24"/>
          <w:szCs w:val="28"/>
        </w:rPr>
        <w:t>5</w:t>
      </w:r>
      <w:r w:rsidRPr="001C3CAF">
        <w:rPr>
          <w:rFonts w:ascii="Arial" w:eastAsia="宋体" w:hAnsi="Arial" w:cs="Arial"/>
          <w:sz w:val="24"/>
          <w:szCs w:val="28"/>
        </w:rPr>
        <w:t>年</w:t>
      </w:r>
      <w:r w:rsidR="00D4556A">
        <w:rPr>
          <w:rFonts w:ascii="Arial" w:eastAsia="宋体" w:hAnsi="Arial" w:cs="Arial"/>
          <w:sz w:val="24"/>
          <w:szCs w:val="28"/>
        </w:rPr>
        <w:t>10</w:t>
      </w:r>
      <w:r w:rsidRPr="001C3CAF">
        <w:rPr>
          <w:rFonts w:ascii="Arial" w:eastAsia="宋体" w:hAnsi="Arial" w:cs="Arial"/>
          <w:sz w:val="24"/>
          <w:szCs w:val="28"/>
        </w:rPr>
        <w:t>月</w:t>
      </w:r>
      <w:r w:rsidR="001C3CAF" w:rsidRPr="001C3CAF">
        <w:rPr>
          <w:rFonts w:ascii="Arial" w:eastAsia="宋体" w:hAnsi="Arial" w:cs="Arial"/>
          <w:sz w:val="24"/>
          <w:szCs w:val="28"/>
        </w:rPr>
        <w:t>2</w:t>
      </w:r>
      <w:r w:rsidR="00D4556A">
        <w:rPr>
          <w:rFonts w:ascii="Arial" w:eastAsia="宋体" w:hAnsi="Arial" w:cs="Arial"/>
          <w:sz w:val="24"/>
          <w:szCs w:val="28"/>
        </w:rPr>
        <w:t>7</w:t>
      </w:r>
      <w:r w:rsidRPr="001C3CAF">
        <w:rPr>
          <w:rFonts w:ascii="Arial" w:eastAsia="宋体" w:hAnsi="Arial" w:cs="Arial"/>
          <w:sz w:val="24"/>
          <w:szCs w:val="28"/>
        </w:rPr>
        <w:t>日</w:t>
      </w:r>
    </w:p>
    <w:p w14:paraId="11FE29B0" w14:textId="2FED4067" w:rsidR="00C807C8" w:rsidRPr="001C3CAF" w:rsidRDefault="00C807C8" w:rsidP="001723E5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sz w:val="24"/>
          <w:szCs w:val="28"/>
        </w:rPr>
      </w:pPr>
      <w:r w:rsidRPr="001C3CAF">
        <w:rPr>
          <w:rFonts w:ascii="宋体" w:eastAsia="宋体" w:hAnsi="宋体" w:hint="eastAsia"/>
          <w:sz w:val="24"/>
          <w:szCs w:val="28"/>
        </w:rPr>
        <w:t>2、地点：线上</w:t>
      </w:r>
    </w:p>
    <w:p w14:paraId="3BCC8BE1" w14:textId="121957D4" w:rsidR="00C807C8" w:rsidRPr="001C3CAF" w:rsidRDefault="00C807C8" w:rsidP="001723E5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sz w:val="24"/>
          <w:szCs w:val="28"/>
        </w:rPr>
      </w:pPr>
      <w:r w:rsidRPr="001C3CAF">
        <w:rPr>
          <w:rFonts w:ascii="宋体" w:eastAsia="宋体" w:hAnsi="宋体" w:hint="eastAsia"/>
          <w:sz w:val="24"/>
          <w:szCs w:val="28"/>
        </w:rPr>
        <w:t>3、公司参会人员：</w:t>
      </w:r>
    </w:p>
    <w:p w14:paraId="22929B89" w14:textId="74D6F977" w:rsidR="00D52D3A" w:rsidRPr="001C3CAF" w:rsidRDefault="006A5F9E" w:rsidP="001723E5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sz w:val="24"/>
          <w:szCs w:val="28"/>
        </w:rPr>
      </w:pPr>
      <w:r w:rsidRPr="001C3CAF">
        <w:rPr>
          <w:rFonts w:ascii="宋体" w:eastAsia="宋体" w:hAnsi="宋体"/>
          <w:sz w:val="24"/>
          <w:szCs w:val="28"/>
        </w:rPr>
        <w:t>董事长兼</w:t>
      </w:r>
      <w:r w:rsidR="00C807C8" w:rsidRPr="001C3CAF">
        <w:rPr>
          <w:rFonts w:ascii="宋体" w:eastAsia="宋体" w:hAnsi="宋体" w:hint="eastAsia"/>
          <w:sz w:val="24"/>
          <w:szCs w:val="28"/>
        </w:rPr>
        <w:t>首席执行官</w:t>
      </w:r>
      <w:r w:rsidR="00C807C8" w:rsidRPr="001C3CAF">
        <w:rPr>
          <w:rFonts w:ascii="宋体" w:eastAsia="宋体" w:hAnsi="宋体"/>
          <w:sz w:val="24"/>
          <w:szCs w:val="28"/>
        </w:rPr>
        <w:t xml:space="preserve"> </w:t>
      </w:r>
      <w:r w:rsidR="0064711E" w:rsidRPr="001C3CAF">
        <w:rPr>
          <w:rFonts w:ascii="宋体" w:eastAsia="宋体" w:hAnsi="宋体" w:hint="eastAsia"/>
          <w:sz w:val="24"/>
          <w:szCs w:val="28"/>
        </w:rPr>
        <w:t>林小海</w:t>
      </w:r>
    </w:p>
    <w:p w14:paraId="685FD996" w14:textId="73555344" w:rsidR="00D52D3A" w:rsidRPr="001C3CAF" w:rsidRDefault="0064711E" w:rsidP="001723E5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sz w:val="24"/>
          <w:szCs w:val="28"/>
        </w:rPr>
      </w:pPr>
      <w:r w:rsidRPr="001C3CAF">
        <w:rPr>
          <w:rFonts w:ascii="宋体" w:eastAsia="宋体" w:hAnsi="宋体" w:hint="eastAsia"/>
          <w:sz w:val="24"/>
          <w:szCs w:val="28"/>
        </w:rPr>
        <w:t>首席财务官</w:t>
      </w:r>
      <w:r w:rsidR="004D034C" w:rsidRPr="001C3CAF">
        <w:rPr>
          <w:rFonts w:ascii="宋体" w:eastAsia="宋体" w:hAnsi="宋体" w:hint="eastAsia"/>
          <w:sz w:val="24"/>
          <w:szCs w:val="28"/>
        </w:rPr>
        <w:t>兼董事会秘书</w:t>
      </w:r>
      <w:r w:rsidRPr="001C3CAF">
        <w:rPr>
          <w:rFonts w:ascii="宋体" w:eastAsia="宋体" w:hAnsi="宋体" w:hint="eastAsia"/>
          <w:sz w:val="24"/>
          <w:szCs w:val="28"/>
        </w:rPr>
        <w:t xml:space="preserve"> 罗永涛</w:t>
      </w:r>
    </w:p>
    <w:p w14:paraId="19968495" w14:textId="77777777" w:rsidR="00C807C8" w:rsidRPr="001C3CAF" w:rsidRDefault="00C807C8" w:rsidP="001723E5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sz w:val="24"/>
          <w:szCs w:val="28"/>
        </w:rPr>
      </w:pPr>
      <w:r w:rsidRPr="001C3CAF">
        <w:rPr>
          <w:rFonts w:ascii="宋体" w:eastAsia="宋体" w:hAnsi="宋体"/>
          <w:sz w:val="24"/>
          <w:szCs w:val="28"/>
        </w:rPr>
        <w:t>4、主要参会机构：</w:t>
      </w:r>
    </w:p>
    <w:p w14:paraId="75C30A0A" w14:textId="2B39F594" w:rsidR="00C807C8" w:rsidRPr="001C3CAF" w:rsidRDefault="00C807C8" w:rsidP="001723E5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sz w:val="24"/>
          <w:szCs w:val="28"/>
        </w:rPr>
      </w:pPr>
      <w:r w:rsidRPr="001C3CAF">
        <w:rPr>
          <w:rFonts w:ascii="宋体" w:eastAsia="宋体" w:hAnsi="宋体" w:hint="eastAsia"/>
          <w:sz w:val="24"/>
          <w:szCs w:val="28"/>
        </w:rPr>
        <w:t>详细参会机构清单请参见“附件</w:t>
      </w:r>
      <w:r w:rsidRPr="001C3CAF">
        <w:rPr>
          <w:rFonts w:ascii="宋体" w:eastAsia="宋体" w:hAnsi="宋体"/>
          <w:sz w:val="24"/>
          <w:szCs w:val="28"/>
        </w:rPr>
        <w:t>：参会机构清单”</w:t>
      </w:r>
    </w:p>
    <w:p w14:paraId="34CB7711" w14:textId="698EE888" w:rsidR="00C807C8" w:rsidRPr="00C807C8" w:rsidRDefault="00C807C8" w:rsidP="001723E5">
      <w:pPr>
        <w:spacing w:after="0" w:line="440" w:lineRule="exact"/>
        <w:ind w:firstLineChars="200" w:firstLine="440"/>
        <w:jc w:val="both"/>
        <w:rPr>
          <w:rFonts w:ascii="宋体" w:eastAsia="宋体" w:hAnsi="宋体" w:hint="eastAsia"/>
        </w:rPr>
      </w:pPr>
    </w:p>
    <w:p w14:paraId="2A7BAB55" w14:textId="36E505ED" w:rsidR="00C807C8" w:rsidRDefault="00C807C8" w:rsidP="006F0D07">
      <w:pPr>
        <w:spacing w:after="0" w:line="440" w:lineRule="exact"/>
        <w:ind w:firstLineChars="200" w:firstLine="482"/>
        <w:jc w:val="both"/>
        <w:rPr>
          <w:rFonts w:ascii="宋体" w:eastAsia="宋体" w:hAnsi="宋体" w:hint="eastAsia"/>
          <w:b/>
          <w:sz w:val="24"/>
          <w:szCs w:val="28"/>
        </w:rPr>
      </w:pPr>
      <w:r w:rsidRPr="001C3CAF">
        <w:rPr>
          <w:rFonts w:ascii="宋体" w:eastAsia="宋体" w:hAnsi="宋体" w:hint="eastAsia"/>
          <w:b/>
          <w:sz w:val="24"/>
          <w:szCs w:val="28"/>
        </w:rPr>
        <w:t>二、会议纪要</w:t>
      </w:r>
    </w:p>
    <w:p w14:paraId="551569D1" w14:textId="77777777" w:rsidR="00C22A7B" w:rsidRPr="001C3CAF" w:rsidRDefault="00C22A7B" w:rsidP="006F0D07">
      <w:pPr>
        <w:spacing w:after="0" w:line="440" w:lineRule="exact"/>
        <w:ind w:firstLineChars="200" w:firstLine="482"/>
        <w:jc w:val="both"/>
        <w:rPr>
          <w:rFonts w:ascii="宋体" w:eastAsia="宋体" w:hAnsi="宋体" w:hint="eastAsia"/>
          <w:b/>
          <w:sz w:val="24"/>
          <w:szCs w:val="28"/>
        </w:rPr>
      </w:pPr>
    </w:p>
    <w:p w14:paraId="06B2EDC7" w14:textId="22FD1C83" w:rsidR="006F0D07" w:rsidRPr="00CF6EE3" w:rsidRDefault="00C807C8" w:rsidP="00CF6EE3">
      <w:pPr>
        <w:spacing w:after="0" w:line="440" w:lineRule="exact"/>
        <w:ind w:firstLineChars="200" w:firstLine="482"/>
        <w:jc w:val="both"/>
        <w:rPr>
          <w:rFonts w:ascii="宋体" w:eastAsia="宋体" w:hAnsi="宋体" w:hint="eastAsia"/>
          <w:b/>
          <w:bCs/>
          <w:sz w:val="24"/>
          <w:szCs w:val="28"/>
        </w:rPr>
      </w:pPr>
      <w:r w:rsidRPr="001C3CAF">
        <w:rPr>
          <w:rFonts w:ascii="宋体" w:eastAsia="宋体" w:hAnsi="宋体" w:hint="eastAsia"/>
          <w:b/>
          <w:bCs/>
          <w:sz w:val="24"/>
          <w:szCs w:val="28"/>
        </w:rPr>
        <w:t>（一）</w:t>
      </w:r>
      <w:r w:rsidR="00F235A7" w:rsidRPr="001C3CAF">
        <w:rPr>
          <w:rFonts w:ascii="宋体" w:eastAsia="宋体" w:hAnsi="宋体"/>
          <w:b/>
          <w:bCs/>
          <w:sz w:val="24"/>
          <w:szCs w:val="28"/>
        </w:rPr>
        <w:t xml:space="preserve">经营情况讨论与分析 </w:t>
      </w:r>
    </w:p>
    <w:p w14:paraId="7A92F770" w14:textId="04FC5B9F" w:rsidR="00D16727" w:rsidRPr="001C3CAF" w:rsidRDefault="00D16727" w:rsidP="006F0D07">
      <w:pPr>
        <w:spacing w:after="0" w:line="440" w:lineRule="exact"/>
        <w:ind w:firstLineChars="200" w:firstLine="482"/>
        <w:jc w:val="both"/>
        <w:rPr>
          <w:rFonts w:ascii="宋体" w:eastAsia="宋体" w:hAnsi="宋体" w:hint="eastAsia"/>
          <w:b/>
          <w:color w:val="000000"/>
          <w:sz w:val="24"/>
          <w:szCs w:val="28"/>
          <w:shd w:val="clear" w:color="auto" w:fill="FFFFFF"/>
        </w:rPr>
      </w:pPr>
      <w:r w:rsidRPr="001C3CAF">
        <w:rPr>
          <w:rFonts w:ascii="宋体" w:eastAsia="宋体" w:hAnsi="宋体" w:hint="eastAsia"/>
          <w:b/>
          <w:color w:val="000000"/>
          <w:sz w:val="24"/>
          <w:szCs w:val="28"/>
          <w:shd w:val="clear" w:color="auto" w:fill="FFFFFF"/>
        </w:rPr>
        <w:t>财务数据：</w:t>
      </w:r>
      <w:r w:rsidRPr="001C3CAF">
        <w:rPr>
          <w:rFonts w:ascii="宋体" w:eastAsia="宋体" w:hAnsi="宋体"/>
          <w:b/>
          <w:color w:val="000000"/>
          <w:sz w:val="24"/>
          <w:szCs w:val="28"/>
          <w:shd w:val="clear" w:color="auto" w:fill="FFFFFF"/>
        </w:rPr>
        <w:t xml:space="preserve"> </w:t>
      </w:r>
    </w:p>
    <w:p w14:paraId="64F2EB6C" w14:textId="361FF9A5" w:rsidR="00D628C2" w:rsidRPr="00D628C2" w:rsidRDefault="00D628C2" w:rsidP="00D628C2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2025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年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1~9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月公司实现营业收入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49.61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亿元，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 xml:space="preserve"> 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较去年同期增长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10.8%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，归属于上市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公司股东净利润为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4.05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亿元，较去年同期增长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149.1%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，其中扣非净利润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2.31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亿元，较去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年同期增长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92.4%</w:t>
      </w:r>
    </w:p>
    <w:p w14:paraId="34C95FF4" w14:textId="08E84B5E" w:rsidR="00D628C2" w:rsidRPr="00D628C2" w:rsidRDefault="00D628C2" w:rsidP="00D628C2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应收账款、存货、经营性现金流等指标均呈现持续优化的趋势，报告期内经营性现金流同比增长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 xml:space="preserve"> 172.8%</w:t>
      </w:r>
    </w:p>
    <w:p w14:paraId="33801059" w14:textId="056609FD" w:rsidR="00D628C2" w:rsidRPr="00D628C2" w:rsidRDefault="00D628C2" w:rsidP="00D628C2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 xml:space="preserve">Q3 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单季度，公司营收同比增长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 xml:space="preserve"> 28.3%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，归属于上市公司股东净利润为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 xml:space="preserve"> 1.39 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亿元，其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中公司投资资产的公允价值变动对本期利润带来较大影响。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 xml:space="preserve"> 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扣非净利润在第三季度实现扭亏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为盈</w:t>
      </w:r>
      <w:r w:rsidR="0026581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达到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960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万元。</w:t>
      </w:r>
    </w:p>
    <w:p w14:paraId="02F68344" w14:textId="45C021F8" w:rsidR="00D628C2" w:rsidRPr="00D628C2" w:rsidRDefault="00D628C2" w:rsidP="00D628C2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公司贯彻执行“四个聚焦“的战略方向，美妆业务全渠道同比增长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 xml:space="preserve"> 272.3%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，国内业务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线上渠道同比增长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 xml:space="preserve"> 173.3%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。需要特别说明的是，美妆品类和线上业务去年同期受公司战略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调整的影响较大，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主营业务收入的基数较低。剔除上述战略调整因素后，公司业务呈现稳步、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健康发展。</w:t>
      </w:r>
    </w:p>
    <w:p w14:paraId="4BD655AD" w14:textId="173BCDE7" w:rsidR="00D628C2" w:rsidRPr="00D628C2" w:rsidRDefault="00D628C2" w:rsidP="00D628C2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本季度，公司加强线上投流种草，线上业务销售增长、产品结构优化以及主要原材料采购价格下降使得毛利率提升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7.0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个百分点，同时销售费率和管理费率分别下降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0.1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个百分点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和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1.0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个百分点，经营质量进一步优化。</w:t>
      </w:r>
    </w:p>
    <w:p w14:paraId="1D9ED760" w14:textId="4C9CB225" w:rsidR="00E0294C" w:rsidRPr="00D628C2" w:rsidRDefault="00D628C2" w:rsidP="00D628C2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lastRenderedPageBreak/>
        <w:t>海外业务受到关税等因素影响阶段性承压，仍处于逐步恢复期。结合主要市场竞争格局及品牌自身优势，海外业务管理层正积极推进“聚焦核心品类、聚焦线上”等策略，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提升经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营效率，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力争尽快实现业务反转。</w:t>
      </w:r>
    </w:p>
    <w:p w14:paraId="5861B0FF" w14:textId="4419F21F" w:rsidR="00E604C0" w:rsidRPr="001C3CAF" w:rsidRDefault="00E604C0" w:rsidP="00362DCA">
      <w:pPr>
        <w:spacing w:after="0" w:line="440" w:lineRule="exact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</w:p>
    <w:p w14:paraId="5828D28E" w14:textId="5536ADFF" w:rsidR="00D16727" w:rsidRPr="001C3CAF" w:rsidRDefault="00362DCA" w:rsidP="00D16727">
      <w:pPr>
        <w:spacing w:after="0" w:line="440" w:lineRule="exact"/>
        <w:ind w:firstLineChars="200" w:firstLine="482"/>
        <w:jc w:val="both"/>
        <w:rPr>
          <w:rFonts w:ascii="宋体" w:eastAsia="宋体" w:hAnsi="宋体" w:hint="eastAsia"/>
          <w:b/>
          <w:color w:val="000000"/>
          <w:sz w:val="24"/>
          <w:szCs w:val="28"/>
          <w:shd w:val="clear" w:color="auto" w:fill="FFFFFF"/>
        </w:rPr>
      </w:pPr>
      <w:r w:rsidRPr="001C3CAF">
        <w:rPr>
          <w:rFonts w:ascii="宋体" w:eastAsia="宋体" w:hAnsi="宋体" w:hint="eastAsia"/>
          <w:b/>
          <w:color w:val="000000"/>
          <w:sz w:val="24"/>
          <w:szCs w:val="28"/>
          <w:shd w:val="clear" w:color="auto" w:fill="FFFFFF"/>
        </w:rPr>
        <w:t>业务</w:t>
      </w:r>
      <w:r w:rsidR="00002B71" w:rsidRPr="001C3CAF">
        <w:rPr>
          <w:rFonts w:ascii="宋体" w:eastAsia="宋体" w:hAnsi="宋体" w:hint="eastAsia"/>
          <w:b/>
          <w:color w:val="000000"/>
          <w:sz w:val="24"/>
          <w:szCs w:val="28"/>
          <w:shd w:val="clear" w:color="auto" w:fill="FFFFFF"/>
        </w:rPr>
        <w:t>表现</w:t>
      </w:r>
      <w:r w:rsidR="00D16727" w:rsidRPr="001C3CAF">
        <w:rPr>
          <w:rFonts w:ascii="宋体" w:eastAsia="宋体" w:hAnsi="宋体" w:hint="eastAsia"/>
          <w:b/>
          <w:color w:val="000000"/>
          <w:sz w:val="24"/>
          <w:szCs w:val="28"/>
          <w:shd w:val="clear" w:color="auto" w:fill="FFFFFF"/>
        </w:rPr>
        <w:t>：</w:t>
      </w:r>
    </w:p>
    <w:p w14:paraId="7C7AFEE5" w14:textId="77777777" w:rsidR="001F3786" w:rsidRDefault="00D628C2" w:rsidP="00D628C2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公司继续聚焦核心品牌，重视细分品类、细分渠道的突破，着力打造亿元单品，截至报告期末，六神二代驱蚊蛋、玉泽面霜（包括干敏霜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+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油敏霜），以及佰草集大白泥产品，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 xml:space="preserve"> GMV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均已实现破亿目标，带动品牌整体业绩增长。</w:t>
      </w:r>
    </w:p>
    <w:p w14:paraId="36DF8E0C" w14:textId="71E23E9A" w:rsidR="00D628C2" w:rsidRPr="00D628C2" w:rsidRDefault="00265815" w:rsidP="00D628C2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第</w:t>
      </w:r>
      <w:r w:rsidR="00D628C2"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三季度公司加码品牌投放，六神、玉泽、佰草</w:t>
      </w:r>
      <w:r w:rsidR="00D628C2"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集等主要品牌获得更多资源倾斜。</w:t>
      </w:r>
      <w:r w:rsidR="00D628C2"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六神签约明星代言人后，进一步增加梯媒曝光，重点推广</w:t>
      </w:r>
      <w:r w:rsidR="00D628C2"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香氛沐浴露系列产品，</w:t>
      </w:r>
      <w:r w:rsidR="00D628C2"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 xml:space="preserve"> </w:t>
      </w:r>
      <w:r w:rsidR="00D628C2"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助力品牌突破季节性限制。三季度各品牌相继推出品牌代言人，其中</w:t>
      </w:r>
      <w:r w:rsidR="00D628C2"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玉泽重磅官宣乒乓运动员樊振东为品牌身体护理代言人，</w:t>
      </w:r>
      <w:r w:rsidR="00D628C2"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增加玉泽的知名度和曝光率，</w:t>
      </w:r>
      <w:r w:rsidR="00D628C2"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 xml:space="preserve"> </w:t>
      </w:r>
      <w:r w:rsidR="00D628C2"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持续</w:t>
      </w:r>
      <w:r w:rsidR="00D628C2"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强化玉泽在医学护肤领域的公信力及口碑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</w:t>
      </w:r>
      <w:r w:rsidR="00D628C2"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引爆全网声量过亿。</w:t>
      </w:r>
      <w:r w:rsidR="00D628C2"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佰草集在推出新品</w:t>
      </w:r>
      <w:r w:rsidR="001F378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“</w:t>
      </w:r>
      <w:r w:rsidR="00D628C2"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仙草油</w:t>
      </w:r>
      <w:r w:rsidR="001F378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”</w:t>
      </w:r>
      <w:r w:rsidR="00D628C2"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之际，</w:t>
      </w:r>
      <w:r w:rsidR="00D628C2"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在豫园举行新品发布会，正式官宣刘涛再次担任品牌代言人，</w:t>
      </w:r>
      <w:r w:rsidR="00D628C2"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 xml:space="preserve"> </w:t>
      </w:r>
      <w:r w:rsidR="00D628C2"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回归中医中草药养肤的</w:t>
      </w:r>
      <w:r w:rsidR="00D628C2"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品牌定位。</w:t>
      </w:r>
      <w:r w:rsidR="00D628C2"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高夫官宣品牌代言人付航，进一步强化年轻消费者认知，</w:t>
      </w:r>
      <w:r w:rsidR="00D628C2"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 xml:space="preserve"> </w:t>
      </w:r>
      <w:r w:rsidR="00D628C2"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启初官宣张柏芝为品牌</w:t>
      </w:r>
      <w:r w:rsidR="00D628C2"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代言人，</w:t>
      </w:r>
      <w:r w:rsidR="00D628C2"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品牌热度显著提升。</w:t>
      </w:r>
    </w:p>
    <w:p w14:paraId="3F1A0985" w14:textId="4D20A735" w:rsidR="00D628C2" w:rsidRPr="00D628C2" w:rsidRDefault="00D628C2" w:rsidP="00D628C2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新品方面，</w:t>
      </w:r>
      <w:r w:rsidR="0026581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第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三季度佰草集推出的“仙草油”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是行业首个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60%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高浓、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0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合成酯的精华油产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品，在包装设计中融入中式汝瓷的元素，延续“美自根源</w:t>
      </w:r>
      <w:r w:rsidR="0026581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养有方”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 xml:space="preserve"> 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的东方养护理念。自上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市以来，“仙草油”在全渠道势能持续攀升，接连登上天猫精华油新品榜首位、淘宝直播间美容护肤榜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TOP1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以及抖音舒缓精油好物榜第一名，具备强劲的市场爆发力。</w:t>
      </w:r>
    </w:p>
    <w:p w14:paraId="58836005" w14:textId="0F867925" w:rsidR="00D628C2" w:rsidRPr="00D628C2" w:rsidRDefault="00D628C2" w:rsidP="00D628C2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美加净以面护级科学功效及愉悦的香氛体验全新推出蜂胶香氛手霜</w:t>
      </w:r>
      <w:r w:rsidR="00E156E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精选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 xml:space="preserve"> 99%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高纯度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秦岭蜂胶，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 xml:space="preserve"> 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主打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10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分钟快速修护，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8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秒瞬吸收，搭配中式三段调香。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 xml:space="preserve"> 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上市即登抖音护手霜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礼盒超值爆款榜与人气榜榜首、天猫护手霜新品榜热销榜单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TOP3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0895B5D3" w14:textId="47FACA0E" w:rsidR="00CF6EE3" w:rsidRPr="00CF6EE3" w:rsidRDefault="00D628C2" w:rsidP="00D628C2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第四季度</w:t>
      </w:r>
      <w:r w:rsidR="001F378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公司将继续坚持</w:t>
      </w:r>
      <w:r w:rsidR="00E156E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“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四个聚焦</w:t>
      </w:r>
      <w:r w:rsidR="00E156E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”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的战略方针，持续加大品牌投资、沉淀品牌资产；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提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升运营效率、加大品牌声量、深挖用户价值，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打好</w:t>
      </w:r>
      <w:r w:rsidR="00E156E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“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双十一</w:t>
      </w:r>
      <w:r w:rsidR="00E156E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”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战役，全面实现</w:t>
      </w:r>
      <w:r w:rsidR="00E156E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20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25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年各项经营目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标。</w:t>
      </w:r>
      <w:r w:rsidRPr="00D628C2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同时，努力加强团队自身能力建设，做好产品、渠道的业务规划，为新一年的持续</w:t>
      </w:r>
      <w:r w:rsidRPr="00D628C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发展打好基础。</w:t>
      </w:r>
    </w:p>
    <w:p w14:paraId="6F338884" w14:textId="2709133C" w:rsidR="00CF6EE3" w:rsidRPr="00C376ED" w:rsidRDefault="00CF6EE3" w:rsidP="00CF6EE3">
      <w:pPr>
        <w:spacing w:after="0" w:line="440" w:lineRule="exact"/>
        <w:jc w:val="both"/>
        <w:rPr>
          <w:rFonts w:ascii="宋体" w:eastAsia="宋体" w:hAnsi="宋体" w:hint="eastAsia"/>
          <w:color w:val="000000"/>
          <w:shd w:val="clear" w:color="auto" w:fill="FFFFFF"/>
        </w:rPr>
      </w:pPr>
    </w:p>
    <w:p w14:paraId="4B2514EE" w14:textId="69D11039" w:rsidR="006E349B" w:rsidRPr="001C3CAF" w:rsidRDefault="00C055FD" w:rsidP="001723E5">
      <w:pPr>
        <w:spacing w:after="0" w:line="440" w:lineRule="exact"/>
        <w:ind w:firstLineChars="200" w:firstLine="482"/>
        <w:jc w:val="both"/>
        <w:rPr>
          <w:rFonts w:ascii="宋体" w:eastAsia="宋体" w:hAnsi="宋体" w:hint="eastAsia"/>
          <w:b/>
          <w:bCs/>
          <w:color w:val="000000"/>
          <w:sz w:val="24"/>
          <w:szCs w:val="28"/>
          <w:shd w:val="clear" w:color="auto" w:fill="FFFFFF"/>
        </w:rPr>
      </w:pPr>
      <w:r w:rsidRPr="001C3CAF">
        <w:rPr>
          <w:rFonts w:ascii="宋体" w:eastAsia="宋体" w:hAnsi="宋体" w:hint="eastAsia"/>
          <w:b/>
          <w:bCs/>
          <w:color w:val="000000"/>
          <w:sz w:val="24"/>
          <w:szCs w:val="28"/>
          <w:shd w:val="clear" w:color="auto" w:fill="FFFFFF"/>
        </w:rPr>
        <w:t>（二）</w:t>
      </w:r>
      <w:r w:rsidR="009A37EB" w:rsidRPr="001C3CAF">
        <w:rPr>
          <w:rFonts w:ascii="宋体" w:eastAsia="宋体" w:hAnsi="宋体" w:hint="eastAsia"/>
          <w:b/>
          <w:bCs/>
          <w:color w:val="000000"/>
          <w:sz w:val="24"/>
          <w:szCs w:val="28"/>
          <w:shd w:val="clear" w:color="auto" w:fill="FFFFFF"/>
        </w:rPr>
        <w:t>回答投资者问题</w:t>
      </w:r>
    </w:p>
    <w:p w14:paraId="68A0DC74" w14:textId="21372C76" w:rsidR="006E349B" w:rsidRPr="001C3CAF" w:rsidRDefault="009A37EB" w:rsidP="001723E5">
      <w:pPr>
        <w:spacing w:after="0" w:line="440" w:lineRule="exact"/>
        <w:ind w:firstLineChars="200" w:firstLine="482"/>
        <w:jc w:val="both"/>
        <w:rPr>
          <w:rFonts w:ascii="宋体" w:eastAsia="宋体" w:hAnsi="宋体" w:hint="eastAsia"/>
          <w:b/>
          <w:bCs/>
          <w:color w:val="000000"/>
          <w:sz w:val="24"/>
          <w:szCs w:val="28"/>
          <w:shd w:val="clear" w:color="auto" w:fill="FFFFFF"/>
        </w:rPr>
      </w:pPr>
      <w:r w:rsidRPr="00B54135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lastRenderedPageBreak/>
        <w:t>1</w:t>
      </w:r>
      <w:r w:rsidRPr="00B54135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、</w:t>
      </w:r>
      <w:r w:rsidR="009E7272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第</w:t>
      </w:r>
      <w:r w:rsidR="00735D0A" w:rsidRPr="00735D0A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三季度及今年公司收入</w:t>
      </w:r>
      <w:r w:rsidR="009E7272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、</w:t>
      </w:r>
      <w:r w:rsidR="00735D0A" w:rsidRPr="00735D0A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利润增长的</w:t>
      </w:r>
      <w:r w:rsidR="009E7272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原因和分析？</w:t>
      </w:r>
      <w:r w:rsidR="00735D0A" w:rsidRPr="00735D0A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明年玉泽、佰草集和六神品牌的打法和目标是什么？</w:t>
      </w:r>
    </w:p>
    <w:p w14:paraId="3DFA3DEA" w14:textId="5CB17292" w:rsidR="00735D0A" w:rsidRPr="00735D0A" w:rsidRDefault="009A37EB" w:rsidP="00735D0A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  <w:r w:rsidRPr="001C3CAF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答：</w:t>
      </w:r>
      <w:r w:rsidR="00735D0A" w:rsidRPr="00735D0A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业绩增长主要来自三方面：</w:t>
      </w:r>
    </w:p>
    <w:p w14:paraId="44261AD1" w14:textId="6AB0A6E5" w:rsidR="00735D0A" w:rsidRPr="005C0B40" w:rsidRDefault="00735D0A" w:rsidP="005C0B40">
      <w:pPr>
        <w:pStyle w:val="a9"/>
        <w:numPr>
          <w:ilvl w:val="0"/>
          <w:numId w:val="6"/>
        </w:numPr>
        <w:spacing w:after="0" w:line="440" w:lineRule="exact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  <w:r w:rsidRPr="005C0B40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新品驱动</w:t>
      </w:r>
      <w:r w:rsidR="009E7272" w:rsidRPr="005C0B40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：</w:t>
      </w:r>
      <w:r w:rsidRPr="005C0B40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玉泽屏障修护面霜系列、六神第二代驱蚊蛋等大单品贡献增量，</w:t>
      </w:r>
      <w:r w:rsidRPr="00895CBC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高夫控油祛痘系列、启初婴童</w:t>
      </w:r>
      <w:r w:rsidR="00895CBC" w:rsidRPr="00895CBC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修护</w:t>
      </w:r>
      <w:r w:rsidRPr="00895CBC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面霜</w:t>
      </w:r>
      <w:r w:rsidRPr="005C0B40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也实现增长；</w:t>
      </w:r>
    </w:p>
    <w:p w14:paraId="04DF917B" w14:textId="1795B831" w:rsidR="00735D0A" w:rsidRPr="00827D92" w:rsidRDefault="00827D92" w:rsidP="00827D92">
      <w:pPr>
        <w:spacing w:after="0" w:line="440" w:lineRule="exact"/>
        <w:ind w:firstLine="480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②</w:t>
      </w:r>
      <w:r w:rsidR="005C0B40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 xml:space="preserve"> </w:t>
      </w:r>
      <w:r w:rsidR="00735D0A" w:rsidRPr="00827D92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品牌营销投放提升</w:t>
      </w:r>
      <w:r w:rsidR="007F1CB5" w:rsidRPr="00827D92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：品牌</w:t>
      </w:r>
      <w:r w:rsidR="00735D0A" w:rsidRPr="00827D92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费用</w:t>
      </w:r>
      <w:r w:rsidR="007F1CB5" w:rsidRPr="00827D92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和曝光量同步提升</w:t>
      </w:r>
      <w:r w:rsidR="00735D0A" w:rsidRPr="00827D92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，小红书、抖音等平台种草金额同比</w:t>
      </w:r>
      <w:r w:rsidR="007F1CB5" w:rsidRPr="00827D92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增长</w:t>
      </w:r>
      <w:r w:rsidR="00735D0A" w:rsidRPr="00827D92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；</w:t>
      </w:r>
    </w:p>
    <w:p w14:paraId="0FDCCF16" w14:textId="15FF9894" w:rsidR="00735D0A" w:rsidRPr="00735D0A" w:rsidRDefault="00827D92" w:rsidP="00735D0A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③</w:t>
      </w:r>
      <w:r w:rsidR="005C0B40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 xml:space="preserve"> </w:t>
      </w:r>
      <w:r w:rsidR="00735D0A" w:rsidRPr="00735D0A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电商运营能力增强</w:t>
      </w:r>
      <w:r w:rsidR="007F1CB5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：</w:t>
      </w:r>
      <w:r w:rsidR="00735D0A" w:rsidRPr="00735D0A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以品牌为作战单元的组织</w:t>
      </w:r>
      <w:r w:rsidR="007F1CB5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设计</w:t>
      </w:r>
      <w:r w:rsidR="00735D0A" w:rsidRPr="00735D0A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提升渠道及协同效率，电商物流每单节省1元，供应链成本</w:t>
      </w:r>
      <w:r w:rsidR="007F1CB5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、</w:t>
      </w:r>
      <w:r w:rsidR="00735D0A" w:rsidRPr="00735D0A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效率优化。</w:t>
      </w:r>
    </w:p>
    <w:p w14:paraId="7CA88985" w14:textId="77777777" w:rsidR="005C0B40" w:rsidRDefault="00735D0A" w:rsidP="005C0B40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  <w:r w:rsidRPr="00735D0A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明年规划聚焦三大方向：</w:t>
      </w:r>
    </w:p>
    <w:p w14:paraId="62015844" w14:textId="68D0BE1E" w:rsidR="005C0B40" w:rsidRPr="005C0B40" w:rsidRDefault="00735D0A" w:rsidP="005C0B40">
      <w:pPr>
        <w:pStyle w:val="a9"/>
        <w:numPr>
          <w:ilvl w:val="0"/>
          <w:numId w:val="5"/>
        </w:numPr>
        <w:spacing w:after="0" w:line="440" w:lineRule="exact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  <w:r w:rsidRPr="005C0B40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核心品牌、细分赛道及</w:t>
      </w:r>
      <w:r w:rsidR="00895CBC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大</w:t>
      </w:r>
      <w:r w:rsidRPr="005C0B40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单品；</w:t>
      </w:r>
    </w:p>
    <w:p w14:paraId="28302226" w14:textId="77777777" w:rsidR="005A3682" w:rsidRDefault="00735D0A" w:rsidP="005A3682">
      <w:pPr>
        <w:pStyle w:val="a9"/>
        <w:numPr>
          <w:ilvl w:val="0"/>
          <w:numId w:val="5"/>
        </w:numPr>
        <w:spacing w:after="0" w:line="440" w:lineRule="exact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  <w:r w:rsidRPr="005C0B40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加大品牌营销投放，力度与业绩增长比例匹配；</w:t>
      </w:r>
    </w:p>
    <w:p w14:paraId="233DC727" w14:textId="2511CC9C" w:rsidR="007C0DD7" w:rsidRDefault="00735D0A" w:rsidP="005A3682">
      <w:pPr>
        <w:pStyle w:val="a9"/>
        <w:numPr>
          <w:ilvl w:val="0"/>
          <w:numId w:val="5"/>
        </w:numPr>
        <w:spacing w:after="0" w:line="440" w:lineRule="exact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  <w:r w:rsidRPr="005A3682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线上</w:t>
      </w:r>
      <w:r w:rsidR="008E19E2" w:rsidRPr="005A3682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渠道</w:t>
      </w:r>
      <w:r w:rsidRPr="005A3682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，毛利率提升及降本增效</w:t>
      </w:r>
      <w:r w:rsidR="007F3BC4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。</w:t>
      </w:r>
    </w:p>
    <w:p w14:paraId="5999647A" w14:textId="77777777" w:rsidR="007C0DD7" w:rsidRDefault="007C0DD7" w:rsidP="00354887">
      <w:pPr>
        <w:spacing w:after="0" w:line="440" w:lineRule="exact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</w:p>
    <w:p w14:paraId="48B1D491" w14:textId="296A3B55" w:rsidR="007C0DD7" w:rsidRDefault="00354887" w:rsidP="007C0DD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2</w:t>
      </w:r>
      <w:r w:rsidR="007C0DD7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、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公司在</w:t>
      </w:r>
      <w:r w:rsidR="007C0DD7" w:rsidRPr="007C0DD7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双十一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大促</w:t>
      </w:r>
      <w:r w:rsidR="007C0DD7" w:rsidRPr="007C0DD7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的</w:t>
      </w:r>
      <w:r w:rsidR="00AF1229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打法</w:t>
      </w:r>
      <w:r w:rsidR="007C0DD7" w:rsidRPr="007C0DD7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如何？</w:t>
      </w:r>
    </w:p>
    <w:p w14:paraId="4C9168E7" w14:textId="4F4C1590" w:rsidR="007C0DD7" w:rsidRDefault="007C0DD7" w:rsidP="007C0DD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双十一主要</w:t>
      </w:r>
      <w:r w:rsidR="0035488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增长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动力来自上半年开发的所有新品及九月份推出的两个新品，以及品牌建设投放</w:t>
      </w:r>
      <w:r w:rsidR="0035488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玉泽和佰草集在达播上表现</w:t>
      </w:r>
      <w:r w:rsidR="000D739C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好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，接下来将加大腰尾部达人的布局。</w:t>
      </w:r>
    </w:p>
    <w:p w14:paraId="49D2DEDB" w14:textId="77777777" w:rsidR="007C0DD7" w:rsidRDefault="007C0DD7" w:rsidP="007C0DD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</w:p>
    <w:p w14:paraId="06A5BD96" w14:textId="20FC6665" w:rsidR="007C0DD7" w:rsidRDefault="0091720A" w:rsidP="007C0DD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3</w:t>
      </w:r>
      <w:r w:rsidR="007C0DD7" w:rsidRPr="007C0DD7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、从明后年角度看，公司在渠道上的增长驱动力及渠道资源投放、倾斜度是如何考虑的？</w:t>
      </w:r>
    </w:p>
    <w:p w14:paraId="2CC14519" w14:textId="77777777" w:rsidR="000B1B66" w:rsidRDefault="007C0DD7" w:rsidP="007C0DD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未来渠道策略仍聚焦线上</w:t>
      </w:r>
      <w:r w:rsidR="000B1B66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：</w:t>
      </w:r>
    </w:p>
    <w:p w14:paraId="004BE662" w14:textId="7B94BF91" w:rsidR="007C0DD7" w:rsidRPr="007C0DD7" w:rsidRDefault="007C0DD7" w:rsidP="007C0DD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抖音方面，提高内容制作能力、加大直播团队建设，今年佰草集在达播上有突破，计划让其他品牌陆续在达播上</w:t>
      </w:r>
      <w:r w:rsidR="00F614C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发力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；天猫方面，提升</w:t>
      </w:r>
      <w:r w:rsidR="00F614C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产品的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视觉设计以提高转化效率，并加强小红书和抖音种草团队建设；京东和拼多多走向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to C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的精细化运营。</w:t>
      </w:r>
    </w:p>
    <w:p w14:paraId="30D82BE2" w14:textId="7E1BD6A3" w:rsidR="000E37D9" w:rsidRPr="007C0DD7" w:rsidRDefault="007C0DD7" w:rsidP="000E37D9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线下</w:t>
      </w:r>
      <w:r w:rsidR="00B65498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渠道：</w:t>
      </w:r>
    </w:p>
    <w:p w14:paraId="653C855D" w14:textId="754C93E7" w:rsidR="007C0DD7" w:rsidRPr="007C0DD7" w:rsidRDefault="007C0DD7" w:rsidP="007C0DD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KA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渠道：通过撤场不盈利产品、组织重构</w:t>
      </w:r>
      <w:r w:rsidR="000E37D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实现成本下降</w:t>
      </w:r>
      <w:r w:rsidR="00F81E8B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和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销售费率下降。</w:t>
      </w:r>
    </w:p>
    <w:p w14:paraId="5DD53F30" w14:textId="5A6174A0" w:rsidR="007C0DD7" w:rsidRPr="007C0DD7" w:rsidRDefault="007C0DD7" w:rsidP="007C0DD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经销商渠道：</w:t>
      </w:r>
      <w:r w:rsidR="000E37D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前三季度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单位数增长，来自零食店、便利店、闪电仓、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B2B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平台等新渠道拓展，以老产品铺货为主，未来为新渠道定制小包装、差旅装</w:t>
      </w:r>
      <w:r w:rsidR="00F81E8B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11091F1A" w14:textId="5C598434" w:rsidR="007C0DD7" w:rsidRDefault="007C0DD7" w:rsidP="000E37D9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百货渠道：精细化运营提升、模式迭代及产品结构优化</w:t>
      </w:r>
      <w:r w:rsidR="00F614C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未来将继续</w:t>
      </w:r>
      <w:r w:rsidR="00F614C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调整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结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lastRenderedPageBreak/>
        <w:t>构</w:t>
      </w:r>
      <w:r w:rsidR="00F614C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、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探索进入购物中心</w:t>
      </w:r>
      <w:r w:rsidR="00F614C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的模式。</w:t>
      </w:r>
    </w:p>
    <w:p w14:paraId="3F9FF765" w14:textId="77777777" w:rsidR="007C0DD7" w:rsidRDefault="007C0DD7" w:rsidP="007C0DD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</w:p>
    <w:p w14:paraId="6FF2ED3E" w14:textId="4D282977" w:rsidR="007C0DD7" w:rsidRPr="007C0DD7" w:rsidRDefault="004C4A9A" w:rsidP="007C0DD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4</w:t>
      </w:r>
      <w:r w:rsidR="007C0DD7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、</w:t>
      </w:r>
      <w:r w:rsidR="007C0DD7" w:rsidRPr="007C0DD7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佰草集和美加净品牌调整后，</w:t>
      </w:r>
      <w:r w:rsidR="007C0DD7" w:rsidRPr="007C0DD7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Q3</w:t>
      </w:r>
      <w:r w:rsidR="007C0DD7" w:rsidRPr="007C0DD7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新品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的销售</w:t>
      </w:r>
      <w:r w:rsidR="007C0DD7" w:rsidRPr="007C0DD7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情况是否符合预期？</w:t>
      </w:r>
    </w:p>
    <w:p w14:paraId="4AA058BE" w14:textId="3D199F91" w:rsidR="007C0DD7" w:rsidRPr="007C0DD7" w:rsidRDefault="007C0DD7" w:rsidP="007C0DD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佰草集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Q3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推出的</w:t>
      </w:r>
      <w:r w:rsidRPr="00F614C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修</w:t>
      </w:r>
      <w:r w:rsidR="00F614CD" w:rsidRPr="00F614C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源五行淡纹精华油</w:t>
      </w:r>
      <w:r w:rsidRPr="00F614C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，目前</w:t>
      </w:r>
      <w:r w:rsidR="004C4A9A" w:rsidRPr="00F614C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收入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达成预期，社媒增量、互动量及天猫搜索、关注、评论表现良好，</w:t>
      </w:r>
      <w:r w:rsidRPr="00F614C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该产品具有纯植物提取、无合成油成分、配料精简、应用水油膜发酵技术、使用南唐降真香、包装设计以汝瓷和中药罐器型为灵感等优势。</w:t>
      </w:r>
    </w:p>
    <w:p w14:paraId="640C61E3" w14:textId="74C99989" w:rsidR="00F811C3" w:rsidRDefault="007C0DD7" w:rsidP="007C0DD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美加净</w:t>
      </w:r>
      <w:r w:rsidR="00F614CD" w:rsidRPr="00F614C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蜂胶香氛护手霜</w:t>
      </w:r>
      <w:r w:rsidRPr="00F614C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达成预期，抖音表现</w:t>
      </w:r>
      <w:r w:rsidR="004C4A9A" w:rsidRPr="00F614C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好</w:t>
      </w:r>
      <w:r w:rsidRPr="00F614C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，天猫仍需时间种草。该产品添加秦岭高纯度蜂胶，主打</w:t>
      </w:r>
      <w:r w:rsidR="00F614CD" w:rsidRPr="00F614C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修护、</w:t>
      </w:r>
      <w:r w:rsidRPr="00F614C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香氛概念。</w:t>
      </w:r>
    </w:p>
    <w:p w14:paraId="5431F098" w14:textId="77777777" w:rsidR="007C0DD7" w:rsidRDefault="007C0DD7" w:rsidP="007C0DD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</w:p>
    <w:p w14:paraId="6E61227C" w14:textId="6407ECD0" w:rsidR="00F811C3" w:rsidRPr="007C0DD7" w:rsidRDefault="001F3F42" w:rsidP="007C0DD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5</w:t>
      </w:r>
      <w:r w:rsidR="007C0DD7" w:rsidRPr="007C0DD7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、公司在选取代言人时的考虑因素是什么？代言人落地后在拉新及品牌客群画像上带来了哪些变化？</w:t>
      </w:r>
    </w:p>
    <w:p w14:paraId="64BA6CA9" w14:textId="77777777" w:rsidR="007C0DD7" w:rsidRPr="007C0DD7" w:rsidRDefault="007C0DD7" w:rsidP="007C0DD7">
      <w:pPr>
        <w:spacing w:after="0" w:line="440" w:lineRule="exact"/>
        <w:ind w:firstLineChars="200" w:firstLine="480"/>
        <w:rPr>
          <w:rFonts w:ascii="宋体" w:eastAsia="宋体" w:hAnsi="宋体" w:hint="eastAsia"/>
          <w:bCs/>
          <w:sz w:val="24"/>
          <w:szCs w:val="28"/>
        </w:rPr>
      </w:pPr>
      <w:r w:rsidRPr="007C0DD7">
        <w:rPr>
          <w:rFonts w:ascii="宋体" w:eastAsia="宋体" w:hAnsi="宋体" w:hint="eastAsia"/>
          <w:bCs/>
          <w:sz w:val="24"/>
          <w:szCs w:val="28"/>
        </w:rPr>
        <w:t>选取代言人主要基于品牌焕新理念、产品特性及品牌调性契合度。</w:t>
      </w:r>
    </w:p>
    <w:p w14:paraId="5EE7893A" w14:textId="50247F01" w:rsidR="007C0DD7" w:rsidRPr="007C0DD7" w:rsidRDefault="007C0DD7" w:rsidP="007C0DD7">
      <w:pPr>
        <w:spacing w:after="0" w:line="440" w:lineRule="exact"/>
        <w:ind w:firstLineChars="200" w:firstLine="480"/>
        <w:rPr>
          <w:rFonts w:ascii="宋体" w:eastAsia="宋体" w:hAnsi="宋体" w:hint="eastAsia"/>
          <w:bCs/>
          <w:sz w:val="24"/>
          <w:szCs w:val="28"/>
        </w:rPr>
      </w:pPr>
      <w:r w:rsidRPr="007C0DD7">
        <w:rPr>
          <w:rFonts w:ascii="宋体" w:eastAsia="宋体" w:hAnsi="宋体" w:hint="eastAsia"/>
          <w:bCs/>
          <w:sz w:val="24"/>
          <w:szCs w:val="28"/>
        </w:rPr>
        <w:t>佰草集邀请刘涛代言，品牌</w:t>
      </w:r>
      <w:r w:rsidR="00F614CD">
        <w:rPr>
          <w:rFonts w:ascii="宋体" w:eastAsia="宋体" w:hAnsi="宋体" w:hint="eastAsia"/>
          <w:bCs/>
          <w:sz w:val="24"/>
          <w:szCs w:val="28"/>
        </w:rPr>
        <w:t>“</w:t>
      </w:r>
      <w:r w:rsidRPr="007C0DD7">
        <w:rPr>
          <w:rFonts w:ascii="宋体" w:eastAsia="宋体" w:hAnsi="宋体" w:hint="eastAsia"/>
          <w:bCs/>
          <w:sz w:val="24"/>
          <w:szCs w:val="28"/>
        </w:rPr>
        <w:t>回</w:t>
      </w:r>
      <w:r w:rsidR="00314BC4">
        <w:rPr>
          <w:rFonts w:ascii="宋体" w:eastAsia="宋体" w:hAnsi="宋体" w:hint="eastAsia"/>
          <w:bCs/>
          <w:sz w:val="24"/>
          <w:szCs w:val="28"/>
        </w:rPr>
        <w:t>归</w:t>
      </w:r>
      <w:r w:rsidRPr="007C0DD7">
        <w:rPr>
          <w:rFonts w:ascii="宋体" w:eastAsia="宋体" w:hAnsi="宋体" w:hint="eastAsia"/>
          <w:bCs/>
          <w:sz w:val="24"/>
          <w:szCs w:val="28"/>
        </w:rPr>
        <w:t>初心</w:t>
      </w:r>
      <w:r w:rsidR="00F614CD">
        <w:rPr>
          <w:rFonts w:ascii="宋体" w:eastAsia="宋体" w:hAnsi="宋体" w:hint="eastAsia"/>
          <w:bCs/>
          <w:sz w:val="24"/>
          <w:szCs w:val="28"/>
        </w:rPr>
        <w:t>”</w:t>
      </w:r>
      <w:r w:rsidRPr="007C0DD7">
        <w:rPr>
          <w:rFonts w:ascii="宋体" w:eastAsia="宋体" w:hAnsi="宋体" w:hint="eastAsia"/>
          <w:bCs/>
          <w:sz w:val="24"/>
          <w:szCs w:val="28"/>
        </w:rPr>
        <w:t>，重拾中草药养肤定位</w:t>
      </w:r>
      <w:r w:rsidR="00F614CD">
        <w:rPr>
          <w:rFonts w:ascii="宋体" w:eastAsia="宋体" w:hAnsi="宋体" w:hint="eastAsia"/>
          <w:bCs/>
          <w:sz w:val="24"/>
          <w:szCs w:val="28"/>
        </w:rPr>
        <w:t>，</w:t>
      </w:r>
      <w:r w:rsidRPr="007C0DD7">
        <w:rPr>
          <w:rFonts w:ascii="宋体" w:eastAsia="宋体" w:hAnsi="宋体" w:hint="eastAsia"/>
          <w:bCs/>
          <w:sz w:val="24"/>
          <w:szCs w:val="28"/>
        </w:rPr>
        <w:t>具有故事性和传播性，</w:t>
      </w:r>
      <w:r w:rsidR="00314BC4">
        <w:rPr>
          <w:rFonts w:ascii="宋体" w:eastAsia="宋体" w:hAnsi="宋体" w:hint="eastAsia"/>
          <w:bCs/>
          <w:sz w:val="24"/>
          <w:szCs w:val="28"/>
        </w:rPr>
        <w:t>延续</w:t>
      </w:r>
      <w:r w:rsidR="00F614CD">
        <w:rPr>
          <w:rFonts w:ascii="宋体" w:eastAsia="宋体" w:hAnsi="宋体" w:hint="eastAsia"/>
          <w:bCs/>
          <w:sz w:val="24"/>
          <w:szCs w:val="28"/>
        </w:rPr>
        <w:t>“</w:t>
      </w:r>
      <w:r w:rsidRPr="007C0DD7">
        <w:rPr>
          <w:rFonts w:ascii="宋体" w:eastAsia="宋体" w:hAnsi="宋体" w:hint="eastAsia"/>
          <w:bCs/>
          <w:sz w:val="24"/>
          <w:szCs w:val="28"/>
        </w:rPr>
        <w:t>美</w:t>
      </w:r>
      <w:r w:rsidR="00314BC4">
        <w:rPr>
          <w:rFonts w:ascii="宋体" w:eastAsia="宋体" w:hAnsi="宋体" w:hint="eastAsia"/>
          <w:bCs/>
          <w:sz w:val="24"/>
          <w:szCs w:val="28"/>
        </w:rPr>
        <w:t>自</w:t>
      </w:r>
      <w:r w:rsidRPr="007C0DD7">
        <w:rPr>
          <w:rFonts w:ascii="宋体" w:eastAsia="宋体" w:hAnsi="宋体" w:hint="eastAsia"/>
          <w:bCs/>
          <w:sz w:val="24"/>
          <w:szCs w:val="28"/>
        </w:rPr>
        <w:t>根源</w:t>
      </w:r>
      <w:r w:rsidR="00314BC4">
        <w:rPr>
          <w:rFonts w:ascii="宋体" w:eastAsia="宋体" w:hAnsi="宋体" w:hint="eastAsia"/>
          <w:bCs/>
          <w:sz w:val="24"/>
          <w:szCs w:val="28"/>
        </w:rPr>
        <w:t>，</w:t>
      </w:r>
      <w:r w:rsidRPr="007C0DD7">
        <w:rPr>
          <w:rFonts w:ascii="宋体" w:eastAsia="宋体" w:hAnsi="宋体" w:hint="eastAsia"/>
          <w:bCs/>
          <w:sz w:val="24"/>
          <w:szCs w:val="28"/>
        </w:rPr>
        <w:t>养有方</w:t>
      </w:r>
      <w:r w:rsidR="00F614CD">
        <w:rPr>
          <w:rFonts w:ascii="宋体" w:eastAsia="宋体" w:hAnsi="宋体" w:hint="eastAsia"/>
          <w:bCs/>
          <w:sz w:val="24"/>
          <w:szCs w:val="28"/>
        </w:rPr>
        <w:t>”</w:t>
      </w:r>
      <w:r w:rsidRPr="007C0DD7">
        <w:rPr>
          <w:rFonts w:ascii="宋体" w:eastAsia="宋体" w:hAnsi="宋体" w:hint="eastAsia"/>
          <w:bCs/>
          <w:sz w:val="24"/>
          <w:szCs w:val="28"/>
        </w:rPr>
        <w:t>的古方养肤理念。</w:t>
      </w:r>
    </w:p>
    <w:p w14:paraId="73885D3E" w14:textId="361E61EC" w:rsidR="007C0DD7" w:rsidRPr="007C0DD7" w:rsidRDefault="007C0DD7" w:rsidP="007C0DD7">
      <w:pPr>
        <w:spacing w:after="0" w:line="440" w:lineRule="exact"/>
        <w:ind w:firstLineChars="200" w:firstLine="480"/>
        <w:rPr>
          <w:rFonts w:ascii="宋体" w:eastAsia="宋体" w:hAnsi="宋体" w:hint="eastAsia"/>
          <w:bCs/>
          <w:sz w:val="24"/>
          <w:szCs w:val="28"/>
        </w:rPr>
      </w:pPr>
      <w:r w:rsidRPr="007C0DD7">
        <w:rPr>
          <w:rFonts w:ascii="宋体" w:eastAsia="宋体" w:hAnsi="宋体" w:hint="eastAsia"/>
          <w:bCs/>
          <w:sz w:val="24"/>
          <w:szCs w:val="28"/>
        </w:rPr>
        <w:t>玉泽</w:t>
      </w:r>
      <w:r w:rsidR="001F3F42" w:rsidRPr="007C0DD7">
        <w:rPr>
          <w:rFonts w:ascii="宋体" w:eastAsia="宋体" w:hAnsi="宋体" w:hint="eastAsia"/>
          <w:bCs/>
          <w:sz w:val="24"/>
          <w:szCs w:val="28"/>
        </w:rPr>
        <w:t>邀请</w:t>
      </w:r>
      <w:r w:rsidRPr="007C0DD7">
        <w:rPr>
          <w:rFonts w:ascii="宋体" w:eastAsia="宋体" w:hAnsi="宋体" w:hint="eastAsia"/>
          <w:bCs/>
          <w:sz w:val="24"/>
          <w:szCs w:val="28"/>
        </w:rPr>
        <w:t>樊振东代言，其</w:t>
      </w:r>
      <w:r w:rsidR="00F614CD">
        <w:rPr>
          <w:rFonts w:ascii="宋体" w:eastAsia="宋体" w:hAnsi="宋体" w:hint="eastAsia"/>
          <w:bCs/>
          <w:sz w:val="24"/>
          <w:szCs w:val="28"/>
        </w:rPr>
        <w:t>“</w:t>
      </w:r>
      <w:r w:rsidRPr="007C0DD7">
        <w:rPr>
          <w:rFonts w:ascii="宋体" w:eastAsia="宋体" w:hAnsi="宋体" w:hint="eastAsia"/>
          <w:bCs/>
          <w:sz w:val="24"/>
          <w:szCs w:val="28"/>
        </w:rPr>
        <w:t>稳王</w:t>
      </w:r>
      <w:r w:rsidR="00F614CD">
        <w:rPr>
          <w:rFonts w:ascii="宋体" w:eastAsia="宋体" w:hAnsi="宋体" w:hint="eastAsia"/>
          <w:bCs/>
          <w:sz w:val="24"/>
          <w:szCs w:val="28"/>
        </w:rPr>
        <w:t>”</w:t>
      </w:r>
      <w:r w:rsidRPr="007C0DD7">
        <w:rPr>
          <w:rFonts w:ascii="宋体" w:eastAsia="宋体" w:hAnsi="宋体" w:hint="eastAsia"/>
          <w:bCs/>
          <w:sz w:val="24"/>
          <w:szCs w:val="28"/>
        </w:rPr>
        <w:t>特质与品牌</w:t>
      </w:r>
      <w:r w:rsidR="00F614CD">
        <w:rPr>
          <w:rFonts w:ascii="宋体" w:eastAsia="宋体" w:hAnsi="宋体" w:hint="eastAsia"/>
          <w:bCs/>
          <w:sz w:val="24"/>
          <w:szCs w:val="28"/>
        </w:rPr>
        <w:t>“</w:t>
      </w:r>
      <w:r w:rsidRPr="007C0DD7">
        <w:rPr>
          <w:rFonts w:ascii="宋体" w:eastAsia="宋体" w:hAnsi="宋体" w:hint="eastAsia"/>
          <w:bCs/>
          <w:sz w:val="24"/>
          <w:szCs w:val="28"/>
        </w:rPr>
        <w:t>红退了就稳了</w:t>
      </w:r>
      <w:r w:rsidR="00F614CD">
        <w:rPr>
          <w:rFonts w:ascii="宋体" w:eastAsia="宋体" w:hAnsi="宋体" w:hint="eastAsia"/>
          <w:bCs/>
          <w:sz w:val="24"/>
          <w:szCs w:val="28"/>
        </w:rPr>
        <w:t>”</w:t>
      </w:r>
      <w:r w:rsidRPr="007C0DD7">
        <w:rPr>
          <w:rFonts w:ascii="宋体" w:eastAsia="宋体" w:hAnsi="宋体" w:hint="eastAsia"/>
          <w:bCs/>
          <w:sz w:val="24"/>
          <w:szCs w:val="28"/>
        </w:rPr>
        <w:t>的理念高度契合，作为专业运动员背书品牌专业度；同时借助其势能推广身体乳单品</w:t>
      </w:r>
      <w:r w:rsidR="001F3F42">
        <w:rPr>
          <w:rFonts w:ascii="宋体" w:eastAsia="宋体" w:hAnsi="宋体" w:hint="eastAsia"/>
          <w:bCs/>
          <w:sz w:val="24"/>
          <w:szCs w:val="28"/>
        </w:rPr>
        <w:t>，</w:t>
      </w:r>
      <w:r w:rsidRPr="007C0DD7">
        <w:rPr>
          <w:rFonts w:ascii="宋体" w:eastAsia="宋体" w:hAnsi="宋体" w:hint="eastAsia"/>
          <w:bCs/>
          <w:sz w:val="24"/>
          <w:szCs w:val="28"/>
        </w:rPr>
        <w:t>助力品牌知名度提升和第二梯队单品增长。</w:t>
      </w:r>
    </w:p>
    <w:p w14:paraId="516E184C" w14:textId="6E232660" w:rsidR="007C0DD7" w:rsidRPr="007C0DD7" w:rsidRDefault="007C0DD7" w:rsidP="007C0DD7">
      <w:pPr>
        <w:spacing w:after="0" w:line="440" w:lineRule="exact"/>
        <w:ind w:firstLineChars="200" w:firstLine="480"/>
        <w:rPr>
          <w:rFonts w:ascii="宋体" w:eastAsia="宋体" w:hAnsi="宋体" w:hint="eastAsia"/>
          <w:bCs/>
          <w:sz w:val="24"/>
          <w:szCs w:val="28"/>
        </w:rPr>
      </w:pPr>
      <w:r w:rsidRPr="00F614CD">
        <w:rPr>
          <w:rFonts w:ascii="宋体" w:eastAsia="宋体" w:hAnsi="宋体" w:hint="eastAsia"/>
          <w:bCs/>
          <w:sz w:val="24"/>
          <w:szCs w:val="28"/>
        </w:rPr>
        <w:t>高夫邀请付航代言，聚焦</w:t>
      </w:r>
      <w:r w:rsidRPr="007C0DD7">
        <w:rPr>
          <w:rFonts w:ascii="宋体" w:eastAsia="宋体" w:hAnsi="宋体" w:hint="eastAsia"/>
          <w:bCs/>
          <w:sz w:val="24"/>
          <w:szCs w:val="28"/>
        </w:rPr>
        <w:t>青少年控油祛痘赛道，主打学生人群，通过校园活动与年轻人建立链接，</w:t>
      </w:r>
      <w:r w:rsidR="00F614CD">
        <w:rPr>
          <w:rFonts w:ascii="宋体" w:eastAsia="宋体" w:hAnsi="宋体" w:hint="eastAsia"/>
          <w:bCs/>
          <w:sz w:val="24"/>
          <w:szCs w:val="28"/>
        </w:rPr>
        <w:t>提升新客率，</w:t>
      </w:r>
      <w:r w:rsidRPr="007C0DD7">
        <w:rPr>
          <w:rFonts w:ascii="宋体" w:eastAsia="宋体" w:hAnsi="宋体" w:hint="eastAsia"/>
          <w:bCs/>
          <w:sz w:val="24"/>
          <w:szCs w:val="28"/>
        </w:rPr>
        <w:t>实现品牌年轻化。</w:t>
      </w:r>
    </w:p>
    <w:p w14:paraId="34BC9DD0" w14:textId="7C939800" w:rsidR="007C0DD7" w:rsidRDefault="007C0DD7" w:rsidP="0038501B">
      <w:pPr>
        <w:spacing w:after="0" w:line="440" w:lineRule="exact"/>
        <w:ind w:firstLineChars="200" w:firstLine="480"/>
        <w:rPr>
          <w:rFonts w:ascii="宋体" w:eastAsia="宋体" w:hAnsi="宋体" w:hint="eastAsia"/>
          <w:bCs/>
          <w:sz w:val="24"/>
          <w:szCs w:val="28"/>
        </w:rPr>
      </w:pPr>
      <w:r w:rsidRPr="007C0DD7">
        <w:rPr>
          <w:rFonts w:ascii="宋体" w:eastAsia="宋体" w:hAnsi="宋体" w:hint="eastAsia"/>
          <w:bCs/>
          <w:sz w:val="24"/>
          <w:szCs w:val="28"/>
        </w:rPr>
        <w:t>启初邀请张柏芝代言，其辣妈形象</w:t>
      </w:r>
      <w:r w:rsidR="00F614CD">
        <w:rPr>
          <w:rFonts w:ascii="宋体" w:eastAsia="宋体" w:hAnsi="宋体" w:hint="eastAsia"/>
          <w:bCs/>
          <w:sz w:val="24"/>
          <w:szCs w:val="28"/>
        </w:rPr>
        <w:t>具有</w:t>
      </w:r>
      <w:r w:rsidR="00F614CD" w:rsidRPr="00F614CD">
        <w:rPr>
          <w:rFonts w:ascii="宋体" w:eastAsia="宋体" w:hAnsi="宋体" w:hint="eastAsia"/>
          <w:bCs/>
          <w:sz w:val="24"/>
          <w:szCs w:val="28"/>
        </w:rPr>
        <w:t>亲和力</w:t>
      </w:r>
      <w:r w:rsidR="00F614CD">
        <w:rPr>
          <w:rFonts w:ascii="宋体" w:eastAsia="宋体" w:hAnsi="宋体" w:hint="eastAsia"/>
          <w:bCs/>
          <w:sz w:val="24"/>
          <w:szCs w:val="28"/>
        </w:rPr>
        <w:t>、</w:t>
      </w:r>
      <w:r w:rsidR="00F614CD" w:rsidRPr="00F614CD">
        <w:rPr>
          <w:rFonts w:ascii="宋体" w:eastAsia="宋体" w:hAnsi="宋体" w:hint="eastAsia"/>
          <w:bCs/>
          <w:sz w:val="24"/>
          <w:szCs w:val="28"/>
        </w:rPr>
        <w:t>知名度，跟老爸测评</w:t>
      </w:r>
      <w:r w:rsidR="00F614CD">
        <w:rPr>
          <w:rFonts w:ascii="宋体" w:eastAsia="宋体" w:hAnsi="宋体" w:hint="eastAsia"/>
          <w:bCs/>
          <w:sz w:val="24"/>
          <w:szCs w:val="28"/>
        </w:rPr>
        <w:t>、</w:t>
      </w:r>
      <w:r w:rsidR="00F614CD" w:rsidRPr="00F614CD">
        <w:rPr>
          <w:rFonts w:ascii="宋体" w:eastAsia="宋体" w:hAnsi="宋体" w:hint="eastAsia"/>
          <w:bCs/>
          <w:sz w:val="24"/>
          <w:szCs w:val="28"/>
        </w:rPr>
        <w:t>马</w:t>
      </w:r>
      <w:r w:rsidR="00F614CD">
        <w:rPr>
          <w:rFonts w:ascii="宋体" w:eastAsia="宋体" w:hAnsi="宋体" w:hint="eastAsia"/>
          <w:bCs/>
          <w:sz w:val="24"/>
          <w:szCs w:val="28"/>
        </w:rPr>
        <w:t>琳</w:t>
      </w:r>
      <w:r w:rsidR="00F614CD" w:rsidRPr="00F614CD">
        <w:rPr>
          <w:rFonts w:ascii="宋体" w:eastAsia="宋体" w:hAnsi="宋体" w:hint="eastAsia"/>
          <w:bCs/>
          <w:sz w:val="24"/>
          <w:szCs w:val="28"/>
        </w:rPr>
        <w:t>教授</w:t>
      </w:r>
      <w:r w:rsidR="00F614CD">
        <w:rPr>
          <w:rFonts w:ascii="宋体" w:eastAsia="宋体" w:hAnsi="宋体" w:hint="eastAsia"/>
          <w:bCs/>
          <w:sz w:val="24"/>
          <w:szCs w:val="28"/>
        </w:rPr>
        <w:t>协同</w:t>
      </w:r>
      <w:r w:rsidR="00F614CD" w:rsidRPr="00F614CD">
        <w:rPr>
          <w:rFonts w:ascii="宋体" w:eastAsia="宋体" w:hAnsi="宋体" w:hint="eastAsia"/>
          <w:bCs/>
          <w:sz w:val="24"/>
          <w:szCs w:val="28"/>
        </w:rPr>
        <w:t>背书。</w:t>
      </w:r>
    </w:p>
    <w:p w14:paraId="2710D6BF" w14:textId="77777777" w:rsidR="007C0DD7" w:rsidRDefault="007C0DD7" w:rsidP="007C0DD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</w:p>
    <w:p w14:paraId="648F0689" w14:textId="3C4D2B02" w:rsidR="007C0DD7" w:rsidRDefault="0038501B" w:rsidP="007C0DD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6</w:t>
      </w:r>
      <w:r w:rsidR="007C0DD7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、</w:t>
      </w:r>
      <w:r w:rsidR="007C0DD7" w:rsidRPr="007C0DD7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如何看待精华油当前的市场机会？油品类是否会成为佰草集的强势心智？对仙草油在今年双十一或年内的表现有何预期？</w:t>
      </w:r>
    </w:p>
    <w:p w14:paraId="54162D8A" w14:textId="02A5C3E4" w:rsidR="007C0DD7" w:rsidRPr="00F15F7F" w:rsidRDefault="00B01884" w:rsidP="007C0DD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佰草集“</w:t>
      </w:r>
      <w:r w:rsidR="007C0DD7" w:rsidRPr="00F15F7F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仙草油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”</w:t>
      </w:r>
      <w:r w:rsidR="007C0DD7" w:rsidRPr="00F15F7F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前期曝光、互动、搜索、加速点评等指标优秀，</w:t>
      </w:r>
      <w:r w:rsidR="007C0DD7" w:rsidRPr="00F15F7F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GMV</w:t>
      </w:r>
      <w:r w:rsidR="007C0DD7" w:rsidRPr="00F15F7F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达成预算，但目前尚未大爆量，价格策略稳健，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品牌</w:t>
      </w:r>
      <w:r w:rsidR="007C0DD7" w:rsidRPr="00F15F7F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希望花更多时间积蓄势能，目前进展符合计划。佰草集油的基因，从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“</w:t>
      </w:r>
      <w:r w:rsidR="007C0DD7" w:rsidRPr="00F15F7F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啵啵水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”</w:t>
      </w:r>
      <w:r w:rsidR="007C0DD7" w:rsidRPr="00F15F7F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（水油结合）到五行修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源</w:t>
      </w:r>
      <w:r w:rsidR="007C0DD7" w:rsidRPr="00F15F7F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系列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“</w:t>
      </w:r>
      <w:r w:rsidRPr="00F15F7F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仙草油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”</w:t>
      </w:r>
      <w:r w:rsidR="007C0DD7" w:rsidRPr="00F15F7F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，未来油品类将与大白泥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面膜</w:t>
      </w:r>
      <w:r w:rsidR="007C0DD7" w:rsidRPr="00F15F7F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“两条腿走路”，成为佰草集最主打的两个品类。围绕油品类，目前先落在五行修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源</w:t>
      </w:r>
      <w:r w:rsidR="007C0DD7" w:rsidRPr="00F15F7F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线，未来在金</w:t>
      </w:r>
      <w:r w:rsidR="00F15F7F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御</w:t>
      </w:r>
      <w:r w:rsidR="007C0DD7" w:rsidRPr="00F15F7F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线、紫</w:t>
      </w:r>
      <w:r w:rsidR="00F15F7F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御</w:t>
      </w:r>
      <w:r w:rsidR="007C0DD7" w:rsidRPr="00F15F7F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线还有挖掘空间。</w:t>
      </w:r>
    </w:p>
    <w:p w14:paraId="38BE3BEB" w14:textId="77777777" w:rsidR="007C0DD7" w:rsidRDefault="007C0DD7" w:rsidP="00EC3B17">
      <w:pPr>
        <w:spacing w:after="0" w:line="440" w:lineRule="exact"/>
        <w:rPr>
          <w:rFonts w:ascii="宋体" w:eastAsia="宋体" w:hAnsi="宋体" w:hint="eastAsia"/>
          <w:bCs/>
          <w:sz w:val="24"/>
          <w:szCs w:val="28"/>
        </w:rPr>
      </w:pPr>
    </w:p>
    <w:p w14:paraId="487D8A08" w14:textId="764BA4CA" w:rsidR="007C0DD7" w:rsidRDefault="00EC3B17" w:rsidP="007C0DD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7</w:t>
      </w:r>
      <w:r w:rsidR="007C0DD7" w:rsidRPr="007C0DD7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、公司在组织调整上有什么心得？如何延续团队斗志和战斗力？后续是否会有进一步调整？</w:t>
      </w:r>
    </w:p>
    <w:p w14:paraId="4EE85574" w14:textId="74227744" w:rsidR="007C0DD7" w:rsidRDefault="007C0DD7" w:rsidP="007C0DD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战略需通过组织落地，去年建设以品牌为作战单元、事业部为指挥中心、前中后台协同的组织设计在顶层设计上</w:t>
      </w:r>
      <w:r w:rsidR="00EC3B1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表现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高效，各品牌与电商的小闭环使组织敏捷、效率提升。目前组织基本稳定，人员匹配需求。后续将提升视觉设计能力，核心品牌已外聘总监级视觉设计师</w:t>
      </w:r>
      <w:r w:rsidR="00ED0173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</w:t>
      </w:r>
      <w:r w:rsidRPr="007C0DD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同时提升内容运营能力，未来拓展至其他核心品牌</w:t>
      </w:r>
      <w:r w:rsidR="00EC3B1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0FA2F457" w14:textId="77777777" w:rsidR="007C0DD7" w:rsidRDefault="007C0DD7" w:rsidP="007C0DD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</w:p>
    <w:p w14:paraId="15E0B728" w14:textId="77777777" w:rsidR="007C0DD7" w:rsidRDefault="007C0DD7" w:rsidP="007C0DD7">
      <w:pPr>
        <w:spacing w:after="0" w:line="440" w:lineRule="exact"/>
        <w:ind w:firstLineChars="200" w:firstLine="480"/>
        <w:jc w:val="right"/>
        <w:rPr>
          <w:rFonts w:ascii="宋体" w:eastAsia="宋体" w:hAnsi="宋体" w:hint="eastAsia"/>
          <w:bCs/>
          <w:sz w:val="24"/>
          <w:szCs w:val="28"/>
        </w:rPr>
      </w:pPr>
    </w:p>
    <w:p w14:paraId="5383E645" w14:textId="77777777" w:rsidR="007C0DD7" w:rsidRDefault="007C0DD7" w:rsidP="007C0DD7">
      <w:pPr>
        <w:spacing w:after="0" w:line="440" w:lineRule="exact"/>
        <w:ind w:firstLineChars="200" w:firstLine="480"/>
        <w:jc w:val="right"/>
        <w:rPr>
          <w:rFonts w:ascii="宋体" w:eastAsia="宋体" w:hAnsi="宋体" w:hint="eastAsia"/>
          <w:bCs/>
          <w:sz w:val="24"/>
          <w:szCs w:val="28"/>
        </w:rPr>
      </w:pPr>
    </w:p>
    <w:p w14:paraId="18477CE3" w14:textId="68DF2463" w:rsidR="00496C47" w:rsidRPr="001C3CAF" w:rsidRDefault="00496C47" w:rsidP="007C0DD7">
      <w:pPr>
        <w:spacing w:after="0" w:line="440" w:lineRule="exact"/>
        <w:ind w:firstLineChars="200" w:firstLine="480"/>
        <w:jc w:val="right"/>
        <w:rPr>
          <w:rFonts w:ascii="宋体" w:eastAsia="宋体" w:hAnsi="宋体" w:hint="eastAsia"/>
          <w:bCs/>
          <w:sz w:val="24"/>
          <w:szCs w:val="28"/>
        </w:rPr>
      </w:pPr>
      <w:r w:rsidRPr="001C3CAF">
        <w:rPr>
          <w:rFonts w:ascii="宋体" w:eastAsia="宋体" w:hAnsi="宋体" w:hint="eastAsia"/>
          <w:bCs/>
          <w:sz w:val="24"/>
          <w:szCs w:val="28"/>
        </w:rPr>
        <w:t>上海家化联合股份有限公司</w:t>
      </w:r>
    </w:p>
    <w:p w14:paraId="1B271954" w14:textId="79F0B456" w:rsidR="00FD570E" w:rsidRPr="004B1AB3" w:rsidRDefault="00496C47" w:rsidP="00176091">
      <w:pPr>
        <w:spacing w:after="0" w:line="440" w:lineRule="exact"/>
        <w:ind w:firstLineChars="200" w:firstLine="480"/>
        <w:jc w:val="right"/>
        <w:rPr>
          <w:rFonts w:ascii="Arial" w:eastAsia="宋体" w:hAnsi="Arial" w:cs="Arial"/>
          <w:sz w:val="24"/>
          <w:szCs w:val="28"/>
        </w:rPr>
      </w:pPr>
      <w:r w:rsidRPr="004B1AB3">
        <w:rPr>
          <w:rFonts w:ascii="Arial" w:eastAsia="宋体" w:hAnsi="Arial" w:cs="Arial"/>
          <w:bCs/>
          <w:sz w:val="24"/>
          <w:szCs w:val="28"/>
        </w:rPr>
        <w:t>202</w:t>
      </w:r>
      <w:r w:rsidR="00002B71" w:rsidRPr="004B1AB3">
        <w:rPr>
          <w:rFonts w:ascii="Arial" w:eastAsia="宋体" w:hAnsi="Arial" w:cs="Arial"/>
          <w:bCs/>
          <w:sz w:val="24"/>
          <w:szCs w:val="28"/>
        </w:rPr>
        <w:t>5</w:t>
      </w:r>
      <w:r w:rsidRPr="004B1AB3">
        <w:rPr>
          <w:rFonts w:ascii="Arial" w:eastAsia="宋体" w:hAnsi="Arial" w:cs="Arial"/>
          <w:bCs/>
          <w:sz w:val="24"/>
          <w:szCs w:val="28"/>
        </w:rPr>
        <w:t>年</w:t>
      </w:r>
      <w:r w:rsidR="00E156E6" w:rsidRPr="004B1AB3">
        <w:rPr>
          <w:rFonts w:ascii="Arial" w:eastAsia="宋体" w:hAnsi="Arial" w:cs="Arial"/>
          <w:bCs/>
          <w:sz w:val="24"/>
          <w:szCs w:val="28"/>
        </w:rPr>
        <w:t>10</w:t>
      </w:r>
      <w:r w:rsidRPr="004B1AB3">
        <w:rPr>
          <w:rFonts w:ascii="Arial" w:eastAsia="宋体" w:hAnsi="Arial" w:cs="Arial"/>
          <w:bCs/>
          <w:sz w:val="24"/>
          <w:szCs w:val="28"/>
        </w:rPr>
        <w:t>月</w:t>
      </w:r>
      <w:r w:rsidR="00002B71" w:rsidRPr="004B1AB3">
        <w:rPr>
          <w:rFonts w:ascii="Arial" w:eastAsia="宋体" w:hAnsi="Arial" w:cs="Arial"/>
          <w:bCs/>
          <w:sz w:val="24"/>
          <w:szCs w:val="28"/>
        </w:rPr>
        <w:t>2</w:t>
      </w:r>
      <w:r w:rsidR="00E156E6" w:rsidRPr="004B1AB3">
        <w:rPr>
          <w:rFonts w:ascii="Arial" w:eastAsia="宋体" w:hAnsi="Arial" w:cs="Arial"/>
          <w:bCs/>
          <w:sz w:val="24"/>
          <w:szCs w:val="28"/>
        </w:rPr>
        <w:t>9</w:t>
      </w:r>
      <w:r w:rsidRPr="004B1AB3">
        <w:rPr>
          <w:rFonts w:ascii="Arial" w:eastAsia="宋体" w:hAnsi="Arial" w:cs="Arial"/>
          <w:bCs/>
          <w:sz w:val="24"/>
          <w:szCs w:val="28"/>
        </w:rPr>
        <w:t>日</w:t>
      </w:r>
    </w:p>
    <w:p w14:paraId="001128F6" w14:textId="77777777" w:rsidR="00496C47" w:rsidRDefault="00496C47">
      <w:pPr>
        <w:widowControl/>
        <w:spacing w:after="0" w:line="240" w:lineRule="auto"/>
        <w:rPr>
          <w:rFonts w:ascii="宋体" w:eastAsia="宋体" w:hAnsi="宋体" w:hint="eastAsia"/>
        </w:rPr>
      </w:pPr>
    </w:p>
    <w:p w14:paraId="7A20CDCA" w14:textId="77777777" w:rsidR="00496F97" w:rsidRDefault="00496F97">
      <w:pPr>
        <w:widowControl/>
        <w:spacing w:after="0" w:line="240" w:lineRule="auto"/>
        <w:rPr>
          <w:rFonts w:ascii="宋体" w:eastAsia="宋体" w:hAnsi="宋体" w:hint="eastAsia"/>
          <w:b/>
        </w:rPr>
      </w:pPr>
      <w:r>
        <w:rPr>
          <w:rFonts w:ascii="宋体" w:eastAsia="宋体" w:hAnsi="宋体"/>
          <w:b/>
        </w:rPr>
        <w:br w:type="page"/>
      </w:r>
    </w:p>
    <w:p w14:paraId="39A37A88" w14:textId="1E8434C4" w:rsidR="000E7227" w:rsidRDefault="00FD570E" w:rsidP="000E7227">
      <w:pPr>
        <w:spacing w:after="0" w:line="440" w:lineRule="exact"/>
        <w:ind w:firstLineChars="200" w:firstLine="442"/>
        <w:jc w:val="both"/>
        <w:rPr>
          <w:rFonts w:ascii="宋体" w:eastAsia="宋体" w:hAnsi="宋体" w:hint="eastAsia"/>
          <w:b/>
        </w:rPr>
      </w:pPr>
      <w:r w:rsidRPr="00FD570E">
        <w:rPr>
          <w:rFonts w:ascii="宋体" w:eastAsia="宋体" w:hAnsi="宋体" w:hint="eastAsia"/>
          <w:b/>
        </w:rPr>
        <w:lastRenderedPageBreak/>
        <w:t>附件</w:t>
      </w:r>
      <w:r w:rsidRPr="00FD570E">
        <w:rPr>
          <w:rFonts w:ascii="宋体" w:eastAsia="宋体" w:hAnsi="宋体"/>
          <w:b/>
        </w:rPr>
        <w:t>：参会机构清单（按拼音字母排序，排名不分先后）</w:t>
      </w:r>
    </w:p>
    <w:p w14:paraId="50E8FD7F" w14:textId="77777777" w:rsidR="000E7227" w:rsidRDefault="000E7227" w:rsidP="000E7227">
      <w:pPr>
        <w:spacing w:after="0" w:line="440" w:lineRule="exact"/>
        <w:ind w:firstLineChars="200" w:firstLine="442"/>
        <w:jc w:val="both"/>
        <w:rPr>
          <w:rFonts w:ascii="宋体" w:eastAsia="宋体" w:hAnsi="宋体" w:hint="eastAsia"/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48"/>
        <w:gridCol w:w="4048"/>
      </w:tblGrid>
      <w:tr w:rsidR="00840D3A" w:rsidRPr="00BF61C9" w14:paraId="5AB86D57" w14:textId="77777777" w:rsidTr="00840D3A">
        <w:trPr>
          <w:trHeight w:val="288"/>
        </w:trPr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BA7C9" w14:textId="35CF3A36" w:rsidR="00840D3A" w:rsidRPr="00211D49" w:rsidRDefault="00840D3A" w:rsidP="00840D3A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11D49">
              <w:rPr>
                <w:rFonts w:ascii="Arial" w:eastAsia="宋体" w:hAnsi="Arial" w:cs="Arial"/>
              </w:rPr>
              <w:t>AceCamp International Limited</w:t>
            </w:r>
          </w:p>
        </w:tc>
        <w:tc>
          <w:tcPr>
            <w:tcW w:w="2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089EF" w14:textId="669AD78F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东亚前海证券有限责任公司</w:t>
            </w:r>
          </w:p>
        </w:tc>
      </w:tr>
      <w:tr w:rsidR="00840D3A" w:rsidRPr="00BF61C9" w14:paraId="4DE483C9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78270" w14:textId="0FCFFF25" w:rsidR="00840D3A" w:rsidRPr="00211D49" w:rsidRDefault="00840D3A" w:rsidP="00840D3A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11D49">
              <w:rPr>
                <w:rFonts w:ascii="Arial" w:eastAsia="宋体" w:hAnsi="Arial" w:cs="Arial"/>
              </w:rPr>
              <w:t>acuity knowledge partners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3E8BE" w14:textId="58A737D6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方正证券股份有限公司</w:t>
            </w:r>
          </w:p>
        </w:tc>
      </w:tr>
      <w:tr w:rsidR="00840D3A" w:rsidRPr="00BF61C9" w14:paraId="0069E3C4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089CA" w14:textId="63FADEFC" w:rsidR="00840D3A" w:rsidRPr="00211D49" w:rsidRDefault="00840D3A" w:rsidP="00840D3A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11D49">
              <w:rPr>
                <w:rFonts w:ascii="Arial" w:eastAsia="宋体" w:hAnsi="Arial" w:cs="Arial"/>
              </w:rPr>
              <w:t>Atebin Capital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2FE12" w14:textId="3D781116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富国基金管理有限公司</w:t>
            </w:r>
          </w:p>
        </w:tc>
      </w:tr>
      <w:tr w:rsidR="00840D3A" w:rsidRPr="00BF61C9" w14:paraId="61FC46D0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386FA" w14:textId="5ACFDA6D" w:rsidR="00840D3A" w:rsidRPr="00211D49" w:rsidRDefault="00840D3A" w:rsidP="00840D3A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11D49">
              <w:rPr>
                <w:rFonts w:ascii="Arial" w:eastAsia="宋体" w:hAnsi="Arial" w:cs="Arial"/>
              </w:rPr>
              <w:t>Auspice Capital Advisors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E2E8B" w14:textId="6AD0B8C4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富瑞金融集团香港有限公司</w:t>
            </w:r>
          </w:p>
        </w:tc>
      </w:tr>
      <w:tr w:rsidR="00840D3A" w:rsidRPr="00BF61C9" w14:paraId="15ECF165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57BDF" w14:textId="30519D4F" w:rsidR="00840D3A" w:rsidRPr="00211D49" w:rsidRDefault="00840D3A" w:rsidP="00840D3A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11D49">
              <w:rPr>
                <w:rFonts w:ascii="Arial" w:eastAsia="宋体" w:hAnsi="Arial" w:cs="Arial"/>
              </w:rPr>
              <w:t>BroadPeakInvestmentAdvisors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DD979" w14:textId="7FA155FA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高盛</w:t>
            </w:r>
            <w:r w:rsidRPr="00840D3A">
              <w:rPr>
                <w:rFonts w:ascii="宋体" w:eastAsia="宋体" w:hAnsi="宋体"/>
              </w:rPr>
              <w:t>(亚洲)有限责任公司</w:t>
            </w:r>
          </w:p>
        </w:tc>
      </w:tr>
      <w:tr w:rsidR="00840D3A" w:rsidRPr="00BF61C9" w14:paraId="6649CB91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55BAD" w14:textId="70CF3975" w:rsidR="00840D3A" w:rsidRPr="00211D49" w:rsidRDefault="00840D3A" w:rsidP="00840D3A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11D49">
              <w:rPr>
                <w:rFonts w:ascii="Arial" w:eastAsia="宋体" w:hAnsi="Arial" w:cs="Arial"/>
              </w:rPr>
              <w:t>Citigroup Global Markets Asia Limited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AC73B" w14:textId="37AD422A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高盛资产管理</w:t>
            </w:r>
            <w:r w:rsidRPr="00840D3A">
              <w:rPr>
                <w:rFonts w:ascii="宋体" w:eastAsia="宋体" w:hAnsi="宋体"/>
              </w:rPr>
              <w:t>(香港)有限公司</w:t>
            </w:r>
          </w:p>
        </w:tc>
      </w:tr>
      <w:tr w:rsidR="00840D3A" w:rsidRPr="00BF61C9" w14:paraId="78A4352B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36F2A" w14:textId="13636413" w:rsidR="00840D3A" w:rsidRPr="00211D49" w:rsidRDefault="00840D3A" w:rsidP="00840D3A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11D49">
              <w:rPr>
                <w:rFonts w:ascii="Arial" w:eastAsia="宋体" w:hAnsi="Arial" w:cs="Arial"/>
              </w:rPr>
              <w:t>Crisil Investment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C70E7" w14:textId="2676DD11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耕霁</w:t>
            </w:r>
            <w:r w:rsidRPr="00840D3A">
              <w:rPr>
                <w:rFonts w:ascii="宋体" w:eastAsia="宋体" w:hAnsi="宋体"/>
              </w:rPr>
              <w:t>(上海)投资管理有限公司</w:t>
            </w:r>
          </w:p>
        </w:tc>
      </w:tr>
      <w:tr w:rsidR="00840D3A" w:rsidRPr="00BF61C9" w14:paraId="1BB6868F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89800" w14:textId="75161305" w:rsidR="00840D3A" w:rsidRPr="00211D49" w:rsidRDefault="00840D3A" w:rsidP="00840D3A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11D49">
              <w:rPr>
                <w:rFonts w:ascii="Arial" w:eastAsia="宋体" w:hAnsi="Arial" w:cs="Arial"/>
              </w:rPr>
              <w:t>HARVESTFUNDLIMITED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C08B2" w14:textId="0EADD07E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工银瑞信基金管理有限公司</w:t>
            </w:r>
          </w:p>
        </w:tc>
      </w:tr>
      <w:tr w:rsidR="00840D3A" w:rsidRPr="00BF61C9" w14:paraId="2A15BD36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4D306" w14:textId="5DA98203" w:rsidR="00840D3A" w:rsidRPr="00211D49" w:rsidRDefault="00840D3A" w:rsidP="00840D3A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11D49">
              <w:rPr>
                <w:rFonts w:ascii="Arial" w:eastAsia="宋体" w:hAnsi="Arial" w:cs="Arial"/>
              </w:rPr>
              <w:t>MILLENNIUM CAPITAL MANAGEMENT (HONG KONG) LIMITED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05411" w14:textId="301A49E3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共青城润卿私募基金管理合伙企业</w:t>
            </w:r>
            <w:r w:rsidRPr="00840D3A">
              <w:rPr>
                <w:rFonts w:ascii="宋体" w:eastAsia="宋体" w:hAnsi="宋体"/>
              </w:rPr>
              <w:t>(有限合伙)</w:t>
            </w:r>
          </w:p>
        </w:tc>
      </w:tr>
      <w:tr w:rsidR="00840D3A" w:rsidRPr="00BF61C9" w14:paraId="2476946D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87A77" w14:textId="17A88FC1" w:rsidR="00840D3A" w:rsidRPr="00211D49" w:rsidRDefault="00840D3A" w:rsidP="00840D3A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11D49">
              <w:rPr>
                <w:rFonts w:ascii="Arial" w:eastAsia="宋体" w:hAnsi="Arial" w:cs="Arial"/>
              </w:rPr>
              <w:t>NORTH ROCK CAPITAL, LLC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EE366" w14:textId="11B2CEFF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光大证券股份有限公司</w:t>
            </w:r>
          </w:p>
        </w:tc>
      </w:tr>
      <w:tr w:rsidR="00840D3A" w:rsidRPr="00BF61C9" w14:paraId="57B54645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8E14D" w14:textId="5D34B79D" w:rsidR="00840D3A" w:rsidRPr="00211D49" w:rsidRDefault="00840D3A" w:rsidP="00840D3A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11D49">
              <w:rPr>
                <w:rFonts w:ascii="Arial" w:eastAsia="宋体" w:hAnsi="Arial" w:cs="Arial"/>
              </w:rPr>
              <w:t>Point72 Hong Kong Limited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840A8" w14:textId="2635D9A8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广发基金管理有限公司</w:t>
            </w:r>
          </w:p>
        </w:tc>
      </w:tr>
      <w:tr w:rsidR="00840D3A" w:rsidRPr="00BF61C9" w14:paraId="6F805455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5ABB7" w14:textId="7F99F840" w:rsidR="00840D3A" w:rsidRPr="00211D49" w:rsidRDefault="00840D3A" w:rsidP="00840D3A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11D49">
              <w:rPr>
                <w:rFonts w:ascii="Arial" w:eastAsia="宋体" w:hAnsi="Arial" w:cs="Arial"/>
              </w:rPr>
              <w:t>Polymer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985D6" w14:textId="40FDBE1F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广发证券股份有限公司</w:t>
            </w:r>
          </w:p>
        </w:tc>
      </w:tr>
      <w:tr w:rsidR="00840D3A" w:rsidRPr="00BF61C9" w14:paraId="335402A9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028CE" w14:textId="318D7D52" w:rsidR="00840D3A" w:rsidRPr="00211D49" w:rsidRDefault="00840D3A" w:rsidP="00840D3A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11D49">
              <w:rPr>
                <w:rFonts w:ascii="Arial" w:eastAsia="宋体" w:hAnsi="Arial" w:cs="Arial"/>
              </w:rPr>
              <w:t>Sigmoid Management LP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A3E47" w14:textId="27198FE1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国都证券股份有限公司</w:t>
            </w:r>
          </w:p>
        </w:tc>
      </w:tr>
      <w:tr w:rsidR="00840D3A" w:rsidRPr="00BF61C9" w14:paraId="654DCB20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6D135" w14:textId="4A5DE1C3" w:rsidR="00840D3A" w:rsidRPr="00211D49" w:rsidRDefault="00840D3A" w:rsidP="00840D3A">
            <w:pPr>
              <w:widowControl/>
              <w:spacing w:after="0" w:line="240" w:lineRule="auto"/>
              <w:rPr>
                <w:rFonts w:ascii="Arial" w:eastAsia="宋体" w:hAnsi="Arial" w:cs="Arial"/>
              </w:rPr>
            </w:pPr>
            <w:r w:rsidRPr="00211D49">
              <w:rPr>
                <w:rFonts w:ascii="Arial" w:eastAsia="宋体" w:hAnsi="Arial" w:cs="Arial"/>
              </w:rPr>
              <w:t>SUMMIT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4A07D" w14:textId="23F658F2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国海证券股份有限公司</w:t>
            </w:r>
          </w:p>
        </w:tc>
      </w:tr>
      <w:tr w:rsidR="00840D3A" w:rsidRPr="00BF61C9" w14:paraId="1B5DAB1A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6843B" w14:textId="4910C1D7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安联环球投资有限公司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BC413" w14:textId="04C197B1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国联基金管理有限公司</w:t>
            </w:r>
          </w:p>
        </w:tc>
      </w:tr>
      <w:tr w:rsidR="00840D3A" w:rsidRPr="00BF61C9" w14:paraId="140A4435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9BFA3" w14:textId="68391A62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安信基金管理有限责任公司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9D417" w14:textId="1DD09728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国联民生证券股份有限公司</w:t>
            </w:r>
          </w:p>
        </w:tc>
      </w:tr>
      <w:tr w:rsidR="00840D3A" w:rsidRPr="00BF61C9" w14:paraId="2A8BBC23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77487" w14:textId="7183E14B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百嘉基金管理有限公司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E3FA1" w14:textId="48A7D5D9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国盛证券有限责任公司</w:t>
            </w:r>
          </w:p>
        </w:tc>
      </w:tr>
      <w:tr w:rsidR="00840D3A" w:rsidRPr="00BF61C9" w14:paraId="16FF646B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D4A7A" w14:textId="6555C58B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北京诚盛投资管理有限公司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F1A43" w14:textId="13E24F13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国泰海通证券股份有限公司</w:t>
            </w:r>
          </w:p>
        </w:tc>
      </w:tr>
      <w:tr w:rsidR="00840D3A" w:rsidRPr="00BF61C9" w14:paraId="5551CAEA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C1BE2" w14:textId="584825FE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北京沣沛投资管理有限公司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6A416" w14:textId="639A1ABB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国信证券股份有限公司</w:t>
            </w:r>
          </w:p>
        </w:tc>
      </w:tr>
      <w:tr w:rsidR="00840D3A" w:rsidRPr="00BF61C9" w14:paraId="5EC11CE1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254A4" w14:textId="3D44968C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北京高信百诺投资管理有限公司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5E50E" w14:textId="6DC03763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国元证券股份有限公司</w:t>
            </w:r>
          </w:p>
        </w:tc>
      </w:tr>
      <w:tr w:rsidR="00840D3A" w:rsidRPr="00BF61C9" w14:paraId="1655A42C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DD8ED" w14:textId="24A6A183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北京国际信托有限公司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7D93C" w14:textId="304F94D7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海南羊角私募基金管理合伙企业</w:t>
            </w:r>
            <w:r w:rsidRPr="00840D3A">
              <w:rPr>
                <w:rFonts w:ascii="宋体" w:eastAsia="宋体" w:hAnsi="宋体"/>
              </w:rPr>
              <w:t>(有限合伙)</w:t>
            </w:r>
          </w:p>
        </w:tc>
      </w:tr>
      <w:tr w:rsidR="00840D3A" w:rsidRPr="00BF61C9" w14:paraId="2E628BDF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7E97F" w14:textId="2D4BA5C8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北京合正普惠私募基金投资管理有限公司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5B235" w14:textId="42BF1127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海通国际研究有限公司</w:t>
            </w:r>
          </w:p>
        </w:tc>
      </w:tr>
      <w:tr w:rsidR="00840D3A" w:rsidRPr="00BF61C9" w14:paraId="2541EC9A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CC427" w14:textId="54DCA12D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北京久阳润泉资本管理中心</w:t>
            </w:r>
            <w:r w:rsidRPr="00840D3A">
              <w:rPr>
                <w:rFonts w:ascii="宋体" w:eastAsia="宋体" w:hAnsi="宋体"/>
              </w:rPr>
              <w:t>(有限合伙)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DD35A" w14:textId="5F8A0DBD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海通国际资产管理</w:t>
            </w:r>
            <w:r w:rsidRPr="00840D3A">
              <w:rPr>
                <w:rFonts w:ascii="宋体" w:eastAsia="宋体" w:hAnsi="宋体"/>
              </w:rPr>
              <w:t>(香港)有限公司</w:t>
            </w:r>
          </w:p>
        </w:tc>
      </w:tr>
      <w:tr w:rsidR="00840D3A" w:rsidRPr="00BF61C9" w14:paraId="19166987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E9FAB" w14:textId="7DCB193E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北京鑫翰资本管理有限公司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04726" w14:textId="3B65C576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杭州丰熙投资管理有限公司</w:t>
            </w:r>
          </w:p>
        </w:tc>
      </w:tr>
      <w:tr w:rsidR="00840D3A" w:rsidRPr="00BF61C9" w14:paraId="2C6BC7EC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B2907" w14:textId="1DF576A6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北京星允投资管理有限公司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1A1DE" w14:textId="3BF09BA3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恒越基金管理有限公司</w:t>
            </w:r>
          </w:p>
        </w:tc>
      </w:tr>
      <w:tr w:rsidR="00840D3A" w:rsidRPr="00BF61C9" w14:paraId="6D8DB548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16F64" w14:textId="54161058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彬元资本有限公司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B342F" w14:textId="5537C2E1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鸿运私募基金管理</w:t>
            </w:r>
            <w:r w:rsidRPr="00840D3A">
              <w:rPr>
                <w:rFonts w:ascii="宋体" w:eastAsia="宋体" w:hAnsi="宋体"/>
              </w:rPr>
              <w:t>(海南)有限公司</w:t>
            </w:r>
          </w:p>
        </w:tc>
      </w:tr>
      <w:tr w:rsidR="00840D3A" w:rsidRPr="00BF61C9" w14:paraId="6FACE31E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06C8F" w14:textId="112D9F75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博道基金管理有限公司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1AF40" w14:textId="3988D0EA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华创证券有限责任公司</w:t>
            </w:r>
          </w:p>
        </w:tc>
      </w:tr>
      <w:tr w:rsidR="00840D3A" w:rsidRPr="00BF61C9" w14:paraId="77912E92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91F0EE" w14:textId="420D07DA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布洛德峰投资顾问有限公司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4BE31" w14:textId="774F5CDD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华福证券有限责任公司</w:t>
            </w:r>
          </w:p>
        </w:tc>
      </w:tr>
      <w:tr w:rsidR="00840D3A" w:rsidRPr="00BF61C9" w14:paraId="1C986924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48FE7" w14:textId="6D765510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财通证券股份有限公司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143F3" w14:textId="37A75C2A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华富基金管理有限公司</w:t>
            </w:r>
          </w:p>
        </w:tc>
      </w:tr>
      <w:tr w:rsidR="00840D3A" w:rsidRPr="00BF61C9" w14:paraId="483CBBF1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655D5" w14:textId="70A74AE4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财通证券资产管理有限公司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7985A" w14:textId="2B43FB5F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华泰证券</w:t>
            </w:r>
            <w:r w:rsidRPr="00840D3A">
              <w:rPr>
                <w:rFonts w:ascii="宋体" w:eastAsia="宋体" w:hAnsi="宋体"/>
              </w:rPr>
              <w:t>(上海)资产管理有限公司</w:t>
            </w:r>
          </w:p>
        </w:tc>
      </w:tr>
      <w:tr w:rsidR="00840D3A" w:rsidRPr="00BF61C9" w14:paraId="328E510B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2E125" w14:textId="22DEE813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淳厚基金管理有限公司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250D" w14:textId="6485DAA7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华泰证券股份有限公司</w:t>
            </w:r>
          </w:p>
        </w:tc>
      </w:tr>
      <w:tr w:rsidR="00840D3A" w:rsidRPr="00BF61C9" w14:paraId="4A3E6422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7ED5D" w14:textId="4B286424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大家保险集团有限责任公司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9BE82" w14:textId="7FEFCB92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华西证券股份有限公司</w:t>
            </w:r>
          </w:p>
        </w:tc>
      </w:tr>
      <w:tr w:rsidR="00840D3A" w:rsidRPr="00BF61C9" w14:paraId="6A9F3377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943D33" w14:textId="15220378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第一创业证券股份有限公司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CA6FF" w14:textId="1552FC04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华鑫证券有限责任公司</w:t>
            </w:r>
          </w:p>
        </w:tc>
      </w:tr>
      <w:tr w:rsidR="00840D3A" w:rsidRPr="00BF61C9" w14:paraId="1E8B8FAC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64A39" w14:textId="77BAE870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东北证券股份有限公司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A5F6C" w14:textId="6E3ED71B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汇丰晋信基金管理有限公司</w:t>
            </w:r>
          </w:p>
        </w:tc>
      </w:tr>
      <w:tr w:rsidR="00840D3A" w:rsidRPr="00BF61C9" w14:paraId="6A4DD9C7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3805D" w14:textId="73A55B71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东方财富证券股份有限公司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0698B" w14:textId="51FC33BC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汇丰前海证券有限责任公司</w:t>
            </w:r>
          </w:p>
        </w:tc>
      </w:tr>
      <w:tr w:rsidR="00840D3A" w:rsidRPr="00BF61C9" w14:paraId="0A527DB9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890CB" w14:textId="2C59F69A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东方证券股份有限公司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78BFF" w14:textId="2E294225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汇添富基金管理股份有限公司</w:t>
            </w:r>
          </w:p>
        </w:tc>
      </w:tr>
      <w:tr w:rsidR="00840D3A" w:rsidRPr="00BF61C9" w14:paraId="75C918ED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DCBA5" w14:textId="0FBAFCD4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东吴证券股份有限公司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A3D94" w14:textId="1DBAE0A4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建信基金管理有限责任公司</w:t>
            </w:r>
          </w:p>
        </w:tc>
      </w:tr>
      <w:tr w:rsidR="00840D3A" w:rsidRPr="00BF61C9" w14:paraId="12A8064C" w14:textId="77777777" w:rsidTr="00840D3A">
        <w:trPr>
          <w:trHeight w:val="288"/>
        </w:trPr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E24D9" w14:textId="6C274A4C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江海证券有限公司</w:t>
            </w:r>
          </w:p>
        </w:tc>
        <w:tc>
          <w:tcPr>
            <w:tcW w:w="2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7047" w14:textId="1AF045A6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上海万纳私募基金管理有限公司</w:t>
            </w:r>
          </w:p>
        </w:tc>
      </w:tr>
      <w:tr w:rsidR="00840D3A" w:rsidRPr="00BF61C9" w14:paraId="08223551" w14:textId="77777777" w:rsidTr="00840D3A">
        <w:trPr>
          <w:trHeight w:val="288"/>
        </w:trPr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6556B" w14:textId="31E20902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lastRenderedPageBreak/>
              <w:t>金鹰基金管理有限公司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7D279" w14:textId="0EACC1A2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上海希瓦私募基金管理中心(有限合伙)</w:t>
            </w:r>
          </w:p>
        </w:tc>
      </w:tr>
      <w:tr w:rsidR="00840D3A" w:rsidRPr="00BF61C9" w14:paraId="06EF0BFB" w14:textId="77777777" w:rsidTr="00840D3A">
        <w:trPr>
          <w:trHeight w:val="288"/>
        </w:trPr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4113C" w14:textId="20363EB1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君康人寿保险股份有限公司</w:t>
            </w:r>
          </w:p>
        </w:tc>
        <w:tc>
          <w:tcPr>
            <w:tcW w:w="2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5F619" w14:textId="148D0C8A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上海雪石资产管理有限公司</w:t>
            </w:r>
          </w:p>
        </w:tc>
      </w:tr>
      <w:tr w:rsidR="00840D3A" w:rsidRPr="00BF61C9" w14:paraId="5D08772F" w14:textId="77777777" w:rsidTr="00701DB3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B4911" w14:textId="66E33CEF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麦格理资本股份有限公司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EE373" w14:textId="0226D5D1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上海于翼资产管理合伙企业</w:t>
            </w:r>
            <w:r w:rsidRPr="00840D3A">
              <w:rPr>
                <w:rFonts w:ascii="宋体" w:eastAsia="宋体" w:hAnsi="宋体"/>
              </w:rPr>
              <w:t>(有限合伙)</w:t>
            </w:r>
          </w:p>
        </w:tc>
      </w:tr>
      <w:tr w:rsidR="00840D3A" w:rsidRPr="00BF61C9" w14:paraId="742BD0B1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1400F" w14:textId="05364464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民生证券股份有限公司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34E32" w14:textId="26E55193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上海原点资产管理有限公司</w:t>
            </w:r>
          </w:p>
        </w:tc>
      </w:tr>
      <w:tr w:rsidR="00840D3A" w:rsidRPr="00BF61C9" w14:paraId="05602B28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2124E" w14:textId="72DB94D3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摩根大通公司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52BDB" w14:textId="4677330B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上海原泽私募基金管理有限公司</w:t>
            </w:r>
          </w:p>
        </w:tc>
      </w:tr>
      <w:tr w:rsidR="00840D3A" w:rsidRPr="00BF61C9" w14:paraId="65F1BB09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452A8" w14:textId="50CFD9E3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摩根士丹利亚洲有限公司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3C88F" w14:textId="65EE1824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上海臻宜投资管理有限公司</w:t>
            </w:r>
          </w:p>
        </w:tc>
      </w:tr>
      <w:tr w:rsidR="00840D3A" w:rsidRPr="00BF61C9" w14:paraId="60DE2BCC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1451B" w14:textId="40146B01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摩根资产管理(中国)有限公司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4C174" w14:textId="7A211389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深圳大道至诚投资管理合伙企业</w:t>
            </w:r>
            <w:r w:rsidRPr="00840D3A">
              <w:rPr>
                <w:rFonts w:ascii="宋体" w:eastAsia="宋体" w:hAnsi="宋体"/>
              </w:rPr>
              <w:t>(有限合伙)</w:t>
            </w:r>
          </w:p>
        </w:tc>
      </w:tr>
      <w:tr w:rsidR="00840D3A" w:rsidRPr="00BF61C9" w14:paraId="4629263C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314D7" w14:textId="15365B2B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南京璟恒投资管理有限公司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34CE2" w14:textId="61F775A4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深圳宏鼎财富管理有限公司</w:t>
            </w:r>
          </w:p>
        </w:tc>
      </w:tr>
      <w:tr w:rsidR="00840D3A" w:rsidRPr="00BF61C9" w14:paraId="1E5C0B9F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CA51D" w14:textId="784DDE82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宁波三登投资管理合伙企业(有限合伙)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710CC" w14:textId="6D68EC9E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深圳嘉谟资本管理有限公司</w:t>
            </w:r>
          </w:p>
        </w:tc>
      </w:tr>
      <w:tr w:rsidR="00840D3A" w:rsidRPr="00BF61C9" w14:paraId="7C8C68AB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69E5D" w14:textId="5966AB0A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农银汇理基金管理有限公司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645B0" w14:textId="6D4A53A5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深圳金泊投资管理有限公司</w:t>
            </w:r>
          </w:p>
        </w:tc>
      </w:tr>
      <w:tr w:rsidR="00840D3A" w:rsidRPr="00BF61C9" w14:paraId="794F0A42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8725D" w14:textId="238BE9F3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诺德基金管理有限公司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83892" w14:textId="5777D0A9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深圳茂源财富管理有限公司</w:t>
            </w:r>
          </w:p>
        </w:tc>
      </w:tr>
      <w:tr w:rsidR="00840D3A" w:rsidRPr="00BF61C9" w14:paraId="1BA63A8D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98248" w14:textId="54953099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磐厚动量(上海)资本管理有限公司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7EB2E" w14:textId="2A8CB6A4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深圳市麦星投资管理有限公司</w:t>
            </w:r>
          </w:p>
        </w:tc>
      </w:tr>
      <w:tr w:rsidR="00840D3A" w:rsidRPr="00BF61C9" w14:paraId="1B1635D4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0E9D8" w14:textId="26BFBECF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鹏扬基金管理有限公司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7ED45" w14:textId="734783D9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深圳市尚诚资产管理有限责任公司</w:t>
            </w:r>
          </w:p>
        </w:tc>
      </w:tr>
      <w:tr w:rsidR="00840D3A" w:rsidRPr="00BF61C9" w14:paraId="1DADF6CB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BBD9D" w14:textId="39E20E34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平安理财有限责任公司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60155" w14:textId="199A069C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深圳市新高投资管理有限公司</w:t>
            </w:r>
          </w:p>
        </w:tc>
      </w:tr>
      <w:tr w:rsidR="00840D3A" w:rsidRPr="00BF61C9" w14:paraId="58DB9682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8637" w14:textId="4A15B224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平安证券股份有限公司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6B5DD" w14:textId="44FC3C01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深圳市轩瑞私募证券投资基金管理有限公司</w:t>
            </w:r>
          </w:p>
        </w:tc>
      </w:tr>
      <w:tr w:rsidR="00840D3A" w:rsidRPr="00BF61C9" w14:paraId="5CC01B9F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9CE0B" w14:textId="23EA4BDF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浦银安盛基金管理有限公司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26D84" w14:textId="1B96C815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深圳中天汇富基金管理有限公司</w:t>
            </w:r>
          </w:p>
        </w:tc>
      </w:tr>
      <w:tr w:rsidR="00840D3A" w:rsidRPr="00BF61C9" w14:paraId="712BA536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08537" w14:textId="78A1E84C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浦银国际控股有限公司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382BF" w14:textId="02869FAE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深圳中胤信弘投资有限公司</w:t>
            </w:r>
          </w:p>
        </w:tc>
      </w:tr>
      <w:tr w:rsidR="00840D3A" w:rsidRPr="00BF61C9" w14:paraId="75A62FBC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33FD" w14:textId="7659AA4F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泉果基金管理有限公司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12B48" w14:textId="01A885B8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天风证券股份有限公司</w:t>
            </w:r>
          </w:p>
        </w:tc>
      </w:tr>
      <w:tr w:rsidR="00840D3A" w:rsidRPr="00BF61C9" w14:paraId="63571E57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2438D" w14:textId="68E79EE5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融通基金管理有限公司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61C44" w14:textId="391E9D77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西安瀑布资产管理有限公司</w:t>
            </w:r>
          </w:p>
        </w:tc>
      </w:tr>
      <w:tr w:rsidR="00840D3A" w:rsidRPr="00BF61C9" w14:paraId="38C5B2D2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3CDF1" w14:textId="18C79D52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瑞银证券有限责任公司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06453" w14:textId="668BC2DA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西部证券股份有限公司</w:t>
            </w:r>
          </w:p>
        </w:tc>
      </w:tr>
      <w:tr w:rsidR="00840D3A" w:rsidRPr="00BF61C9" w14:paraId="78F743D1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A0712" w14:textId="3CEB1C5F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三元玖运(西安)创业投资有限公司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DFCC7" w14:textId="1ABF101F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新华基金管理股份有限公司</w:t>
            </w:r>
          </w:p>
        </w:tc>
      </w:tr>
      <w:tr w:rsidR="00840D3A" w:rsidRPr="00BF61C9" w14:paraId="356883A3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ADD9" w14:textId="22AC2A3A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上海递归资产管理有限公司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740AA" w14:textId="2EDA3075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信达澳亚基金管理有限公司</w:t>
            </w:r>
          </w:p>
        </w:tc>
      </w:tr>
      <w:tr w:rsidR="00840D3A" w:rsidRPr="00BF61C9" w14:paraId="09794A95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3EA67" w14:textId="41DCB203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上海顶天投资有限公司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42C03" w14:textId="0381BF04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兴业证券股份有限公司</w:t>
            </w:r>
          </w:p>
        </w:tc>
      </w:tr>
      <w:tr w:rsidR="00840D3A" w:rsidRPr="00BF61C9" w14:paraId="533E7CB5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EE14B" w14:textId="4AA5E6BE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上海度势投资有限公司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59F56" w14:textId="2389AD02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兴证全球基金管理有限公司</w:t>
            </w:r>
          </w:p>
        </w:tc>
      </w:tr>
      <w:tr w:rsidR="00840D3A" w:rsidRPr="00BF61C9" w14:paraId="435B0AE3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31D1F" w14:textId="5991F611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上海方物私募基金管理有限公司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10148" w14:textId="73BEF42C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兴证证券资产管理有限公司</w:t>
            </w:r>
          </w:p>
        </w:tc>
      </w:tr>
      <w:tr w:rsidR="00840D3A" w:rsidRPr="00BF61C9" w14:paraId="011CA574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E0B9B" w14:textId="4F99CB5B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上海高毅资产管理合伙企业(有限合伙)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FF0FA" w14:textId="7FAA4300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玄卜投资</w:t>
            </w:r>
            <w:r w:rsidRPr="00840D3A">
              <w:rPr>
                <w:rFonts w:ascii="宋体" w:eastAsia="宋体" w:hAnsi="宋体"/>
              </w:rPr>
              <w:t>(上海)有限公司</w:t>
            </w:r>
          </w:p>
        </w:tc>
      </w:tr>
      <w:tr w:rsidR="00840D3A" w:rsidRPr="00BF61C9" w14:paraId="7350C9DE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8A5EC" w14:textId="5A1B5273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上海国际信托有限公司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2360F" w14:textId="41D9637E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银华基金管理股份有限公司</w:t>
            </w:r>
          </w:p>
        </w:tc>
      </w:tr>
      <w:tr w:rsidR="00840D3A" w:rsidRPr="00BF61C9" w14:paraId="27883D3D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D7751" w14:textId="6536F14C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上海合远私募基金管理有限公司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71186" w14:textId="4BCAA26D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永赢基金管理有限公司</w:t>
            </w:r>
          </w:p>
        </w:tc>
      </w:tr>
      <w:tr w:rsidR="00840D3A" w:rsidRPr="00BF61C9" w14:paraId="16601256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214DE" w14:textId="07D3E38E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上海和谐汇一资产管理有限公司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75BF8" w14:textId="37C61EA4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粤港澳大湾区科技创新产业投资基金</w:t>
            </w:r>
            <w:r w:rsidRPr="00840D3A">
              <w:rPr>
                <w:rFonts w:ascii="宋体" w:eastAsia="宋体" w:hAnsi="宋体"/>
              </w:rPr>
              <w:t>(有限合伙)</w:t>
            </w:r>
          </w:p>
        </w:tc>
      </w:tr>
      <w:tr w:rsidR="00840D3A" w:rsidRPr="00BF61C9" w14:paraId="5F433EA4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79C2B" w14:textId="66CD641F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上海嘉世私募基金管理有限公司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EF5AA" w14:textId="46925AC3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云富投资集团有限公司</w:t>
            </w:r>
          </w:p>
        </w:tc>
      </w:tr>
      <w:tr w:rsidR="00840D3A" w:rsidRPr="00BF61C9" w14:paraId="6C589F2D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70926" w14:textId="7086F989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上海聚劲投资有限公司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BC0A" w14:textId="77B0B4DE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长江证券</w:t>
            </w:r>
            <w:r w:rsidRPr="00840D3A">
              <w:rPr>
                <w:rFonts w:ascii="宋体" w:eastAsia="宋体" w:hAnsi="宋体"/>
              </w:rPr>
              <w:t>(上海)资产管理有限公司</w:t>
            </w:r>
          </w:p>
        </w:tc>
      </w:tr>
      <w:tr w:rsidR="00840D3A" w:rsidRPr="00BF61C9" w14:paraId="2EE56DAC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6F7F" w14:textId="051FFBC7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上海聚鸣投资管理有限公司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0F35" w14:textId="5117942B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招商证券股份有限公司</w:t>
            </w:r>
          </w:p>
        </w:tc>
      </w:tr>
      <w:tr w:rsidR="00840D3A" w:rsidRPr="00BF61C9" w14:paraId="31C9F69C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3E6B" w14:textId="370AB046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上海君和立成投资管理中心(有限合伙)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06E08" w14:textId="109C28A4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浙商证券股份有限公司</w:t>
            </w:r>
          </w:p>
        </w:tc>
      </w:tr>
      <w:tr w:rsidR="00840D3A" w:rsidRPr="00BF61C9" w14:paraId="4266C07C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68003" w14:textId="30194300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上海联视投资管理有限公司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9B58E" w14:textId="51CFC816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中财招商投资集团有限公司</w:t>
            </w:r>
          </w:p>
        </w:tc>
      </w:tr>
      <w:tr w:rsidR="00840D3A" w:rsidRPr="00BF61C9" w14:paraId="68E1E3E0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31BDA" w14:textId="542C1B1C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上海朴信投资管理有限公司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06CFC" w14:textId="2B3BC9C9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中广云投资</w:t>
            </w:r>
          </w:p>
        </w:tc>
      </w:tr>
      <w:tr w:rsidR="00840D3A" w:rsidRPr="00BF61C9" w14:paraId="72C0AEEB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FEA88" w14:textId="3B18DF48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上海睿扬投资管理有限公司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53B4C" w14:textId="2FB8FD09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中国国际金融股份有限公司</w:t>
            </w:r>
          </w:p>
        </w:tc>
      </w:tr>
      <w:tr w:rsidR="00840D3A" w:rsidRPr="00BF61C9" w14:paraId="5A04FF95" w14:textId="77777777" w:rsidTr="00A6485B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A869" w14:textId="443AAC64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上海申银万国证券研究所有限公司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58AA7" w14:textId="0FC078B7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中国人保资产管理有限公司</w:t>
            </w:r>
          </w:p>
        </w:tc>
      </w:tr>
      <w:tr w:rsidR="00840D3A" w:rsidRPr="00BF61C9" w14:paraId="2AC1A03C" w14:textId="77777777" w:rsidTr="00A6485B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DEBF2" w14:textId="19F44D00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上海世诚投资管理有限公司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15D35" w14:textId="65E3B063" w:rsidR="00840D3A" w:rsidRPr="00840D3A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中国银河国际金融控股有限公司</w:t>
            </w:r>
          </w:p>
        </w:tc>
      </w:tr>
      <w:tr w:rsidR="00840D3A" w:rsidRPr="00BF61C9" w14:paraId="2DBAA0EB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CD970" w14:textId="5EF5A357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上海彤源投资发展有限公司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E8E02" w14:textId="6AF2B0BC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中航信托股份有限公司</w:t>
            </w:r>
          </w:p>
        </w:tc>
      </w:tr>
      <w:tr w:rsidR="00840D3A" w:rsidRPr="00BF61C9" w14:paraId="14A7979D" w14:textId="77777777" w:rsidTr="00B166F3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C2811" w14:textId="627CDB25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中欧基金管理有限公司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A0611" w14:textId="53C1B9FC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中信期货有限公司</w:t>
            </w:r>
          </w:p>
        </w:tc>
      </w:tr>
      <w:tr w:rsidR="00840D3A" w:rsidRPr="00BF61C9" w14:paraId="76B1497C" w14:textId="77777777" w:rsidTr="00B166F3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028EA" w14:textId="6AF00F7A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lastRenderedPageBreak/>
              <w:t>中泰证券(上海)资产管理有限公司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E92C3" w14:textId="4A08E4AB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中信证券股份有限公司</w:t>
            </w:r>
          </w:p>
        </w:tc>
      </w:tr>
      <w:tr w:rsidR="00840D3A" w:rsidRPr="00BF61C9" w14:paraId="74015E03" w14:textId="77777777" w:rsidTr="00B166F3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D03A0" w14:textId="168EB0E3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中泰证券股份有限公司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0C20E" w14:textId="52395215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中银国际证券股份有限公司</w:t>
            </w:r>
          </w:p>
        </w:tc>
      </w:tr>
      <w:tr w:rsidR="00840D3A" w:rsidRPr="00BF61C9" w14:paraId="0A550BD4" w14:textId="77777777" w:rsidTr="00B166F3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08B81" w14:textId="7B24A7CA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中天国富证券有限公司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4BBCA" w14:textId="7C0EC0EC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紫金矿业投资(上海)有限公司</w:t>
            </w:r>
          </w:p>
        </w:tc>
      </w:tr>
      <w:tr w:rsidR="00840D3A" w:rsidRPr="00BF61C9" w14:paraId="5ABB52E7" w14:textId="77777777" w:rsidTr="00B166F3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2D0B9" w14:textId="4845DA7B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中信建投证券股份有限公司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E11BE" w14:textId="5D0C2102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紫金信托有限责任公司</w:t>
            </w:r>
          </w:p>
        </w:tc>
      </w:tr>
      <w:tr w:rsidR="00840D3A" w:rsidRPr="00BF61C9" w14:paraId="1C066942" w14:textId="77777777" w:rsidTr="00840D3A">
        <w:trPr>
          <w:trHeight w:val="288"/>
        </w:trPr>
        <w:tc>
          <w:tcPr>
            <w:tcW w:w="2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8608D" w14:textId="3ADB8251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  <w:r w:rsidRPr="00840D3A">
              <w:rPr>
                <w:rFonts w:ascii="宋体" w:eastAsia="宋体" w:hAnsi="宋体" w:hint="eastAsia"/>
              </w:rPr>
              <w:t>中信里昂证券有限公司</w:t>
            </w: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CEBFF" w14:textId="073451AE" w:rsidR="00840D3A" w:rsidRPr="00BF61C9" w:rsidRDefault="00840D3A" w:rsidP="00840D3A">
            <w:pPr>
              <w:widowControl/>
              <w:spacing w:after="0" w:line="240" w:lineRule="auto"/>
              <w:rPr>
                <w:rFonts w:ascii="宋体" w:eastAsia="宋体" w:hAnsi="宋体" w:hint="eastAsia"/>
              </w:rPr>
            </w:pPr>
          </w:p>
        </w:tc>
      </w:tr>
    </w:tbl>
    <w:p w14:paraId="5A124355" w14:textId="09AE0CE4" w:rsidR="000E7227" w:rsidRDefault="000E7227" w:rsidP="000E7227">
      <w:pPr>
        <w:spacing w:after="0" w:line="440" w:lineRule="exact"/>
        <w:ind w:firstLineChars="200" w:firstLine="442"/>
        <w:jc w:val="both"/>
        <w:rPr>
          <w:rFonts w:ascii="宋体" w:eastAsia="宋体" w:hAnsi="宋体" w:hint="eastAsia"/>
          <w:b/>
        </w:rPr>
      </w:pPr>
    </w:p>
    <w:sectPr w:rsidR="000E7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6614" w14:textId="77777777" w:rsidR="00C6443B" w:rsidRDefault="00C6443B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E7C43D3" w14:textId="77777777" w:rsidR="00C6443B" w:rsidRDefault="00C6443B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15CB" w14:textId="77777777" w:rsidR="00C6443B" w:rsidRDefault="00C6443B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8CB09DF" w14:textId="77777777" w:rsidR="00C6443B" w:rsidRDefault="00C6443B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01C33"/>
    <w:multiLevelType w:val="hybridMultilevel"/>
    <w:tmpl w:val="8BF22ADA"/>
    <w:lvl w:ilvl="0" w:tplc="3D5E941A">
      <w:start w:val="1"/>
      <w:numFmt w:val="decimalEnclosedCircle"/>
      <w:lvlText w:val="%1"/>
      <w:lvlJc w:val="left"/>
      <w:pPr>
        <w:ind w:left="84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49395E00"/>
    <w:multiLevelType w:val="hybridMultilevel"/>
    <w:tmpl w:val="39828958"/>
    <w:lvl w:ilvl="0" w:tplc="F60857B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5D346A49"/>
    <w:multiLevelType w:val="hybridMultilevel"/>
    <w:tmpl w:val="C5E0DC32"/>
    <w:lvl w:ilvl="0" w:tplc="25D0DF6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62D26E94"/>
    <w:multiLevelType w:val="multilevel"/>
    <w:tmpl w:val="62D26E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21274C0"/>
    <w:multiLevelType w:val="hybridMultilevel"/>
    <w:tmpl w:val="CCE048C2"/>
    <w:lvl w:ilvl="0" w:tplc="31BC4F1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9DF266F"/>
    <w:multiLevelType w:val="hybridMultilevel"/>
    <w:tmpl w:val="6284F5B0"/>
    <w:lvl w:ilvl="0" w:tplc="02BE6F2C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863079">
    <w:abstractNumId w:val="3"/>
  </w:num>
  <w:num w:numId="2" w16cid:durableId="293604442">
    <w:abstractNumId w:val="4"/>
  </w:num>
  <w:num w:numId="3" w16cid:durableId="1013608238">
    <w:abstractNumId w:val="2"/>
  </w:num>
  <w:num w:numId="4" w16cid:durableId="1298101559">
    <w:abstractNumId w:val="5"/>
  </w:num>
  <w:num w:numId="5" w16cid:durableId="1732534709">
    <w:abstractNumId w:val="0"/>
  </w:num>
  <w:num w:numId="6" w16cid:durableId="756096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RiMzc3YTRiMTk0ZjZiMjVjNmI0YjZlYjUxZDljM2YifQ=="/>
  </w:docVars>
  <w:rsids>
    <w:rsidRoot w:val="00EF1353"/>
    <w:rsid w:val="00002B71"/>
    <w:rsid w:val="00004D28"/>
    <w:rsid w:val="00015216"/>
    <w:rsid w:val="00015769"/>
    <w:rsid w:val="000174F4"/>
    <w:rsid w:val="00017F75"/>
    <w:rsid w:val="000675EC"/>
    <w:rsid w:val="00082F88"/>
    <w:rsid w:val="00091683"/>
    <w:rsid w:val="000A274E"/>
    <w:rsid w:val="000A355D"/>
    <w:rsid w:val="000A47BE"/>
    <w:rsid w:val="000A486D"/>
    <w:rsid w:val="000A4D3D"/>
    <w:rsid w:val="000A7DAF"/>
    <w:rsid w:val="000B1B66"/>
    <w:rsid w:val="000B4F6F"/>
    <w:rsid w:val="000C3E22"/>
    <w:rsid w:val="000D739C"/>
    <w:rsid w:val="000E37D9"/>
    <w:rsid w:val="000E44D2"/>
    <w:rsid w:val="000E704E"/>
    <w:rsid w:val="000E7227"/>
    <w:rsid w:val="001233D2"/>
    <w:rsid w:val="0012440F"/>
    <w:rsid w:val="00146621"/>
    <w:rsid w:val="001565FA"/>
    <w:rsid w:val="00160286"/>
    <w:rsid w:val="0017220C"/>
    <w:rsid w:val="001723E5"/>
    <w:rsid w:val="00176091"/>
    <w:rsid w:val="001835C2"/>
    <w:rsid w:val="00185050"/>
    <w:rsid w:val="00187C0D"/>
    <w:rsid w:val="00191A12"/>
    <w:rsid w:val="00193C43"/>
    <w:rsid w:val="0019413C"/>
    <w:rsid w:val="001A3086"/>
    <w:rsid w:val="001C3CAF"/>
    <w:rsid w:val="001C7D3E"/>
    <w:rsid w:val="001D5C14"/>
    <w:rsid w:val="001E00F2"/>
    <w:rsid w:val="001E462D"/>
    <w:rsid w:val="001F0325"/>
    <w:rsid w:val="001F2032"/>
    <w:rsid w:val="001F3786"/>
    <w:rsid w:val="001F3F42"/>
    <w:rsid w:val="00200C83"/>
    <w:rsid w:val="002076FE"/>
    <w:rsid w:val="00211D49"/>
    <w:rsid w:val="00220176"/>
    <w:rsid w:val="00221DA0"/>
    <w:rsid w:val="00222270"/>
    <w:rsid w:val="002234DD"/>
    <w:rsid w:val="00233130"/>
    <w:rsid w:val="0024193C"/>
    <w:rsid w:val="00251008"/>
    <w:rsid w:val="002646C4"/>
    <w:rsid w:val="00265815"/>
    <w:rsid w:val="002662D2"/>
    <w:rsid w:val="002664BB"/>
    <w:rsid w:val="00270868"/>
    <w:rsid w:val="0027230C"/>
    <w:rsid w:val="0028425F"/>
    <w:rsid w:val="00294402"/>
    <w:rsid w:val="002A0979"/>
    <w:rsid w:val="002B0245"/>
    <w:rsid w:val="002B46AD"/>
    <w:rsid w:val="002C134B"/>
    <w:rsid w:val="002D00A7"/>
    <w:rsid w:val="002D3F17"/>
    <w:rsid w:val="002D50DB"/>
    <w:rsid w:val="002D7D2A"/>
    <w:rsid w:val="002D7DD9"/>
    <w:rsid w:val="002E33EF"/>
    <w:rsid w:val="002F2796"/>
    <w:rsid w:val="00304256"/>
    <w:rsid w:val="00311BDA"/>
    <w:rsid w:val="00313AAA"/>
    <w:rsid w:val="00314BC4"/>
    <w:rsid w:val="00320DB0"/>
    <w:rsid w:val="0032128D"/>
    <w:rsid w:val="00322B81"/>
    <w:rsid w:val="00327E26"/>
    <w:rsid w:val="003304E9"/>
    <w:rsid w:val="0034145F"/>
    <w:rsid w:val="00341AB8"/>
    <w:rsid w:val="00350B76"/>
    <w:rsid w:val="003534F7"/>
    <w:rsid w:val="00354887"/>
    <w:rsid w:val="00354E20"/>
    <w:rsid w:val="00362DCA"/>
    <w:rsid w:val="00365BC4"/>
    <w:rsid w:val="00370D37"/>
    <w:rsid w:val="00375624"/>
    <w:rsid w:val="0038501B"/>
    <w:rsid w:val="003C3B3B"/>
    <w:rsid w:val="003D0C8A"/>
    <w:rsid w:val="003E50F8"/>
    <w:rsid w:val="003E693D"/>
    <w:rsid w:val="003E7A26"/>
    <w:rsid w:val="003F5C57"/>
    <w:rsid w:val="00400B82"/>
    <w:rsid w:val="0040193D"/>
    <w:rsid w:val="004109F7"/>
    <w:rsid w:val="004130B2"/>
    <w:rsid w:val="004139A0"/>
    <w:rsid w:val="004223DE"/>
    <w:rsid w:val="004441E8"/>
    <w:rsid w:val="004466CC"/>
    <w:rsid w:val="004533E1"/>
    <w:rsid w:val="004634AF"/>
    <w:rsid w:val="00475263"/>
    <w:rsid w:val="00476702"/>
    <w:rsid w:val="00480BA6"/>
    <w:rsid w:val="00496412"/>
    <w:rsid w:val="00496C47"/>
    <w:rsid w:val="00496F97"/>
    <w:rsid w:val="004A3ABC"/>
    <w:rsid w:val="004A533A"/>
    <w:rsid w:val="004A6047"/>
    <w:rsid w:val="004B1AB3"/>
    <w:rsid w:val="004C4A9A"/>
    <w:rsid w:val="004D034C"/>
    <w:rsid w:val="004E308A"/>
    <w:rsid w:val="004E38C5"/>
    <w:rsid w:val="004F14C2"/>
    <w:rsid w:val="004F4474"/>
    <w:rsid w:val="004F49D9"/>
    <w:rsid w:val="00500724"/>
    <w:rsid w:val="00511EB2"/>
    <w:rsid w:val="005211E9"/>
    <w:rsid w:val="00525366"/>
    <w:rsid w:val="005312C7"/>
    <w:rsid w:val="005315E4"/>
    <w:rsid w:val="00532705"/>
    <w:rsid w:val="00576F00"/>
    <w:rsid w:val="00595103"/>
    <w:rsid w:val="005A3682"/>
    <w:rsid w:val="005B0FF2"/>
    <w:rsid w:val="005C0B40"/>
    <w:rsid w:val="005C7BC0"/>
    <w:rsid w:val="005D09F9"/>
    <w:rsid w:val="005D136A"/>
    <w:rsid w:val="005D18AE"/>
    <w:rsid w:val="005D2D15"/>
    <w:rsid w:val="005D495F"/>
    <w:rsid w:val="005D52C8"/>
    <w:rsid w:val="005D7745"/>
    <w:rsid w:val="005E0A3D"/>
    <w:rsid w:val="00604746"/>
    <w:rsid w:val="006053B1"/>
    <w:rsid w:val="00610E05"/>
    <w:rsid w:val="0061542F"/>
    <w:rsid w:val="00643409"/>
    <w:rsid w:val="0064711E"/>
    <w:rsid w:val="00647974"/>
    <w:rsid w:val="00654C1B"/>
    <w:rsid w:val="00666B2A"/>
    <w:rsid w:val="00693032"/>
    <w:rsid w:val="006A5F9E"/>
    <w:rsid w:val="006B5BA1"/>
    <w:rsid w:val="006C2984"/>
    <w:rsid w:val="006D1DEB"/>
    <w:rsid w:val="006E349B"/>
    <w:rsid w:val="006F0D07"/>
    <w:rsid w:val="00704C5F"/>
    <w:rsid w:val="00711840"/>
    <w:rsid w:val="007142F1"/>
    <w:rsid w:val="007211C5"/>
    <w:rsid w:val="00723EC7"/>
    <w:rsid w:val="00724554"/>
    <w:rsid w:val="00731CDC"/>
    <w:rsid w:val="00735D0A"/>
    <w:rsid w:val="00737625"/>
    <w:rsid w:val="00754CD0"/>
    <w:rsid w:val="00760914"/>
    <w:rsid w:val="00763C97"/>
    <w:rsid w:val="00774604"/>
    <w:rsid w:val="00774609"/>
    <w:rsid w:val="00776D1F"/>
    <w:rsid w:val="007826F4"/>
    <w:rsid w:val="00793897"/>
    <w:rsid w:val="007A7972"/>
    <w:rsid w:val="007B35DC"/>
    <w:rsid w:val="007C0DD7"/>
    <w:rsid w:val="007C18BF"/>
    <w:rsid w:val="007C6298"/>
    <w:rsid w:val="007F1CB5"/>
    <w:rsid w:val="007F3B04"/>
    <w:rsid w:val="007F3BC4"/>
    <w:rsid w:val="007F7BDF"/>
    <w:rsid w:val="00816FEF"/>
    <w:rsid w:val="00821E19"/>
    <w:rsid w:val="00826FAD"/>
    <w:rsid w:val="00827D92"/>
    <w:rsid w:val="008322C0"/>
    <w:rsid w:val="00835CA5"/>
    <w:rsid w:val="00840D3A"/>
    <w:rsid w:val="00843413"/>
    <w:rsid w:val="008473E6"/>
    <w:rsid w:val="00872838"/>
    <w:rsid w:val="00887501"/>
    <w:rsid w:val="00895A06"/>
    <w:rsid w:val="00895CBC"/>
    <w:rsid w:val="00896B63"/>
    <w:rsid w:val="008C37DB"/>
    <w:rsid w:val="008C5E73"/>
    <w:rsid w:val="008D3384"/>
    <w:rsid w:val="008E10E2"/>
    <w:rsid w:val="008E180F"/>
    <w:rsid w:val="008E19E2"/>
    <w:rsid w:val="008F738F"/>
    <w:rsid w:val="00901788"/>
    <w:rsid w:val="00905822"/>
    <w:rsid w:val="00916CA0"/>
    <w:rsid w:val="0091720A"/>
    <w:rsid w:val="009210B7"/>
    <w:rsid w:val="0093267F"/>
    <w:rsid w:val="00933CA4"/>
    <w:rsid w:val="00943B05"/>
    <w:rsid w:val="00952EF2"/>
    <w:rsid w:val="00955BDA"/>
    <w:rsid w:val="00957C38"/>
    <w:rsid w:val="00971C8A"/>
    <w:rsid w:val="0097384B"/>
    <w:rsid w:val="0098698C"/>
    <w:rsid w:val="00994E8E"/>
    <w:rsid w:val="009A3287"/>
    <w:rsid w:val="009A37EB"/>
    <w:rsid w:val="009A4E6D"/>
    <w:rsid w:val="009C1965"/>
    <w:rsid w:val="009C65EC"/>
    <w:rsid w:val="009C7307"/>
    <w:rsid w:val="009C7910"/>
    <w:rsid w:val="009D50DB"/>
    <w:rsid w:val="009D56C2"/>
    <w:rsid w:val="009D68FC"/>
    <w:rsid w:val="009E464A"/>
    <w:rsid w:val="009E5577"/>
    <w:rsid w:val="009E7272"/>
    <w:rsid w:val="009F779D"/>
    <w:rsid w:val="00A00899"/>
    <w:rsid w:val="00A06108"/>
    <w:rsid w:val="00A110A5"/>
    <w:rsid w:val="00A16250"/>
    <w:rsid w:val="00A33975"/>
    <w:rsid w:val="00A369DC"/>
    <w:rsid w:val="00A4093D"/>
    <w:rsid w:val="00A416DF"/>
    <w:rsid w:val="00A431CF"/>
    <w:rsid w:val="00A44536"/>
    <w:rsid w:val="00A54884"/>
    <w:rsid w:val="00A6521D"/>
    <w:rsid w:val="00A7093E"/>
    <w:rsid w:val="00A714C9"/>
    <w:rsid w:val="00A867E2"/>
    <w:rsid w:val="00A95064"/>
    <w:rsid w:val="00AB451B"/>
    <w:rsid w:val="00AB6FFB"/>
    <w:rsid w:val="00AC0205"/>
    <w:rsid w:val="00AC1319"/>
    <w:rsid w:val="00AC7241"/>
    <w:rsid w:val="00AD2BB4"/>
    <w:rsid w:val="00AD7EF4"/>
    <w:rsid w:val="00AE65F4"/>
    <w:rsid w:val="00AF1229"/>
    <w:rsid w:val="00AF36F0"/>
    <w:rsid w:val="00B01884"/>
    <w:rsid w:val="00B03C30"/>
    <w:rsid w:val="00B0557C"/>
    <w:rsid w:val="00B4728A"/>
    <w:rsid w:val="00B54135"/>
    <w:rsid w:val="00B627F0"/>
    <w:rsid w:val="00B65498"/>
    <w:rsid w:val="00B662B7"/>
    <w:rsid w:val="00B66C0E"/>
    <w:rsid w:val="00B91CBA"/>
    <w:rsid w:val="00BA6610"/>
    <w:rsid w:val="00BB31E6"/>
    <w:rsid w:val="00BB36CB"/>
    <w:rsid w:val="00BB429B"/>
    <w:rsid w:val="00BB5C35"/>
    <w:rsid w:val="00BC035A"/>
    <w:rsid w:val="00BD3D4F"/>
    <w:rsid w:val="00BE0599"/>
    <w:rsid w:val="00BE0F70"/>
    <w:rsid w:val="00BE1199"/>
    <w:rsid w:val="00BE481A"/>
    <w:rsid w:val="00BF4569"/>
    <w:rsid w:val="00BF61C9"/>
    <w:rsid w:val="00C055FD"/>
    <w:rsid w:val="00C10103"/>
    <w:rsid w:val="00C22A7B"/>
    <w:rsid w:val="00C23C91"/>
    <w:rsid w:val="00C23F8D"/>
    <w:rsid w:val="00C376ED"/>
    <w:rsid w:val="00C40D85"/>
    <w:rsid w:val="00C41F83"/>
    <w:rsid w:val="00C44FDA"/>
    <w:rsid w:val="00C45BCD"/>
    <w:rsid w:val="00C468C8"/>
    <w:rsid w:val="00C56238"/>
    <w:rsid w:val="00C56F6E"/>
    <w:rsid w:val="00C6443B"/>
    <w:rsid w:val="00C66618"/>
    <w:rsid w:val="00C7366F"/>
    <w:rsid w:val="00C73BC3"/>
    <w:rsid w:val="00C76319"/>
    <w:rsid w:val="00C807C8"/>
    <w:rsid w:val="00C86E3B"/>
    <w:rsid w:val="00CA0AD8"/>
    <w:rsid w:val="00CA1670"/>
    <w:rsid w:val="00CB0983"/>
    <w:rsid w:val="00CB3D71"/>
    <w:rsid w:val="00CC3D17"/>
    <w:rsid w:val="00CC45FC"/>
    <w:rsid w:val="00CC7E2A"/>
    <w:rsid w:val="00CD00CB"/>
    <w:rsid w:val="00CE3AE5"/>
    <w:rsid w:val="00CE4835"/>
    <w:rsid w:val="00CF132C"/>
    <w:rsid w:val="00CF2F87"/>
    <w:rsid w:val="00CF6EE3"/>
    <w:rsid w:val="00D02F03"/>
    <w:rsid w:val="00D03183"/>
    <w:rsid w:val="00D0405A"/>
    <w:rsid w:val="00D04B76"/>
    <w:rsid w:val="00D0599E"/>
    <w:rsid w:val="00D14DD3"/>
    <w:rsid w:val="00D15A6F"/>
    <w:rsid w:val="00D16727"/>
    <w:rsid w:val="00D336D8"/>
    <w:rsid w:val="00D406EA"/>
    <w:rsid w:val="00D42C4A"/>
    <w:rsid w:val="00D4556A"/>
    <w:rsid w:val="00D474DB"/>
    <w:rsid w:val="00D52D3A"/>
    <w:rsid w:val="00D54C06"/>
    <w:rsid w:val="00D56CC8"/>
    <w:rsid w:val="00D62061"/>
    <w:rsid w:val="00D628C2"/>
    <w:rsid w:val="00D7339D"/>
    <w:rsid w:val="00D80C92"/>
    <w:rsid w:val="00D86074"/>
    <w:rsid w:val="00D8673A"/>
    <w:rsid w:val="00D87E46"/>
    <w:rsid w:val="00D90ABD"/>
    <w:rsid w:val="00D919A7"/>
    <w:rsid w:val="00D977DB"/>
    <w:rsid w:val="00D97DBD"/>
    <w:rsid w:val="00DB629B"/>
    <w:rsid w:val="00DC33D6"/>
    <w:rsid w:val="00DC5B77"/>
    <w:rsid w:val="00DE2980"/>
    <w:rsid w:val="00DF0D32"/>
    <w:rsid w:val="00E0294C"/>
    <w:rsid w:val="00E07416"/>
    <w:rsid w:val="00E100D6"/>
    <w:rsid w:val="00E103DF"/>
    <w:rsid w:val="00E120C0"/>
    <w:rsid w:val="00E156E6"/>
    <w:rsid w:val="00E15BC5"/>
    <w:rsid w:val="00E253C0"/>
    <w:rsid w:val="00E2571D"/>
    <w:rsid w:val="00E312BA"/>
    <w:rsid w:val="00E43B4D"/>
    <w:rsid w:val="00E4403E"/>
    <w:rsid w:val="00E47394"/>
    <w:rsid w:val="00E52FA9"/>
    <w:rsid w:val="00E533FE"/>
    <w:rsid w:val="00E55E9A"/>
    <w:rsid w:val="00E604C0"/>
    <w:rsid w:val="00E679CE"/>
    <w:rsid w:val="00E85E90"/>
    <w:rsid w:val="00E85FC1"/>
    <w:rsid w:val="00EC3B17"/>
    <w:rsid w:val="00ED0173"/>
    <w:rsid w:val="00ED0287"/>
    <w:rsid w:val="00ED558E"/>
    <w:rsid w:val="00EE0363"/>
    <w:rsid w:val="00EE2F45"/>
    <w:rsid w:val="00EF1353"/>
    <w:rsid w:val="00EF482E"/>
    <w:rsid w:val="00F01B64"/>
    <w:rsid w:val="00F06860"/>
    <w:rsid w:val="00F15F7F"/>
    <w:rsid w:val="00F23259"/>
    <w:rsid w:val="00F235A7"/>
    <w:rsid w:val="00F25E74"/>
    <w:rsid w:val="00F34DF0"/>
    <w:rsid w:val="00F3519D"/>
    <w:rsid w:val="00F37B54"/>
    <w:rsid w:val="00F41470"/>
    <w:rsid w:val="00F4227A"/>
    <w:rsid w:val="00F43B11"/>
    <w:rsid w:val="00F441B5"/>
    <w:rsid w:val="00F45077"/>
    <w:rsid w:val="00F6052B"/>
    <w:rsid w:val="00F614CD"/>
    <w:rsid w:val="00F804FB"/>
    <w:rsid w:val="00F811C3"/>
    <w:rsid w:val="00F81E8B"/>
    <w:rsid w:val="00F847D3"/>
    <w:rsid w:val="00FA1251"/>
    <w:rsid w:val="00FA2918"/>
    <w:rsid w:val="00FA3EED"/>
    <w:rsid w:val="00FB1A40"/>
    <w:rsid w:val="00FB4E2E"/>
    <w:rsid w:val="00FC1401"/>
    <w:rsid w:val="00FD570E"/>
    <w:rsid w:val="00FE6418"/>
    <w:rsid w:val="00FF57EE"/>
    <w:rsid w:val="31903B67"/>
    <w:rsid w:val="37C4673A"/>
    <w:rsid w:val="5DE8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A79C9AC"/>
  <w15:docId w15:val="{887F4994-57DE-4C2E-917F-8EBDF1E8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A5F9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6A5F9E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6A5F9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6A5F9E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table" w:styleId="af0">
    <w:name w:val="Table Grid"/>
    <w:basedOn w:val="a1"/>
    <w:uiPriority w:val="39"/>
    <w:rsid w:val="00CB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A7DAF"/>
    <w:pPr>
      <w:spacing w:after="0" w:line="240" w:lineRule="auto"/>
    </w:pPr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0A7DAF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f3">
    <w:name w:val="Revision"/>
    <w:hidden/>
    <w:uiPriority w:val="99"/>
    <w:unhideWhenUsed/>
    <w:rsid w:val="00476702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af4">
    <w:name w:val="Normal (Web)"/>
    <w:basedOn w:val="a"/>
    <w:uiPriority w:val="99"/>
    <w:unhideWhenUsed/>
    <w:rsid w:val="00C376ED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46F6-A18E-4B2B-A3D7-5A3BC56A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8</Pages>
  <Words>4908</Words>
  <Characters>728</Characters>
  <Application>Microsoft Office Word</Application>
  <DocSecurity>0</DocSecurity>
  <Lines>45</Lines>
  <Paragraphs>234</Paragraphs>
  <ScaleCrop>false</ScaleCrop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Yang</dc:creator>
  <cp:keywords/>
  <dc:description/>
  <cp:lastModifiedBy>徐莹</cp:lastModifiedBy>
  <cp:revision>222</cp:revision>
  <dcterms:created xsi:type="dcterms:W3CDTF">2024-03-16T03:24:00Z</dcterms:created>
  <dcterms:modified xsi:type="dcterms:W3CDTF">2025-10-29T06:28:00Z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4CF26079362B47179BCECEDFC94D9FAC_12</vt:lpwstr>
  </property>
</Properties>
</file>