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39E9" w14:textId="69A035F0" w:rsidR="00C814D7" w:rsidRDefault="00EF2475" w:rsidP="00EF2475">
      <w:pPr>
        <w:jc w:val="center"/>
      </w:pPr>
      <w:r>
        <w:t>证券代码：</w:t>
      </w:r>
      <w:r>
        <w:t>603703</w:t>
      </w:r>
      <w:r>
        <w:rPr>
          <w:rFonts w:hint="eastAsia"/>
        </w:rPr>
        <w:t xml:space="preserve">               </w:t>
      </w:r>
      <w:r>
        <w:rPr>
          <w:rFonts w:hint="eastAsia"/>
        </w:rPr>
        <w:t>证券简称：</w:t>
      </w:r>
      <w:proofErr w:type="gramStart"/>
      <w:r>
        <w:rPr>
          <w:rFonts w:hint="eastAsia"/>
        </w:rPr>
        <w:t>盛洋科技</w:t>
      </w:r>
      <w:proofErr w:type="gramEnd"/>
      <w:r w:rsidRPr="00EF2475">
        <w:t xml:space="preserve">               </w:t>
      </w:r>
      <w:r>
        <w:rPr>
          <w:rFonts w:hint="eastAsia"/>
        </w:rPr>
        <w:t>编号：</w:t>
      </w:r>
      <w:r w:rsidR="00931230">
        <w:rPr>
          <w:rFonts w:hint="eastAsia"/>
        </w:rPr>
        <w:t>20</w:t>
      </w:r>
      <w:r w:rsidR="003E2328">
        <w:rPr>
          <w:rFonts w:hint="eastAsia"/>
        </w:rPr>
        <w:t>25</w:t>
      </w:r>
      <w:r w:rsidR="00931230">
        <w:rPr>
          <w:rFonts w:hint="eastAsia"/>
        </w:rPr>
        <w:t>-00</w:t>
      </w:r>
      <w:r w:rsidR="00A901EB">
        <w:rPr>
          <w:rFonts w:hint="eastAsia"/>
        </w:rPr>
        <w:t>2</w:t>
      </w:r>
    </w:p>
    <w:p w14:paraId="0140A897" w14:textId="77777777" w:rsidR="00A901EB" w:rsidRDefault="00EF2475" w:rsidP="00EF2475">
      <w:pPr>
        <w:jc w:val="center"/>
        <w:rPr>
          <w:sz w:val="32"/>
          <w:szCs w:val="32"/>
        </w:rPr>
      </w:pPr>
      <w:r w:rsidRPr="00EF2475">
        <w:rPr>
          <w:rFonts w:hint="eastAsia"/>
          <w:sz w:val="32"/>
          <w:szCs w:val="32"/>
        </w:rPr>
        <w:t>浙江盛洋科技股份有限公司</w:t>
      </w:r>
    </w:p>
    <w:p w14:paraId="0CE49715" w14:textId="7B4F2DF7" w:rsidR="00EF2475" w:rsidRPr="00EF2475" w:rsidRDefault="00A901EB" w:rsidP="00EF247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 w:rsidR="00EF2475" w:rsidRPr="00EF2475">
        <w:rPr>
          <w:rFonts w:hint="eastAsia"/>
          <w:sz w:val="32"/>
          <w:szCs w:val="32"/>
        </w:rPr>
        <w:t>投资者关系活动记录表</w:t>
      </w:r>
    </w:p>
    <w:p w14:paraId="3884C8A3" w14:textId="77777777" w:rsidR="00EF2475" w:rsidRDefault="00EF2475" w:rsidP="00EF2475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EF2475" w14:paraId="6748225D" w14:textId="77777777" w:rsidTr="00455E40">
        <w:tc>
          <w:tcPr>
            <w:tcW w:w="1809" w:type="dxa"/>
            <w:vAlign w:val="center"/>
          </w:tcPr>
          <w:p w14:paraId="5911DE0B" w14:textId="77777777" w:rsidR="00EF2475" w:rsidRPr="00CD75C7" w:rsidRDefault="00EF2475" w:rsidP="00843907">
            <w:pPr>
              <w:ind w:right="420"/>
              <w:rPr>
                <w:b/>
              </w:rPr>
            </w:pPr>
            <w:r w:rsidRPr="00CD75C7">
              <w:rPr>
                <w:b/>
              </w:rPr>
              <w:t>投资者关系活动类别</w:t>
            </w:r>
          </w:p>
        </w:tc>
        <w:tc>
          <w:tcPr>
            <w:tcW w:w="6713" w:type="dxa"/>
          </w:tcPr>
          <w:p w14:paraId="1D803B1E" w14:textId="21E5973B" w:rsidR="00EF2475" w:rsidRDefault="003D3B23" w:rsidP="00EF2475">
            <w:pPr>
              <w:spacing w:line="360" w:lineRule="auto"/>
              <w:ind w:right="420"/>
              <w:jc w:val="left"/>
            </w:pPr>
            <w:bookmarkStart w:id="0" w:name="OLE_LINK2"/>
            <w:r>
              <w:rPr>
                <w:rFonts w:hint="eastAsia"/>
              </w:rPr>
              <w:t>√</w:t>
            </w:r>
            <w:bookmarkEnd w:id="0"/>
            <w:r w:rsidR="00455E40">
              <w:rPr>
                <w:rFonts w:hint="eastAsia"/>
              </w:rPr>
              <w:t>特定对象</w:t>
            </w:r>
            <w:r w:rsidR="00EF2475">
              <w:t>调研</w:t>
            </w:r>
            <w:r w:rsidR="00EF2475">
              <w:rPr>
                <w:rFonts w:hint="eastAsia"/>
              </w:rPr>
              <w:t xml:space="preserve">      </w:t>
            </w:r>
            <w:r w:rsidR="00EF2475">
              <w:rPr>
                <w:rFonts w:hint="eastAsia"/>
              </w:rPr>
              <w:sym w:font="Wingdings" w:char="F0A8"/>
            </w:r>
            <w:r w:rsidR="00EF2475">
              <w:rPr>
                <w:rFonts w:hint="eastAsia"/>
              </w:rPr>
              <w:t>分析</w:t>
            </w:r>
            <w:proofErr w:type="gramStart"/>
            <w:r w:rsidR="00EF2475">
              <w:rPr>
                <w:rFonts w:hint="eastAsia"/>
              </w:rPr>
              <w:t>师会议</w:t>
            </w:r>
            <w:proofErr w:type="gramEnd"/>
            <w:r w:rsidR="00EF2475">
              <w:rPr>
                <w:rFonts w:hint="eastAsia"/>
              </w:rPr>
              <w:t xml:space="preserve">    </w:t>
            </w:r>
            <w:r w:rsidR="00EF2475">
              <w:rPr>
                <w:rFonts w:hint="eastAsia"/>
              </w:rPr>
              <w:sym w:font="Wingdings" w:char="F0A8"/>
            </w:r>
            <w:r w:rsidR="00EF2475">
              <w:rPr>
                <w:rFonts w:hint="eastAsia"/>
              </w:rPr>
              <w:t>业绩说明会</w:t>
            </w:r>
          </w:p>
          <w:p w14:paraId="5B68AFAF" w14:textId="77777777" w:rsidR="00EF2475" w:rsidRDefault="00EF2475" w:rsidP="00EF2475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媒体采访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新闻发布会</w:t>
            </w:r>
            <w:r>
              <w:rPr>
                <w:rFonts w:hint="eastAsia"/>
              </w:rPr>
              <w:t xml:space="preserve">    </w:t>
            </w:r>
            <w:bookmarkStart w:id="1" w:name="OLE_LINK1"/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>路演活动</w:t>
            </w:r>
            <w:bookmarkEnd w:id="1"/>
            <w:r>
              <w:rPr>
                <w:rFonts w:hint="eastAsia"/>
              </w:rPr>
              <w:t xml:space="preserve">   </w:t>
            </w:r>
          </w:p>
          <w:p w14:paraId="5A28B8D8" w14:textId="08646840" w:rsidR="00EF2475" w:rsidRPr="00EF2475" w:rsidRDefault="003D3B23" w:rsidP="00EF2475">
            <w:pPr>
              <w:spacing w:line="360" w:lineRule="auto"/>
              <w:ind w:right="420"/>
              <w:jc w:val="left"/>
              <w:rPr>
                <w:u w:val="single"/>
              </w:rPr>
            </w:pPr>
            <w:r w:rsidRPr="003D3B23">
              <w:rPr>
                <w:rFonts w:hint="eastAsia"/>
              </w:rPr>
              <w:t>√</w:t>
            </w:r>
            <w:r w:rsidR="00455E40">
              <w:rPr>
                <w:rFonts w:hint="eastAsia"/>
              </w:rPr>
              <w:t>现场参观</w:t>
            </w:r>
            <w:r w:rsidR="00455E40">
              <w:rPr>
                <w:rFonts w:hint="eastAsia"/>
              </w:rPr>
              <w:t xml:space="preserve">      </w:t>
            </w:r>
            <w:r w:rsidR="00EF2475">
              <w:rPr>
                <w:rFonts w:hint="eastAsia"/>
              </w:rPr>
              <w:sym w:font="Wingdings" w:char="F0A8"/>
            </w:r>
            <w:r w:rsidR="00EF2475">
              <w:rPr>
                <w:rFonts w:hint="eastAsia"/>
              </w:rPr>
              <w:t>其他</w:t>
            </w:r>
            <w:r w:rsidR="00EF2475">
              <w:rPr>
                <w:rFonts w:hint="eastAsia"/>
                <w:u w:val="single"/>
              </w:rPr>
              <w:t xml:space="preserve">               </w:t>
            </w:r>
          </w:p>
        </w:tc>
      </w:tr>
      <w:tr w:rsidR="009B100C" w14:paraId="6747C602" w14:textId="77777777" w:rsidTr="00455E40">
        <w:tc>
          <w:tcPr>
            <w:tcW w:w="1809" w:type="dxa"/>
            <w:vAlign w:val="center"/>
          </w:tcPr>
          <w:p w14:paraId="555B3934" w14:textId="22E0EC6D" w:rsidR="009B100C" w:rsidRPr="00CD75C7" w:rsidRDefault="00455E40" w:rsidP="00843907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参与单位</w:t>
            </w:r>
            <w:r w:rsidR="00FF50DD"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6713" w:type="dxa"/>
          </w:tcPr>
          <w:p w14:paraId="27AE5D8E" w14:textId="5A0BE9E9" w:rsidR="009B100C" w:rsidRDefault="003D3B23" w:rsidP="00576615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t>方正证券、</w:t>
            </w:r>
            <w:proofErr w:type="gramStart"/>
            <w:r>
              <w:rPr>
                <w:rFonts w:hint="eastAsia"/>
              </w:rPr>
              <w:t>浙商证券</w:t>
            </w:r>
            <w:proofErr w:type="gramEnd"/>
          </w:p>
        </w:tc>
      </w:tr>
      <w:tr w:rsidR="00E305CC" w14:paraId="1AB0B530" w14:textId="77777777" w:rsidTr="00455E40">
        <w:tc>
          <w:tcPr>
            <w:tcW w:w="1809" w:type="dxa"/>
            <w:vAlign w:val="center"/>
          </w:tcPr>
          <w:p w14:paraId="4784281F" w14:textId="64960FA1" w:rsidR="00E305CC" w:rsidRPr="00CD75C7" w:rsidRDefault="00455E40" w:rsidP="005B0CB3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6713" w:type="dxa"/>
          </w:tcPr>
          <w:p w14:paraId="34040E98" w14:textId="736DEFBA" w:rsidR="00E305CC" w:rsidRDefault="000071A0" w:rsidP="005B0CB3">
            <w:pPr>
              <w:ind w:right="420"/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</w:tr>
      <w:tr w:rsidR="00EF2475" w14:paraId="2FEBC2B8" w14:textId="77777777" w:rsidTr="00455E40">
        <w:tc>
          <w:tcPr>
            <w:tcW w:w="1809" w:type="dxa"/>
            <w:vAlign w:val="center"/>
          </w:tcPr>
          <w:p w14:paraId="0823AF5C" w14:textId="6B8FEDA6" w:rsidR="00EF2475" w:rsidRPr="00CD75C7" w:rsidRDefault="00455E40" w:rsidP="00843907">
            <w:pPr>
              <w:ind w:right="420"/>
              <w:rPr>
                <w:b/>
              </w:rPr>
            </w:pPr>
            <w:r w:rsidRPr="00CD75C7">
              <w:rPr>
                <w:rFonts w:hint="eastAsia"/>
                <w:b/>
              </w:rPr>
              <w:t>上市公司接待人员</w:t>
            </w:r>
          </w:p>
        </w:tc>
        <w:tc>
          <w:tcPr>
            <w:tcW w:w="6713" w:type="dxa"/>
          </w:tcPr>
          <w:p w14:paraId="505A4098" w14:textId="77777777" w:rsidR="00EF2475" w:rsidRDefault="00FF50DD" w:rsidP="00004F4F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t>董事会秘书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申杰峰</w:t>
            </w:r>
            <w:proofErr w:type="gramEnd"/>
          </w:p>
          <w:p w14:paraId="5EF70310" w14:textId="77777777" w:rsidR="00004F4F" w:rsidRDefault="00004F4F" w:rsidP="00004F4F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t>证券事务代表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高璟琳</w:t>
            </w:r>
          </w:p>
          <w:p w14:paraId="2D8DB1D3" w14:textId="68E134B1" w:rsidR="003D493A" w:rsidRPr="00EF2475" w:rsidRDefault="003D493A" w:rsidP="00004F4F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t>总工程师、销售总监</w:t>
            </w:r>
          </w:p>
        </w:tc>
      </w:tr>
      <w:tr w:rsidR="00FF50DD" w14:paraId="65C732EA" w14:textId="77777777" w:rsidTr="00455E40">
        <w:tc>
          <w:tcPr>
            <w:tcW w:w="1809" w:type="dxa"/>
            <w:vAlign w:val="center"/>
          </w:tcPr>
          <w:p w14:paraId="0299E93C" w14:textId="1FF763BB" w:rsidR="00FF50DD" w:rsidRPr="00CD75C7" w:rsidRDefault="00FF50DD" w:rsidP="00FF50DD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地点</w:t>
            </w:r>
          </w:p>
        </w:tc>
        <w:tc>
          <w:tcPr>
            <w:tcW w:w="6713" w:type="dxa"/>
          </w:tcPr>
          <w:p w14:paraId="2CE4EF90" w14:textId="4A93C8DB" w:rsidR="00FF50DD" w:rsidRPr="00E84629" w:rsidRDefault="003E2328" w:rsidP="00FF50DD">
            <w:pPr>
              <w:spacing w:beforeLines="50" w:before="156" w:line="360" w:lineRule="auto"/>
              <w:ind w:right="420"/>
              <w:jc w:val="left"/>
            </w:pPr>
            <w:r>
              <w:t>公司行政大楼</w:t>
            </w:r>
            <w:r>
              <w:rPr>
                <w:rFonts w:hint="eastAsia"/>
              </w:rPr>
              <w:t>六楼会议</w:t>
            </w:r>
            <w:r>
              <w:t>室</w:t>
            </w:r>
          </w:p>
        </w:tc>
      </w:tr>
      <w:tr w:rsidR="00FF50DD" w14:paraId="5837586D" w14:textId="77777777" w:rsidTr="00455E40">
        <w:trPr>
          <w:trHeight w:val="6219"/>
        </w:trPr>
        <w:tc>
          <w:tcPr>
            <w:tcW w:w="1809" w:type="dxa"/>
            <w:vAlign w:val="center"/>
          </w:tcPr>
          <w:p w14:paraId="25F91F6A" w14:textId="4C733149" w:rsidR="00FF50DD" w:rsidRPr="00CD75C7" w:rsidRDefault="00FF50DD" w:rsidP="00FF50DD">
            <w:pPr>
              <w:ind w:right="420"/>
              <w:rPr>
                <w:b/>
              </w:rPr>
            </w:pPr>
            <w:r w:rsidRPr="00CD75C7">
              <w:rPr>
                <w:b/>
              </w:rPr>
              <w:t>投资者关系活动主要内容</w:t>
            </w:r>
            <w:r>
              <w:rPr>
                <w:rFonts w:hint="eastAsia"/>
                <w:b/>
              </w:rPr>
              <w:t>介绍</w:t>
            </w:r>
          </w:p>
        </w:tc>
        <w:tc>
          <w:tcPr>
            <w:tcW w:w="6713" w:type="dxa"/>
          </w:tcPr>
          <w:p w14:paraId="0C36EC88" w14:textId="25344255" w:rsidR="003D3B23" w:rsidRPr="003D3B23" w:rsidRDefault="003D3B23" w:rsidP="003D3B23">
            <w:pPr>
              <w:rPr>
                <w:rFonts w:asciiTheme="minorEastAsia" w:hAnsiTheme="minorEastAsia" w:hint="eastAsia"/>
                <w:b/>
                <w:bCs/>
              </w:rPr>
            </w:pPr>
            <w:r w:rsidRPr="003D3B23">
              <w:rPr>
                <w:rFonts w:hint="eastAsia"/>
                <w:b/>
                <w:bCs/>
              </w:rPr>
              <w:t xml:space="preserve">   </w:t>
            </w:r>
            <w:r w:rsidRPr="003D3B23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3D3B23">
              <w:rPr>
                <w:rFonts w:asciiTheme="minorEastAsia" w:hAnsiTheme="minorEastAsia"/>
                <w:b/>
                <w:bCs/>
              </w:rPr>
              <w:t>1.</w:t>
            </w:r>
            <w:r w:rsidRPr="003D3B23">
              <w:rPr>
                <w:rFonts w:asciiTheme="minorEastAsia" w:hAnsiTheme="minorEastAsia" w:hint="eastAsia"/>
                <w:b/>
                <w:bCs/>
              </w:rPr>
              <w:t>传统业务的未来展望，3季度是传统淡季，今年4季度和明年趋势如何？</w:t>
            </w:r>
          </w:p>
          <w:p w14:paraId="059995CE" w14:textId="23F4A019" w:rsidR="003D3B23" w:rsidRDefault="003D3B23" w:rsidP="003D3B23">
            <w:pPr>
              <w:ind w:firstLineChars="200" w:firstLine="42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回复：</w:t>
            </w:r>
            <w:r w:rsidR="009B5C27">
              <w:rPr>
                <w:rFonts w:asciiTheme="minorEastAsia" w:hAnsiTheme="minorEastAsia" w:hint="eastAsia"/>
              </w:rPr>
              <w:t>第四季度是公司</w:t>
            </w:r>
            <w:r w:rsidR="00A03265">
              <w:rPr>
                <w:rFonts w:asciiTheme="minorEastAsia" w:hAnsiTheme="minorEastAsia" w:hint="eastAsia"/>
              </w:rPr>
              <w:t>传统业务</w:t>
            </w:r>
            <w:r w:rsidR="009B5C27">
              <w:rPr>
                <w:rFonts w:asciiTheme="minorEastAsia" w:hAnsiTheme="minorEastAsia" w:hint="eastAsia"/>
              </w:rPr>
              <w:t>的</w:t>
            </w:r>
            <w:r w:rsidR="00A03265">
              <w:rPr>
                <w:rFonts w:asciiTheme="minorEastAsia" w:hAnsiTheme="minorEastAsia" w:hint="eastAsia"/>
              </w:rPr>
              <w:t>销售</w:t>
            </w:r>
            <w:r w:rsidR="009B5C27">
              <w:rPr>
                <w:rFonts w:asciiTheme="minorEastAsia" w:hAnsiTheme="minorEastAsia" w:hint="eastAsia"/>
              </w:rPr>
              <w:t>旺季，</w:t>
            </w:r>
            <w:r>
              <w:rPr>
                <w:rFonts w:asciiTheme="minorEastAsia" w:hAnsiTheme="minorEastAsia" w:hint="eastAsia"/>
              </w:rPr>
              <w:t>目前公司订单饱和，</w:t>
            </w:r>
            <w:proofErr w:type="gramStart"/>
            <w:r w:rsidR="00A03265">
              <w:rPr>
                <w:rFonts w:asciiTheme="minorEastAsia" w:hAnsiTheme="minorEastAsia" w:hint="eastAsia"/>
              </w:rPr>
              <w:t>各产线均</w:t>
            </w:r>
            <w:proofErr w:type="gramEnd"/>
            <w:r w:rsidR="00A03265">
              <w:rPr>
                <w:rFonts w:asciiTheme="minorEastAsia" w:hAnsiTheme="minorEastAsia" w:hint="eastAsia"/>
              </w:rPr>
              <w:t>在为订单交期全力生产，公司将积极推动业绩稳步增长，努力实现员工持股计划的业绩考核目标。</w:t>
            </w:r>
          </w:p>
          <w:p w14:paraId="03988D4E" w14:textId="77777777" w:rsidR="003D3B23" w:rsidRDefault="003D3B23" w:rsidP="003D3B23">
            <w:pPr>
              <w:rPr>
                <w:rFonts w:asciiTheme="minorEastAsia" w:hAnsiTheme="minorEastAsia" w:hint="eastAsia"/>
              </w:rPr>
            </w:pPr>
          </w:p>
          <w:p w14:paraId="50FBE601" w14:textId="381543AD" w:rsidR="003D3B23" w:rsidRDefault="003D3B23" w:rsidP="003D3B23">
            <w:pPr>
              <w:ind w:firstLineChars="200" w:firstLine="422"/>
              <w:rPr>
                <w:rFonts w:asciiTheme="minorEastAsia" w:hAnsiTheme="minorEastAsia" w:hint="eastAsia"/>
                <w:b/>
                <w:bCs/>
              </w:rPr>
            </w:pPr>
            <w:r w:rsidRPr="00A03265">
              <w:rPr>
                <w:rFonts w:asciiTheme="minorEastAsia" w:hAnsiTheme="minorEastAsia" w:hint="eastAsia"/>
                <w:b/>
                <w:bCs/>
              </w:rPr>
              <w:t>2.高速铜缆业务布局，已在生产的产品品类和用途，目前产能和未来规划，高速铜缆新产品研发和市场拓展有哪些进展？未来三年的情况。</w:t>
            </w:r>
          </w:p>
          <w:p w14:paraId="6AB39578" w14:textId="60B1A827" w:rsidR="003D3B23" w:rsidRDefault="00851C01" w:rsidP="00CC44AA">
            <w:pPr>
              <w:ind w:firstLineChars="200" w:firstLine="420"/>
              <w:rPr>
                <w:rFonts w:asciiTheme="minorEastAsia" w:hAnsiTheme="minorEastAsia" w:hint="eastAsia"/>
              </w:rPr>
            </w:pPr>
            <w:r w:rsidRPr="00851C01">
              <w:rPr>
                <w:rFonts w:asciiTheme="minorEastAsia" w:hAnsiTheme="minorEastAsia" w:hint="eastAsia"/>
              </w:rPr>
              <w:t>回复：目前公司铜缆业务产品主要应用于数据中心、车载通信等领域，</w:t>
            </w:r>
            <w:r w:rsidR="00CC44AA">
              <w:rPr>
                <w:rFonts w:asciiTheme="minorEastAsia" w:hAnsiTheme="minorEastAsia" w:hint="eastAsia"/>
              </w:rPr>
              <w:t>公司也在积极开拓铜缆业务的其他市</w:t>
            </w:r>
            <w:r w:rsidR="00CC44AA" w:rsidRPr="00424E3F">
              <w:rPr>
                <w:rFonts w:asciiTheme="minorEastAsia" w:hAnsiTheme="minorEastAsia" w:hint="eastAsia"/>
              </w:rPr>
              <w:t>场用途</w:t>
            </w:r>
            <w:r w:rsidR="003D493A" w:rsidRPr="00424E3F">
              <w:rPr>
                <w:rFonts w:asciiTheme="minorEastAsia" w:hAnsiTheme="minorEastAsia" w:hint="eastAsia"/>
              </w:rPr>
              <w:t>，未来也将应用于医疗器械、机器人等领域。</w:t>
            </w:r>
            <w:r w:rsidR="00CC44AA" w:rsidRPr="00424E3F">
              <w:rPr>
                <w:rFonts w:asciiTheme="minorEastAsia" w:hAnsiTheme="minorEastAsia" w:hint="eastAsia"/>
              </w:rPr>
              <w:t>公司将持续加大在</w:t>
            </w:r>
            <w:r w:rsidR="00CC44AA" w:rsidRPr="00CC44AA">
              <w:rPr>
                <w:rFonts w:asciiTheme="minorEastAsia" w:hAnsiTheme="minorEastAsia" w:hint="eastAsia"/>
              </w:rPr>
              <w:t>高速铜缆技术领域的研发投入，不断探索创新，</w:t>
            </w:r>
            <w:r w:rsidR="00CC44AA">
              <w:rPr>
                <w:rFonts w:asciiTheme="minorEastAsia" w:hAnsiTheme="minorEastAsia" w:hint="eastAsia"/>
              </w:rPr>
              <w:t>提升公司在高速铜缆市场的竞争力</w:t>
            </w:r>
            <w:r w:rsidR="00CC44AA" w:rsidRPr="00CC44AA">
              <w:rPr>
                <w:rFonts w:asciiTheme="minorEastAsia" w:hAnsiTheme="minorEastAsia" w:hint="eastAsia"/>
              </w:rPr>
              <w:t>。</w:t>
            </w:r>
          </w:p>
          <w:p w14:paraId="242152DC" w14:textId="77777777" w:rsidR="00CC44AA" w:rsidRPr="00CC44AA" w:rsidRDefault="00CC44AA" w:rsidP="00CC44AA">
            <w:pPr>
              <w:ind w:firstLineChars="200" w:firstLine="420"/>
              <w:rPr>
                <w:rFonts w:asciiTheme="minorEastAsia" w:hAnsiTheme="minorEastAsia" w:hint="eastAsia"/>
              </w:rPr>
            </w:pPr>
          </w:p>
          <w:p w14:paraId="067A0606" w14:textId="48D519F1" w:rsidR="003D3B23" w:rsidRDefault="003D3B23" w:rsidP="003D3B23">
            <w:pPr>
              <w:ind w:firstLineChars="200" w:firstLine="422"/>
              <w:rPr>
                <w:rFonts w:asciiTheme="minorEastAsia" w:hAnsiTheme="minorEastAsia" w:hint="eastAsia"/>
                <w:b/>
                <w:bCs/>
              </w:rPr>
            </w:pPr>
            <w:r w:rsidRPr="00A03265">
              <w:rPr>
                <w:rFonts w:asciiTheme="minorEastAsia" w:hAnsiTheme="minorEastAsia" w:hint="eastAsia"/>
                <w:b/>
                <w:bCs/>
              </w:rPr>
              <w:t>3.卫星通信情况，国内直播卫星项目何时产生收益？ 国内应用领域及市场容量展望。</w:t>
            </w:r>
          </w:p>
          <w:p w14:paraId="402B2467" w14:textId="77777777" w:rsidR="00904D0C" w:rsidRDefault="00A03265" w:rsidP="003D3B23">
            <w:pPr>
              <w:ind w:firstLineChars="200" w:firstLine="42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回复：</w:t>
            </w:r>
            <w:r w:rsidRPr="00A03265">
              <w:rPr>
                <w:rFonts w:asciiTheme="minorEastAsia" w:hAnsiTheme="minorEastAsia"/>
              </w:rPr>
              <w:t>公司</w:t>
            </w:r>
            <w:r>
              <w:rPr>
                <w:rFonts w:asciiTheme="minorEastAsia" w:hAnsiTheme="minorEastAsia" w:hint="eastAsia"/>
              </w:rPr>
              <w:t>已</w:t>
            </w:r>
            <w:r w:rsidRPr="00A03265">
              <w:rPr>
                <w:rFonts w:asciiTheme="minorEastAsia" w:hAnsiTheme="minorEastAsia"/>
              </w:rPr>
              <w:t>与相关合作方共同成为中广融合直播卫星业务联合铺</w:t>
            </w:r>
            <w:proofErr w:type="gramStart"/>
            <w:r w:rsidRPr="00A03265">
              <w:rPr>
                <w:rFonts w:asciiTheme="minorEastAsia" w:hAnsiTheme="minorEastAsia"/>
              </w:rPr>
              <w:t>货试点及</w:t>
            </w:r>
            <w:proofErr w:type="gramEnd"/>
            <w:r w:rsidRPr="00A03265">
              <w:rPr>
                <w:rFonts w:asciiTheme="minorEastAsia" w:hAnsiTheme="minorEastAsia"/>
              </w:rPr>
              <w:t>运营合作伙伴招募项目成交候选人，该项业务聚焦于中星9C直播卫星终端的联合铺</w:t>
            </w:r>
            <w:proofErr w:type="gramStart"/>
            <w:r w:rsidRPr="00A03265">
              <w:rPr>
                <w:rFonts w:asciiTheme="minorEastAsia" w:hAnsiTheme="minorEastAsia"/>
              </w:rPr>
              <w:t>货试点及</w:t>
            </w:r>
            <w:proofErr w:type="gramEnd"/>
            <w:r w:rsidRPr="00A03265">
              <w:rPr>
                <w:rFonts w:asciiTheme="minorEastAsia" w:hAnsiTheme="minorEastAsia"/>
              </w:rPr>
              <w:t>运营服务，是国家广播电视公共服务体系建设的重要组成部分，属于卫星通信在广电民生服务场景的关键落地应用。</w:t>
            </w:r>
          </w:p>
          <w:p w14:paraId="4CE66895" w14:textId="027AE836" w:rsidR="00A03265" w:rsidRDefault="00A03265" w:rsidP="003D3B23">
            <w:pPr>
              <w:ind w:firstLineChars="200" w:firstLine="420"/>
              <w:rPr>
                <w:rFonts w:asciiTheme="minorEastAsia" w:hAnsiTheme="minorEastAsia" w:hint="eastAsia"/>
              </w:rPr>
            </w:pPr>
            <w:r w:rsidRPr="00A03265">
              <w:rPr>
                <w:rFonts w:asciiTheme="minorEastAsia" w:hAnsiTheme="minorEastAsia"/>
              </w:rPr>
              <w:t>公司主要负责按授权标准与要求，提供新一代“直播卫星+北斗+5G”融合通信终端，该终端支持中星9C卫星信号接收与高清解码，通过北斗实现位置锁定，同时适配5G通信、家庭流媒体等多元化功能。</w:t>
            </w:r>
          </w:p>
          <w:p w14:paraId="1245B719" w14:textId="3F7C551B" w:rsidR="003D3B23" w:rsidRPr="003D3B23" w:rsidRDefault="00904D0C" w:rsidP="00904D0C">
            <w:pPr>
              <w:ind w:firstLineChars="200" w:firstLine="420"/>
              <w:rPr>
                <w:rFonts w:asciiTheme="minorEastAsia" w:hAnsiTheme="minorEastAsia" w:hint="eastAsia"/>
              </w:rPr>
            </w:pPr>
            <w:r w:rsidRPr="00904D0C">
              <w:rPr>
                <w:rFonts w:asciiTheme="minorEastAsia" w:hAnsiTheme="minorEastAsia" w:hint="eastAsia"/>
              </w:rPr>
              <w:lastRenderedPageBreak/>
              <w:t>目前项目具体采购份额尚未披露，后续</w:t>
            </w:r>
            <w:proofErr w:type="gramStart"/>
            <w:r w:rsidRPr="00904D0C">
              <w:rPr>
                <w:rFonts w:asciiTheme="minorEastAsia" w:hAnsiTheme="minorEastAsia" w:hint="eastAsia"/>
              </w:rPr>
              <w:t>若试点</w:t>
            </w:r>
            <w:proofErr w:type="gramEnd"/>
            <w:r w:rsidRPr="00904D0C">
              <w:rPr>
                <w:rFonts w:asciiTheme="minorEastAsia" w:hAnsiTheme="minorEastAsia" w:hint="eastAsia"/>
              </w:rPr>
              <w:t>达成预期成效，公司有望获得长期供货订单</w:t>
            </w:r>
            <w:r>
              <w:rPr>
                <w:rFonts w:asciiTheme="minorEastAsia" w:hAnsiTheme="minorEastAsia" w:hint="eastAsia"/>
              </w:rPr>
              <w:t>，如果订单量增加，毛利率也会</w:t>
            </w:r>
            <w:r w:rsidR="00851C01">
              <w:rPr>
                <w:rFonts w:asciiTheme="minorEastAsia" w:hAnsiTheme="minorEastAsia" w:hint="eastAsia"/>
              </w:rPr>
              <w:t>有望</w:t>
            </w:r>
            <w:r>
              <w:rPr>
                <w:rFonts w:asciiTheme="minorEastAsia" w:hAnsiTheme="minorEastAsia" w:hint="eastAsia"/>
              </w:rPr>
              <w:t>提升。</w:t>
            </w:r>
            <w:r w:rsidRPr="00904D0C">
              <w:rPr>
                <w:rFonts w:asciiTheme="minorEastAsia" w:hAnsiTheme="minorEastAsia" w:hint="eastAsia"/>
              </w:rPr>
              <w:t>此次业务合作是公司卫星通信业务在国内广电领域的关键突破，能够助力公司切入国家级直播卫星服务网络，联动现有配套产品提升</w:t>
            </w:r>
            <w:proofErr w:type="gramStart"/>
            <w:r w:rsidRPr="00904D0C">
              <w:rPr>
                <w:rFonts w:asciiTheme="minorEastAsia" w:hAnsiTheme="minorEastAsia" w:hint="eastAsia"/>
              </w:rPr>
              <w:t>国内营</w:t>
            </w:r>
            <w:proofErr w:type="gramEnd"/>
            <w:r w:rsidRPr="00904D0C">
              <w:rPr>
                <w:rFonts w:asciiTheme="minorEastAsia" w:hAnsiTheme="minorEastAsia" w:hint="eastAsia"/>
              </w:rPr>
              <w:t>收占比。</w:t>
            </w:r>
          </w:p>
          <w:p w14:paraId="178E0649" w14:textId="77777777" w:rsidR="003D3B23" w:rsidRPr="003D3B23" w:rsidRDefault="003D3B23" w:rsidP="003D3B23">
            <w:pPr>
              <w:rPr>
                <w:rFonts w:asciiTheme="minorEastAsia" w:hAnsiTheme="minorEastAsia" w:hint="eastAsia"/>
              </w:rPr>
            </w:pPr>
          </w:p>
          <w:p w14:paraId="6EC6FA4E" w14:textId="374CADE8" w:rsidR="003D3B23" w:rsidRDefault="003D3B23" w:rsidP="003D3B23">
            <w:pPr>
              <w:ind w:firstLineChars="200" w:firstLine="422"/>
              <w:rPr>
                <w:rFonts w:asciiTheme="minorEastAsia" w:hAnsiTheme="minorEastAsia" w:hint="eastAsia"/>
                <w:b/>
                <w:bCs/>
              </w:rPr>
            </w:pPr>
            <w:r w:rsidRPr="00904D0C">
              <w:rPr>
                <w:rFonts w:asciiTheme="minorEastAsia" w:hAnsiTheme="minorEastAsia" w:hint="eastAsia"/>
                <w:b/>
                <w:bCs/>
              </w:rPr>
              <w:t>4.海外子公司FTA与Eutelsat的DVB-NIP合作何时转化为实际订单？海外市场提供的是什么样的产品和服务？与国外卫星通信公司的合作模式、业务构成、竞争力，海外应用领域及市场容量展望，及公司的业务规划。</w:t>
            </w:r>
          </w:p>
          <w:p w14:paraId="6A5976A7" w14:textId="7F3E18E3" w:rsidR="000435F5" w:rsidRDefault="00904D0C" w:rsidP="003D3B23">
            <w:pPr>
              <w:ind w:firstLineChars="200" w:firstLine="420"/>
              <w:rPr>
                <w:rFonts w:asciiTheme="minorEastAsia" w:hAnsiTheme="minorEastAsia" w:hint="eastAsia"/>
              </w:rPr>
            </w:pPr>
            <w:r w:rsidRPr="00904D0C">
              <w:rPr>
                <w:rFonts w:asciiTheme="minorEastAsia" w:hAnsiTheme="minorEastAsia" w:hint="eastAsia"/>
              </w:rPr>
              <w:t>回复：</w:t>
            </w:r>
            <w:r w:rsidR="000435F5" w:rsidRPr="00424E3F">
              <w:rPr>
                <w:rFonts w:asciiTheme="minorEastAsia" w:hAnsiTheme="minorEastAsia"/>
              </w:rPr>
              <w:t>DVB-NIP</w:t>
            </w:r>
            <w:r w:rsidR="000435F5" w:rsidRPr="00424E3F">
              <w:rPr>
                <w:rFonts w:asciiTheme="minorEastAsia" w:hAnsiTheme="minorEastAsia" w:hint="eastAsia"/>
              </w:rPr>
              <w:t>（</w:t>
            </w:r>
            <w:r w:rsidR="000435F5" w:rsidRPr="00424E3F">
              <w:rPr>
                <w:rFonts w:asciiTheme="minorEastAsia" w:hAnsiTheme="minorEastAsia"/>
              </w:rPr>
              <w:t>DVB Native IP</w:t>
            </w:r>
            <w:r w:rsidR="000435F5" w:rsidRPr="00424E3F">
              <w:rPr>
                <w:rFonts w:asciiTheme="minorEastAsia" w:hAnsiTheme="minorEastAsia" w:hint="eastAsia"/>
              </w:rPr>
              <w:t>）是欧洲电信标准协会（</w:t>
            </w:r>
            <w:r w:rsidR="000435F5" w:rsidRPr="00424E3F">
              <w:rPr>
                <w:rFonts w:asciiTheme="minorEastAsia" w:hAnsiTheme="minorEastAsia"/>
              </w:rPr>
              <w:t>ETSI</w:t>
            </w:r>
            <w:r w:rsidR="000435F5" w:rsidRPr="00424E3F">
              <w:rPr>
                <w:rFonts w:asciiTheme="minorEastAsia" w:hAnsiTheme="minorEastAsia" w:hint="eastAsia"/>
              </w:rPr>
              <w:t>）发布的</w:t>
            </w:r>
            <w:r w:rsidR="000435F5" w:rsidRPr="00424E3F">
              <w:rPr>
                <w:rFonts w:asciiTheme="minorEastAsia" w:hAnsiTheme="minorEastAsia"/>
              </w:rPr>
              <w:t>DVB</w:t>
            </w:r>
            <w:r w:rsidR="000435F5" w:rsidRPr="00424E3F">
              <w:rPr>
                <w:rFonts w:asciiTheme="minorEastAsia" w:hAnsiTheme="minorEastAsia" w:hint="eastAsia"/>
              </w:rPr>
              <w:t>广播网络</w:t>
            </w:r>
            <w:r w:rsidR="000435F5" w:rsidRPr="00424E3F">
              <w:rPr>
                <w:rFonts w:asciiTheme="minorEastAsia" w:hAnsiTheme="minorEastAsia"/>
              </w:rPr>
              <w:t>IP</w:t>
            </w:r>
            <w:r w:rsidR="000435F5" w:rsidRPr="00424E3F">
              <w:rPr>
                <w:rFonts w:asciiTheme="minorEastAsia" w:hAnsiTheme="minorEastAsia" w:hint="eastAsia"/>
              </w:rPr>
              <w:t>化标准，支持在卫星和地面广播网络上进行基于</w:t>
            </w:r>
            <w:r w:rsidR="000435F5" w:rsidRPr="00424E3F">
              <w:rPr>
                <w:rFonts w:asciiTheme="minorEastAsia" w:hAnsiTheme="minorEastAsia"/>
              </w:rPr>
              <w:t>IP</w:t>
            </w:r>
            <w:r w:rsidR="000435F5" w:rsidRPr="00424E3F">
              <w:rPr>
                <w:rFonts w:asciiTheme="minorEastAsia" w:hAnsiTheme="minorEastAsia" w:hint="eastAsia"/>
              </w:rPr>
              <w:t>的媒体分发，允许通过单一融合平台同时为传统广播终端和</w:t>
            </w:r>
            <w:r w:rsidR="000435F5" w:rsidRPr="00424E3F">
              <w:rPr>
                <w:rFonts w:asciiTheme="minorEastAsia" w:hAnsiTheme="minorEastAsia"/>
              </w:rPr>
              <w:t>IP</w:t>
            </w:r>
            <w:r w:rsidR="000435F5" w:rsidRPr="00424E3F">
              <w:rPr>
                <w:rFonts w:asciiTheme="minorEastAsia" w:hAnsiTheme="minorEastAsia" w:hint="eastAsia"/>
              </w:rPr>
              <w:t>设备提供服务。</w:t>
            </w:r>
            <w:r w:rsidR="000435F5" w:rsidRPr="00424E3F">
              <w:rPr>
                <w:rFonts w:asciiTheme="minorEastAsia" w:hAnsiTheme="minorEastAsia"/>
              </w:rPr>
              <w:t xml:space="preserve"> </w:t>
            </w:r>
            <w:r w:rsidR="000435F5" w:rsidRPr="00424E3F">
              <w:rPr>
                <w:rFonts w:ascii="Times New Roman" w:hAnsi="Times New Roman" w:cs="Times New Roman"/>
              </w:rPr>
              <w:t>‌</w:t>
            </w:r>
          </w:p>
          <w:p w14:paraId="62546E78" w14:textId="1A8CBFEE" w:rsidR="00904D0C" w:rsidRDefault="00904D0C" w:rsidP="003D3B23">
            <w:pPr>
              <w:ind w:firstLineChars="200" w:firstLine="420"/>
              <w:rPr>
                <w:rFonts w:asciiTheme="minorEastAsia" w:hAnsiTheme="minorEastAsia" w:hint="eastAsia"/>
              </w:rPr>
            </w:pPr>
            <w:bookmarkStart w:id="2" w:name="OLE_LINK3"/>
            <w:r w:rsidRPr="00904D0C">
              <w:rPr>
                <w:rFonts w:asciiTheme="minorEastAsia" w:hAnsiTheme="minorEastAsia" w:hint="eastAsia"/>
              </w:rPr>
              <w:t>DVB-NIP</w:t>
            </w:r>
            <w:bookmarkEnd w:id="2"/>
            <w:r w:rsidRPr="00904D0C">
              <w:rPr>
                <w:rFonts w:asciiTheme="minorEastAsia" w:hAnsiTheme="minorEastAsia" w:hint="eastAsia"/>
              </w:rPr>
              <w:t>技术商业化前景广阔，在国际市场上，运营商自身业务拓展、转型需求，以及卫星互联网相关新应用场景的出现，均为其提供了增长空间，目前正处于快速推广阶段。公司与Eutelsat采用技术与资源协同的合作模式，</w:t>
            </w:r>
            <w:proofErr w:type="spellStart"/>
            <w:r w:rsidRPr="00904D0C">
              <w:rPr>
                <w:rFonts w:asciiTheme="minorEastAsia" w:hAnsiTheme="minorEastAsia" w:hint="eastAsia"/>
              </w:rPr>
              <w:t>Inverto</w:t>
            </w:r>
            <w:proofErr w:type="spellEnd"/>
            <w:r w:rsidRPr="00904D0C">
              <w:rPr>
                <w:rFonts w:asciiTheme="minorEastAsia" w:hAnsiTheme="minorEastAsia" w:hint="eastAsia"/>
              </w:rPr>
              <w:t>负责提供解决方案、技术支撑及配套终端设备，Eutelsat负责提供卫星资源及与客户对接。在DVB-NIP技术商业化上，公司除DVB-NIP终端销售及技术升级、配套服务收入外，还可通过年服务费、定向广告分成等实现持续增收。</w:t>
            </w:r>
          </w:p>
          <w:p w14:paraId="0A86EF85" w14:textId="6684E3FA" w:rsidR="00BB4140" w:rsidRDefault="00BB4140" w:rsidP="003D3B23">
            <w:pPr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 w:rsidRPr="00BB4140">
              <w:rPr>
                <w:rFonts w:ascii="宋体" w:eastAsia="宋体" w:hAnsi="宋体" w:hint="eastAsia"/>
                <w:szCs w:val="21"/>
              </w:rPr>
              <w:t>该</w:t>
            </w:r>
            <w:r w:rsidRPr="00BB4140">
              <w:rPr>
                <w:rFonts w:ascii="宋体" w:eastAsia="宋体" w:hAnsi="宋体"/>
                <w:szCs w:val="21"/>
              </w:rPr>
              <w:t>产品不仅</w:t>
            </w:r>
            <w:r w:rsidRPr="00BB4140">
              <w:rPr>
                <w:rFonts w:ascii="宋体" w:eastAsia="宋体" w:hAnsi="宋体" w:hint="eastAsia"/>
                <w:szCs w:val="21"/>
              </w:rPr>
              <w:t>涵盖</w:t>
            </w:r>
            <w:r w:rsidRPr="00BB4140">
              <w:rPr>
                <w:rFonts w:ascii="宋体" w:eastAsia="宋体" w:hAnsi="宋体"/>
                <w:szCs w:val="21"/>
              </w:rPr>
              <w:t>ODU、Ka/Ku LNB等卫星通信</w:t>
            </w:r>
            <w:r w:rsidRPr="00BB4140">
              <w:rPr>
                <w:rFonts w:ascii="宋体" w:eastAsia="宋体" w:hAnsi="宋体" w:hint="eastAsia"/>
                <w:szCs w:val="21"/>
              </w:rPr>
              <w:t>核心组件技术</w:t>
            </w:r>
            <w:r w:rsidRPr="00BB4140">
              <w:rPr>
                <w:rFonts w:ascii="宋体" w:eastAsia="宋体" w:hAnsi="宋体"/>
                <w:szCs w:val="21"/>
              </w:rPr>
              <w:t>，更依托与Eutelsat的合作实现商业化突破，成为卫星互联网落地家庭场景的标杆案例，兼顾成熟市场增值服务与新兴市场覆盖需求。合作将为公司带来直接订单收入，提升全球品牌力</w:t>
            </w:r>
            <w:r w:rsidRPr="00BB4140">
              <w:rPr>
                <w:rFonts w:ascii="宋体" w:eastAsia="宋体" w:hAnsi="宋体" w:hint="eastAsia"/>
                <w:szCs w:val="21"/>
              </w:rPr>
              <w:t>并</w:t>
            </w:r>
            <w:r w:rsidRPr="00BB4140">
              <w:rPr>
                <w:rFonts w:ascii="宋体" w:eastAsia="宋体" w:hAnsi="宋体"/>
                <w:szCs w:val="21"/>
              </w:rPr>
              <w:t>带动射频电缆等配套产品</w:t>
            </w:r>
            <w:r w:rsidRPr="00BB4140">
              <w:rPr>
                <w:rFonts w:ascii="宋体" w:eastAsia="宋体" w:hAnsi="宋体" w:hint="eastAsia"/>
                <w:szCs w:val="21"/>
              </w:rPr>
              <w:t>协同</w:t>
            </w:r>
            <w:r w:rsidRPr="00BB4140">
              <w:rPr>
                <w:rFonts w:ascii="宋体" w:eastAsia="宋体" w:hAnsi="宋体"/>
                <w:szCs w:val="21"/>
              </w:rPr>
              <w:t>销售，同时加速技术迭代以适配低轨卫星</w:t>
            </w:r>
            <w:r w:rsidRPr="00BB4140">
              <w:rPr>
                <w:rFonts w:ascii="宋体" w:eastAsia="宋体" w:hAnsi="宋体" w:hint="eastAsia"/>
                <w:szCs w:val="21"/>
              </w:rPr>
              <w:t>的</w:t>
            </w:r>
            <w:r w:rsidRPr="00BB4140">
              <w:rPr>
                <w:rFonts w:ascii="宋体" w:eastAsia="宋体" w:hAnsi="宋体"/>
                <w:szCs w:val="21"/>
              </w:rPr>
              <w:t>新场景。</w:t>
            </w:r>
          </w:p>
          <w:p w14:paraId="2F3302CB" w14:textId="2EAB6F94" w:rsidR="00BB4140" w:rsidRPr="00BB4140" w:rsidRDefault="007825AE" w:rsidP="003D3B23">
            <w:pPr>
              <w:ind w:firstLineChars="200" w:firstLine="42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目前公司正在积极接洽卫星运营商，全面拓展合作</w:t>
            </w:r>
            <w:r w:rsidR="00FC7263">
              <w:rPr>
                <w:rFonts w:asciiTheme="minorEastAsia" w:hAnsiTheme="minorEastAsia" w:hint="eastAsia"/>
                <w:szCs w:val="21"/>
              </w:rPr>
              <w:t>渠道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="00FC7263" w:rsidRPr="00FC7263">
              <w:rPr>
                <w:rFonts w:asciiTheme="minorEastAsia" w:hAnsiTheme="minorEastAsia" w:hint="eastAsia"/>
                <w:szCs w:val="21"/>
              </w:rPr>
              <w:t>寻求更多的合作机会和发展空间</w:t>
            </w:r>
            <w:r w:rsidR="00FC7263">
              <w:rPr>
                <w:rFonts w:asciiTheme="minorEastAsia" w:hAnsiTheme="minorEastAsia" w:hint="eastAsia"/>
                <w:szCs w:val="21"/>
              </w:rPr>
              <w:t>，</w:t>
            </w:r>
            <w:r w:rsidR="00BB4140">
              <w:rPr>
                <w:rFonts w:asciiTheme="minorEastAsia" w:hAnsiTheme="minorEastAsia" w:hint="eastAsia"/>
                <w:szCs w:val="21"/>
              </w:rPr>
              <w:t>预计将于2026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="00BB4140">
              <w:rPr>
                <w:rFonts w:asciiTheme="minorEastAsia" w:hAnsiTheme="minorEastAsia" w:hint="eastAsia"/>
                <w:szCs w:val="21"/>
              </w:rPr>
              <w:t>开始小批量销售该产品，并于2026年下半</w:t>
            </w:r>
            <w:proofErr w:type="gramStart"/>
            <w:r w:rsidR="00BB4140">
              <w:rPr>
                <w:rFonts w:asciiTheme="minorEastAsia" w:hAnsiTheme="minorEastAsia" w:hint="eastAsia"/>
                <w:szCs w:val="21"/>
              </w:rPr>
              <w:t>年扩大</w:t>
            </w:r>
            <w:proofErr w:type="gramEnd"/>
            <w:r w:rsidR="00BB4140">
              <w:rPr>
                <w:rFonts w:asciiTheme="minorEastAsia" w:hAnsiTheme="minorEastAsia" w:hint="eastAsia"/>
                <w:szCs w:val="21"/>
              </w:rPr>
              <w:t>销售规模。</w:t>
            </w:r>
          </w:p>
          <w:p w14:paraId="73DF1DA6" w14:textId="77777777" w:rsidR="003D3B23" w:rsidRPr="003D3B23" w:rsidRDefault="003D3B23" w:rsidP="003D3B23">
            <w:pPr>
              <w:rPr>
                <w:rFonts w:asciiTheme="minorEastAsia" w:hAnsiTheme="minorEastAsia" w:hint="eastAsia"/>
              </w:rPr>
            </w:pPr>
          </w:p>
          <w:p w14:paraId="3E2B142D" w14:textId="77777777" w:rsidR="00FF50DD" w:rsidRDefault="003D3B23" w:rsidP="00BB4140">
            <w:pPr>
              <w:ind w:firstLineChars="200" w:firstLine="422"/>
              <w:rPr>
                <w:rFonts w:asciiTheme="minorEastAsia" w:hAnsiTheme="minorEastAsia" w:hint="eastAsia"/>
                <w:b/>
                <w:bCs/>
              </w:rPr>
            </w:pPr>
            <w:r w:rsidRPr="00BB4140">
              <w:rPr>
                <w:rFonts w:asciiTheme="minorEastAsia" w:hAnsiTheme="minorEastAsia" w:hint="eastAsia"/>
                <w:b/>
                <w:bCs/>
              </w:rPr>
              <w:t>5.未来3年公司整体的业务规划</w:t>
            </w:r>
          </w:p>
          <w:p w14:paraId="127972D7" w14:textId="0C20CE65" w:rsidR="00BB4140" w:rsidRPr="00CC44AA" w:rsidRDefault="00BB4140" w:rsidP="00CC44AA">
            <w:pPr>
              <w:ind w:firstLineChars="200" w:firstLine="420"/>
              <w:rPr>
                <w:rFonts w:ascii="宋体" w:eastAsia="宋体" w:hAnsi="宋体" w:hint="eastAsia"/>
                <w:sz w:val="24"/>
                <w:szCs w:val="24"/>
              </w:rPr>
            </w:pPr>
            <w:r w:rsidRPr="00BB4140">
              <w:rPr>
                <w:rFonts w:asciiTheme="minorEastAsia" w:hAnsiTheme="minorEastAsia" w:hint="eastAsia"/>
              </w:rPr>
              <w:t>回复：</w:t>
            </w:r>
            <w:r w:rsidRPr="00BB4140">
              <w:rPr>
                <w:rFonts w:ascii="宋体" w:eastAsia="宋体" w:hAnsi="宋体" w:hint="eastAsia"/>
                <w:szCs w:val="21"/>
              </w:rPr>
              <w:t>目前</w:t>
            </w:r>
            <w:r>
              <w:rPr>
                <w:rFonts w:ascii="宋体" w:eastAsia="宋体" w:hAnsi="宋体" w:hint="eastAsia"/>
                <w:szCs w:val="21"/>
              </w:rPr>
              <w:t>来</w:t>
            </w:r>
            <w:r w:rsidRPr="00BB4140">
              <w:rPr>
                <w:rFonts w:ascii="宋体" w:eastAsia="宋体" w:hAnsi="宋体" w:hint="eastAsia"/>
                <w:szCs w:val="21"/>
              </w:rPr>
              <w:t>看，公司整体情况向上向好，市场需求</w:t>
            </w:r>
            <w:r w:rsidR="007825AE">
              <w:rPr>
                <w:rFonts w:ascii="宋体" w:eastAsia="宋体" w:hAnsi="宋体" w:hint="eastAsia"/>
                <w:szCs w:val="21"/>
              </w:rPr>
              <w:t>旺盛</w:t>
            </w:r>
            <w:r w:rsidRPr="00BB4140">
              <w:rPr>
                <w:rFonts w:ascii="宋体" w:eastAsia="宋体" w:hAnsi="宋体" w:hint="eastAsia"/>
                <w:szCs w:val="21"/>
              </w:rPr>
              <w:t>，</w:t>
            </w:r>
            <w:r w:rsidR="007825AE">
              <w:rPr>
                <w:rFonts w:ascii="宋体" w:eastAsia="宋体" w:hAnsi="宋体" w:hint="eastAsia"/>
                <w:szCs w:val="21"/>
              </w:rPr>
              <w:t>订单充足，</w:t>
            </w:r>
            <w:r w:rsidRPr="00BB4140">
              <w:rPr>
                <w:rFonts w:ascii="宋体" w:eastAsia="宋体" w:hAnsi="宋体" w:hint="eastAsia"/>
                <w:szCs w:val="21"/>
              </w:rPr>
              <w:t>生产经营按计划稳步推进。数据线缆、显示器件、</w:t>
            </w:r>
            <w:r>
              <w:rPr>
                <w:rFonts w:ascii="宋体" w:eastAsia="宋体" w:hAnsi="宋体" w:hint="eastAsia"/>
                <w:szCs w:val="21"/>
              </w:rPr>
              <w:t>5G</w:t>
            </w:r>
            <w:r w:rsidRPr="00BB4140">
              <w:rPr>
                <w:rFonts w:ascii="宋体" w:eastAsia="宋体" w:hAnsi="宋体" w:hint="eastAsia"/>
                <w:szCs w:val="21"/>
              </w:rPr>
              <w:t>铁塔等产品需求稳定；卫星通信终端类产品正值国家大力推进北斗规模化应用，5G卫星电视终端订单需求明确。</w:t>
            </w:r>
            <w:r>
              <w:rPr>
                <w:rFonts w:ascii="宋体" w:eastAsia="宋体" w:hAnsi="宋体" w:hint="eastAsia"/>
                <w:szCs w:val="21"/>
              </w:rPr>
              <w:t>未来，公司将</w:t>
            </w:r>
            <w:r w:rsidRPr="00BB4140">
              <w:rPr>
                <w:rFonts w:ascii="宋体" w:eastAsia="宋体" w:hAnsi="宋体" w:hint="eastAsia"/>
                <w:szCs w:val="21"/>
              </w:rPr>
              <w:t>围绕</w:t>
            </w:r>
            <w:r w:rsidRPr="00BB4140">
              <w:rPr>
                <w:rFonts w:ascii="宋体" w:eastAsia="宋体" w:hAnsi="宋体"/>
                <w:szCs w:val="21"/>
              </w:rPr>
              <w:t>“有线/无线通信+卫星通信”双轮驱动战略</w:t>
            </w:r>
            <w:r w:rsidRPr="00BB4140">
              <w:rPr>
                <w:rFonts w:ascii="宋体" w:eastAsia="宋体" w:hAnsi="宋体" w:hint="eastAsia"/>
                <w:szCs w:val="21"/>
              </w:rPr>
              <w:t>，</w:t>
            </w:r>
            <w:r w:rsidRPr="00BB4140">
              <w:rPr>
                <w:rFonts w:ascii="宋体" w:eastAsia="宋体" w:hAnsi="宋体"/>
                <w:szCs w:val="21"/>
              </w:rPr>
              <w:t>通过生产线改扩建、设备智能化改造和工艺参数优化，不断推出新产品，实现产品高端化、精密化、数字化转型。</w:t>
            </w:r>
            <w:r w:rsidRPr="00BB4140">
              <w:rPr>
                <w:rFonts w:ascii="宋体" w:eastAsia="宋体" w:hAnsi="宋体" w:hint="eastAsia"/>
                <w:szCs w:val="21"/>
              </w:rPr>
              <w:t>同时，</w:t>
            </w:r>
            <w:r w:rsidRPr="00BB4140">
              <w:rPr>
                <w:rFonts w:ascii="宋体" w:eastAsia="宋体" w:hAnsi="宋体"/>
                <w:szCs w:val="21"/>
              </w:rPr>
              <w:t>公司充分依托已有的海外布局优势，加大对数据线缆及卫星通信终端业务的推广力度，积极开拓新的海外市场，提升公司产品在国际市场的份额和影响力</w:t>
            </w:r>
            <w:r>
              <w:rPr>
                <w:rFonts w:ascii="宋体" w:eastAsia="宋体" w:hAnsi="宋体" w:hint="eastAsia"/>
                <w:szCs w:val="21"/>
              </w:rPr>
              <w:t>，以实现公司业绩稳步增长。</w:t>
            </w:r>
          </w:p>
        </w:tc>
      </w:tr>
      <w:tr w:rsidR="00FF50DD" w14:paraId="4D9CE45C" w14:textId="77777777" w:rsidTr="00004F4F">
        <w:tc>
          <w:tcPr>
            <w:tcW w:w="1809" w:type="dxa"/>
            <w:vAlign w:val="center"/>
          </w:tcPr>
          <w:p w14:paraId="25FD99CD" w14:textId="25CAF798" w:rsidR="00FF50DD" w:rsidRPr="002734A3" w:rsidRDefault="00FF50DD" w:rsidP="00FF50DD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是否涉及应当披露重大信息的说明</w:t>
            </w:r>
          </w:p>
        </w:tc>
        <w:tc>
          <w:tcPr>
            <w:tcW w:w="6713" w:type="dxa"/>
            <w:vAlign w:val="center"/>
          </w:tcPr>
          <w:p w14:paraId="3DCF1D1E" w14:textId="0E0DC397" w:rsidR="00FF50DD" w:rsidRPr="002209CE" w:rsidRDefault="00FF50DD" w:rsidP="00FF50DD">
            <w:pPr>
              <w:ind w:right="420"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 w:rsidRPr="002209CE">
              <w:rPr>
                <w:rFonts w:asciiTheme="minorEastAsia" w:hAnsiTheme="minorEastAsia" w:hint="eastAsia"/>
                <w:bCs/>
                <w:szCs w:val="21"/>
              </w:rPr>
              <w:t>不涉及</w:t>
            </w:r>
          </w:p>
        </w:tc>
      </w:tr>
      <w:tr w:rsidR="002209CE" w14:paraId="6A9A77A4" w14:textId="77777777" w:rsidTr="00455E40">
        <w:tc>
          <w:tcPr>
            <w:tcW w:w="1809" w:type="dxa"/>
            <w:vAlign w:val="center"/>
          </w:tcPr>
          <w:p w14:paraId="225F2E43" w14:textId="0FD73693" w:rsidR="002209CE" w:rsidRDefault="002209CE" w:rsidP="00FF50DD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附件清单</w:t>
            </w:r>
          </w:p>
        </w:tc>
        <w:tc>
          <w:tcPr>
            <w:tcW w:w="6713" w:type="dxa"/>
          </w:tcPr>
          <w:p w14:paraId="387E9157" w14:textId="4E556AB6" w:rsidR="002209CE" w:rsidRPr="002209CE" w:rsidRDefault="002209CE" w:rsidP="00FF50DD">
            <w:pPr>
              <w:ind w:right="420"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 w:rsidRPr="002209CE">
              <w:rPr>
                <w:rFonts w:asciiTheme="minorEastAsia" w:hAnsiTheme="minorEastAsia" w:hint="eastAsia"/>
                <w:bCs/>
                <w:szCs w:val="21"/>
              </w:rPr>
              <w:t>无</w:t>
            </w:r>
          </w:p>
        </w:tc>
      </w:tr>
    </w:tbl>
    <w:p w14:paraId="16F17CCF" w14:textId="77777777" w:rsidR="00EF2475" w:rsidRDefault="00EF2475" w:rsidP="00F825B0">
      <w:pPr>
        <w:ind w:right="420"/>
        <w:jc w:val="left"/>
        <w:rPr>
          <w:rFonts w:hint="eastAsia"/>
        </w:rPr>
      </w:pPr>
    </w:p>
    <w:sectPr w:rsidR="00EF2475" w:rsidSect="00F825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A939" w14:textId="77777777" w:rsidR="00EE7830" w:rsidRDefault="00EE7830" w:rsidP="00FC3E86">
      <w:r>
        <w:separator/>
      </w:r>
    </w:p>
  </w:endnote>
  <w:endnote w:type="continuationSeparator" w:id="0">
    <w:p w14:paraId="36AF9A79" w14:textId="77777777" w:rsidR="00EE7830" w:rsidRDefault="00EE7830" w:rsidP="00FC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FC38" w14:textId="77777777" w:rsidR="00F825B0" w:rsidRDefault="00F825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0453227"/>
      <w:docPartObj>
        <w:docPartGallery w:val="Page Numbers (Bottom of Page)"/>
        <w:docPartUnique/>
      </w:docPartObj>
    </w:sdtPr>
    <w:sdtEndPr/>
    <w:sdtContent>
      <w:p w14:paraId="06CDD8FA" w14:textId="77777777" w:rsidR="00FC3E86" w:rsidRDefault="00FC3E8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615" w:rsidRPr="00576615">
          <w:rPr>
            <w:noProof/>
            <w:lang w:val="zh-CN"/>
          </w:rPr>
          <w:t>5</w:t>
        </w:r>
        <w:r>
          <w:fldChar w:fldCharType="end"/>
        </w:r>
      </w:p>
    </w:sdtContent>
  </w:sdt>
  <w:p w14:paraId="2209B1E2" w14:textId="77777777" w:rsidR="00FC3E86" w:rsidRDefault="00FC3E8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F36C" w14:textId="77777777" w:rsidR="00F825B0" w:rsidRDefault="00F825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4363" w14:textId="77777777" w:rsidR="00EE7830" w:rsidRDefault="00EE7830" w:rsidP="00FC3E86">
      <w:r>
        <w:separator/>
      </w:r>
    </w:p>
  </w:footnote>
  <w:footnote w:type="continuationSeparator" w:id="0">
    <w:p w14:paraId="3ED0E2B4" w14:textId="77777777" w:rsidR="00EE7830" w:rsidRDefault="00EE7830" w:rsidP="00FC3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DDEF" w14:textId="77777777" w:rsidR="00F825B0" w:rsidRDefault="00F825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26CB" w14:textId="77777777" w:rsidR="00F825B0" w:rsidRPr="00F825B0" w:rsidRDefault="00F825B0" w:rsidP="00F825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DF57" w14:textId="77777777" w:rsidR="00F825B0" w:rsidRDefault="00F825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449CD"/>
    <w:multiLevelType w:val="hybridMultilevel"/>
    <w:tmpl w:val="E2EAF060"/>
    <w:lvl w:ilvl="0" w:tplc="0DF025F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071B9B"/>
    <w:multiLevelType w:val="hybridMultilevel"/>
    <w:tmpl w:val="6CD48816"/>
    <w:lvl w:ilvl="0" w:tplc="7DA831B6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0D706F"/>
    <w:multiLevelType w:val="hybridMultilevel"/>
    <w:tmpl w:val="57469F3A"/>
    <w:lvl w:ilvl="0" w:tplc="349A88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74830168">
    <w:abstractNumId w:val="1"/>
  </w:num>
  <w:num w:numId="2" w16cid:durableId="572400137">
    <w:abstractNumId w:val="2"/>
  </w:num>
  <w:num w:numId="3" w16cid:durableId="112272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475"/>
    <w:rsid w:val="00004F4F"/>
    <w:rsid w:val="000071A0"/>
    <w:rsid w:val="00017B83"/>
    <w:rsid w:val="000435F5"/>
    <w:rsid w:val="00046892"/>
    <w:rsid w:val="00077216"/>
    <w:rsid w:val="000F7C4D"/>
    <w:rsid w:val="00106DFF"/>
    <w:rsid w:val="00127FDA"/>
    <w:rsid w:val="00182EA6"/>
    <w:rsid w:val="002209CE"/>
    <w:rsid w:val="002734A3"/>
    <w:rsid w:val="002A112F"/>
    <w:rsid w:val="002D4C4E"/>
    <w:rsid w:val="002D7350"/>
    <w:rsid w:val="00307628"/>
    <w:rsid w:val="00322255"/>
    <w:rsid w:val="00357728"/>
    <w:rsid w:val="0039078D"/>
    <w:rsid w:val="003D3B23"/>
    <w:rsid w:val="003D493A"/>
    <w:rsid w:val="003E2328"/>
    <w:rsid w:val="00411CED"/>
    <w:rsid w:val="00424E3F"/>
    <w:rsid w:val="004271BD"/>
    <w:rsid w:val="00455E40"/>
    <w:rsid w:val="004A0DCB"/>
    <w:rsid w:val="004C0E5E"/>
    <w:rsid w:val="00576615"/>
    <w:rsid w:val="005B0CB3"/>
    <w:rsid w:val="005B3E07"/>
    <w:rsid w:val="005C1775"/>
    <w:rsid w:val="005F5508"/>
    <w:rsid w:val="00626218"/>
    <w:rsid w:val="00684697"/>
    <w:rsid w:val="006C2EE1"/>
    <w:rsid w:val="007425AE"/>
    <w:rsid w:val="007825AE"/>
    <w:rsid w:val="00794DD8"/>
    <w:rsid w:val="007C65CB"/>
    <w:rsid w:val="00843907"/>
    <w:rsid w:val="00851C01"/>
    <w:rsid w:val="008825C0"/>
    <w:rsid w:val="008D2CB9"/>
    <w:rsid w:val="00904D0C"/>
    <w:rsid w:val="00931230"/>
    <w:rsid w:val="0093464E"/>
    <w:rsid w:val="009433F5"/>
    <w:rsid w:val="00950993"/>
    <w:rsid w:val="009B100C"/>
    <w:rsid w:val="009B5C27"/>
    <w:rsid w:val="009D2503"/>
    <w:rsid w:val="009D7D42"/>
    <w:rsid w:val="00A03265"/>
    <w:rsid w:val="00A5791A"/>
    <w:rsid w:val="00A824F4"/>
    <w:rsid w:val="00A901EB"/>
    <w:rsid w:val="00AC6934"/>
    <w:rsid w:val="00BB4140"/>
    <w:rsid w:val="00C814D7"/>
    <w:rsid w:val="00CB64C3"/>
    <w:rsid w:val="00CC44AA"/>
    <w:rsid w:val="00CD6DBC"/>
    <w:rsid w:val="00CD75C7"/>
    <w:rsid w:val="00D356D9"/>
    <w:rsid w:val="00D60A81"/>
    <w:rsid w:val="00D615B0"/>
    <w:rsid w:val="00DE152F"/>
    <w:rsid w:val="00DE54F0"/>
    <w:rsid w:val="00DF2825"/>
    <w:rsid w:val="00DF32C1"/>
    <w:rsid w:val="00E305CC"/>
    <w:rsid w:val="00E34D6B"/>
    <w:rsid w:val="00E84629"/>
    <w:rsid w:val="00EB6B33"/>
    <w:rsid w:val="00EC7282"/>
    <w:rsid w:val="00EE3377"/>
    <w:rsid w:val="00EE7830"/>
    <w:rsid w:val="00EF2475"/>
    <w:rsid w:val="00F20185"/>
    <w:rsid w:val="00F3254F"/>
    <w:rsid w:val="00F825B0"/>
    <w:rsid w:val="00FC3E86"/>
    <w:rsid w:val="00FC7263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CAD5F7F"/>
  <w15:docId w15:val="{65251413-75C5-4F17-9274-D16B9B44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475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4C0E5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C0E5E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3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C3E8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C3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C3E86"/>
    <w:rPr>
      <w:sz w:val="18"/>
      <w:szCs w:val="18"/>
    </w:rPr>
  </w:style>
  <w:style w:type="paragraph" w:styleId="ab">
    <w:name w:val="Revision"/>
    <w:hidden/>
    <w:uiPriority w:val="99"/>
    <w:semiHidden/>
    <w:rsid w:val="003D4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948</Words>
  <Characters>1024</Characters>
  <Application>Microsoft Office Word</Application>
  <DocSecurity>0</DocSecurity>
  <Lines>53</Lines>
  <Paragraphs>39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吴lily</dc:creator>
  <cp:lastModifiedBy>gjl</cp:lastModifiedBy>
  <cp:revision>19</cp:revision>
  <cp:lastPrinted>2016-02-23T02:52:00Z</cp:lastPrinted>
  <dcterms:created xsi:type="dcterms:W3CDTF">2015-09-14T08:46:00Z</dcterms:created>
  <dcterms:modified xsi:type="dcterms:W3CDTF">2025-10-29T10:01:00Z</dcterms:modified>
</cp:coreProperties>
</file>