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2E2A6C" w:rsidRDefault="00492518">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 xml:space="preserve">   </w:t>
      </w:r>
      <w:r>
        <w:rPr>
          <w:rFonts w:eastAsiaTheme="minorEastAsia" w:hint="eastAsia"/>
          <w:bCs/>
          <w:iCs/>
          <w:sz w:val="24"/>
        </w:rPr>
        <w:t>证券简称：海尔生物</w:t>
      </w:r>
    </w:p>
    <w:p w14:paraId="6EBB0698" w14:textId="77777777" w:rsidR="002E2A6C" w:rsidRDefault="00492518">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2E2A6C" w:rsidRDefault="00492518">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4C321F8B" w:rsidR="002E2A6C" w:rsidRDefault="00492518">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Pr>
          <w:rFonts w:eastAsiaTheme="minorEastAsia"/>
          <w:bCs/>
          <w:iCs/>
          <w:sz w:val="24"/>
          <w:szCs w:val="24"/>
        </w:rPr>
        <w:t>2025-0</w:t>
      </w:r>
      <w:r w:rsidR="00786B7D">
        <w:rPr>
          <w:rFonts w:eastAsiaTheme="minorEastAsia"/>
          <w:bCs/>
          <w:iCs/>
          <w:sz w:val="24"/>
          <w:szCs w:val="24"/>
        </w:rPr>
        <w:t>2</w:t>
      </w:r>
      <w:r w:rsidR="00D048D9">
        <w:rPr>
          <w:rFonts w:eastAsiaTheme="minorEastAsia"/>
          <w:bCs/>
          <w:iCs/>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2E2A6C" w:rsidRPr="00B65093"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2E2A6C" w:rsidRDefault="002E2A6C">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6BEF3D1C" w:rsidR="002E2A6C" w:rsidRDefault="00D048D9">
            <w:pPr>
              <w:spacing w:line="360" w:lineRule="auto"/>
              <w:rPr>
                <w:rFonts w:eastAsiaTheme="minorEastAsia"/>
                <w:bCs/>
                <w:iCs/>
                <w:sz w:val="24"/>
                <w:szCs w:val="24"/>
              </w:rPr>
            </w:pPr>
            <w:r>
              <w:rPr>
                <w:rFonts w:eastAsiaTheme="minorEastAsia" w:hint="eastAsia"/>
                <w:bCs/>
                <w:iCs/>
                <w:sz w:val="24"/>
                <w:szCs w:val="24"/>
              </w:rPr>
              <w:t>□</w:t>
            </w:r>
            <w:r w:rsidR="00492518">
              <w:rPr>
                <w:rFonts w:eastAsiaTheme="minorEastAsia" w:hint="eastAsia"/>
                <w:sz w:val="24"/>
                <w:szCs w:val="24"/>
              </w:rPr>
              <w:t>特定对象调研</w:t>
            </w:r>
            <w:r w:rsidR="00492518">
              <w:rPr>
                <w:rFonts w:eastAsiaTheme="minorEastAsia" w:hint="eastAsia"/>
                <w:sz w:val="24"/>
                <w:szCs w:val="24"/>
              </w:rPr>
              <w:t xml:space="preserve">       </w:t>
            </w:r>
            <w:r w:rsidR="00492518">
              <w:rPr>
                <w:rFonts w:eastAsiaTheme="minorEastAsia" w:hint="eastAsia"/>
                <w:bCs/>
                <w:iCs/>
                <w:sz w:val="24"/>
                <w:szCs w:val="24"/>
              </w:rPr>
              <w:t>□</w:t>
            </w:r>
            <w:r w:rsidR="00492518">
              <w:rPr>
                <w:rFonts w:eastAsiaTheme="minorEastAsia" w:hint="eastAsia"/>
                <w:sz w:val="24"/>
                <w:szCs w:val="24"/>
              </w:rPr>
              <w:t>分析师会议</w:t>
            </w:r>
          </w:p>
          <w:p w14:paraId="2AC39D47" w14:textId="0DFA375D" w:rsidR="002E2A6C" w:rsidRDefault="00492518">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sidR="00D048D9">
              <w:rPr>
                <w:rFonts w:eastAsiaTheme="minorEastAsia" w:hint="eastAsia"/>
                <w:bCs/>
                <w:iCs/>
                <w:sz w:val="24"/>
                <w:szCs w:val="24"/>
              </w:rPr>
              <w:sym w:font="Wingdings 2" w:char="0052"/>
            </w:r>
            <w:r>
              <w:rPr>
                <w:rFonts w:eastAsiaTheme="minorEastAsia" w:hint="eastAsia"/>
                <w:sz w:val="24"/>
                <w:szCs w:val="24"/>
              </w:rPr>
              <w:t>业绩说明会</w:t>
            </w:r>
          </w:p>
          <w:p w14:paraId="2D757254" w14:textId="77777777" w:rsidR="002E2A6C" w:rsidRDefault="00492518">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2E2A6C" w:rsidRDefault="00492518">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2E2A6C" w:rsidRDefault="00492518">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proofErr w:type="gramStart"/>
            <w:r>
              <w:rPr>
                <w:rFonts w:eastAsiaTheme="minorEastAsia" w:hint="eastAsia"/>
                <w:sz w:val="24"/>
                <w:szCs w:val="24"/>
                <w:u w:val="single"/>
              </w:rPr>
              <w:t>请文字</w:t>
            </w:r>
            <w:proofErr w:type="gramEnd"/>
            <w:r>
              <w:rPr>
                <w:rFonts w:eastAsiaTheme="minorEastAsia" w:hint="eastAsia"/>
                <w:sz w:val="24"/>
                <w:szCs w:val="24"/>
                <w:u w:val="single"/>
              </w:rPr>
              <w:t>说明其他活动内容）</w:t>
            </w:r>
          </w:p>
        </w:tc>
      </w:tr>
      <w:tr w:rsidR="002E2A6C"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0F2B36EA" w:rsidR="002E2A6C" w:rsidRDefault="00F441DD">
            <w:pPr>
              <w:spacing w:line="360" w:lineRule="auto"/>
              <w:rPr>
                <w:rFonts w:eastAsiaTheme="minorEastAsia"/>
                <w:b/>
                <w:bCs/>
                <w:iCs/>
                <w:sz w:val="24"/>
                <w:szCs w:val="24"/>
              </w:rPr>
            </w:pPr>
            <w:r>
              <w:rPr>
                <w:rFonts w:eastAsiaTheme="minorEastAsia" w:hint="eastAsia"/>
                <w:b/>
                <w:bCs/>
                <w:iCs/>
                <w:sz w:val="24"/>
                <w:szCs w:val="24"/>
              </w:rPr>
              <w:t>活动主题</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58CAE131" w:rsidR="002E2A6C" w:rsidRDefault="00F441DD">
            <w:pPr>
              <w:spacing w:line="360" w:lineRule="auto"/>
              <w:jc w:val="left"/>
              <w:rPr>
                <w:rFonts w:eastAsiaTheme="minorEastAsia"/>
                <w:bCs/>
                <w:iCs/>
                <w:sz w:val="24"/>
                <w:szCs w:val="24"/>
              </w:rPr>
            </w:pPr>
            <w:r w:rsidRPr="00F441DD">
              <w:rPr>
                <w:rFonts w:eastAsiaTheme="minorEastAsia" w:hint="eastAsia"/>
                <w:bCs/>
                <w:iCs/>
                <w:sz w:val="24"/>
                <w:szCs w:val="24"/>
              </w:rPr>
              <w:t>海尔生物</w:t>
            </w:r>
            <w:r w:rsidRPr="00F441DD">
              <w:rPr>
                <w:rFonts w:eastAsiaTheme="minorEastAsia" w:hint="eastAsia"/>
                <w:bCs/>
                <w:iCs/>
                <w:sz w:val="24"/>
                <w:szCs w:val="24"/>
              </w:rPr>
              <w:t>2025</w:t>
            </w:r>
            <w:r w:rsidRPr="00F441DD">
              <w:rPr>
                <w:rFonts w:eastAsiaTheme="minorEastAsia" w:hint="eastAsia"/>
                <w:bCs/>
                <w:iCs/>
                <w:sz w:val="24"/>
                <w:szCs w:val="24"/>
              </w:rPr>
              <w:t>年第三季度业绩说明会</w:t>
            </w:r>
          </w:p>
        </w:tc>
      </w:tr>
      <w:tr w:rsidR="002E2A6C"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5D5E595E" w:rsidR="002E2A6C" w:rsidRDefault="00492518">
            <w:pPr>
              <w:spacing w:line="360" w:lineRule="auto"/>
              <w:rPr>
                <w:rFonts w:eastAsiaTheme="minorEastAsia"/>
                <w:bCs/>
                <w:iCs/>
                <w:sz w:val="24"/>
                <w:szCs w:val="24"/>
              </w:rPr>
            </w:pPr>
            <w:r>
              <w:rPr>
                <w:rFonts w:eastAsiaTheme="minorEastAsia" w:hint="eastAsia"/>
                <w:bCs/>
                <w:iCs/>
                <w:sz w:val="24"/>
                <w:szCs w:val="24"/>
              </w:rPr>
              <w:t>202</w:t>
            </w:r>
            <w:r>
              <w:rPr>
                <w:rFonts w:eastAsiaTheme="minorEastAsia"/>
                <w:bCs/>
                <w:iCs/>
                <w:sz w:val="24"/>
                <w:szCs w:val="24"/>
              </w:rPr>
              <w:t>5</w:t>
            </w:r>
            <w:r>
              <w:rPr>
                <w:rFonts w:eastAsiaTheme="minorEastAsia" w:hint="eastAsia"/>
                <w:bCs/>
                <w:iCs/>
                <w:sz w:val="24"/>
                <w:szCs w:val="24"/>
              </w:rPr>
              <w:t>年</w:t>
            </w:r>
            <w:r w:rsidR="00F441DD">
              <w:rPr>
                <w:rFonts w:eastAsiaTheme="minorEastAsia" w:hint="eastAsia"/>
                <w:bCs/>
                <w:iCs/>
                <w:sz w:val="24"/>
                <w:szCs w:val="24"/>
              </w:rPr>
              <w:t>1</w:t>
            </w:r>
            <w:r w:rsidR="00F441DD">
              <w:rPr>
                <w:rFonts w:eastAsiaTheme="minorEastAsia"/>
                <w:bCs/>
                <w:iCs/>
                <w:sz w:val="24"/>
                <w:szCs w:val="24"/>
              </w:rPr>
              <w:t>0</w:t>
            </w:r>
            <w:r>
              <w:rPr>
                <w:rFonts w:eastAsiaTheme="minorEastAsia" w:hint="eastAsia"/>
                <w:bCs/>
                <w:iCs/>
                <w:sz w:val="24"/>
                <w:szCs w:val="24"/>
              </w:rPr>
              <w:t>月</w:t>
            </w:r>
            <w:r w:rsidR="00F441DD">
              <w:rPr>
                <w:rFonts w:eastAsiaTheme="minorEastAsia" w:hint="eastAsia"/>
                <w:bCs/>
                <w:iCs/>
                <w:sz w:val="24"/>
                <w:szCs w:val="24"/>
              </w:rPr>
              <w:t>3</w:t>
            </w:r>
            <w:r w:rsidR="00F441DD">
              <w:rPr>
                <w:rFonts w:eastAsiaTheme="minorEastAsia"/>
                <w:bCs/>
                <w:iCs/>
                <w:sz w:val="24"/>
                <w:szCs w:val="24"/>
              </w:rPr>
              <w:t>1</w:t>
            </w:r>
            <w:r>
              <w:rPr>
                <w:rFonts w:eastAsiaTheme="minorEastAsia" w:hint="eastAsia"/>
                <w:bCs/>
                <w:iCs/>
                <w:sz w:val="24"/>
                <w:szCs w:val="24"/>
              </w:rPr>
              <w:t>日</w:t>
            </w:r>
            <w:r w:rsidR="00F441DD">
              <w:rPr>
                <w:rFonts w:eastAsiaTheme="minorEastAsia" w:hint="eastAsia"/>
                <w:bCs/>
                <w:iCs/>
                <w:sz w:val="24"/>
                <w:szCs w:val="24"/>
              </w:rPr>
              <w:t xml:space="preserve"> </w:t>
            </w:r>
            <w:r w:rsidR="00F441DD" w:rsidRPr="00F441DD">
              <w:rPr>
                <w:rFonts w:eastAsiaTheme="minorEastAsia"/>
                <w:bCs/>
                <w:iCs/>
                <w:sz w:val="24"/>
                <w:szCs w:val="24"/>
              </w:rPr>
              <w:t>11:00-12:00</w:t>
            </w:r>
          </w:p>
        </w:tc>
      </w:tr>
      <w:tr w:rsidR="002E2A6C"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507662E7" w14:textId="77777777" w:rsidR="00F441DD" w:rsidRPr="00F441DD" w:rsidRDefault="00F441DD" w:rsidP="00F441DD">
            <w:pPr>
              <w:spacing w:line="360" w:lineRule="auto"/>
              <w:rPr>
                <w:rFonts w:eastAsiaTheme="minorEastAsia" w:hint="eastAsia"/>
                <w:bCs/>
                <w:iCs/>
                <w:sz w:val="24"/>
                <w:szCs w:val="24"/>
              </w:rPr>
            </w:pPr>
            <w:r w:rsidRPr="00F441DD">
              <w:rPr>
                <w:rFonts w:eastAsiaTheme="minorEastAsia" w:hint="eastAsia"/>
                <w:bCs/>
                <w:iCs/>
                <w:sz w:val="24"/>
                <w:szCs w:val="24"/>
              </w:rPr>
              <w:t>上</w:t>
            </w:r>
            <w:proofErr w:type="gramStart"/>
            <w:r w:rsidRPr="00F441DD">
              <w:rPr>
                <w:rFonts w:eastAsiaTheme="minorEastAsia" w:hint="eastAsia"/>
                <w:bCs/>
                <w:iCs/>
                <w:sz w:val="24"/>
                <w:szCs w:val="24"/>
              </w:rPr>
              <w:t>证路演中心</w:t>
            </w:r>
            <w:proofErr w:type="gramEnd"/>
            <w:r w:rsidRPr="00F441DD">
              <w:rPr>
                <w:rFonts w:eastAsiaTheme="minorEastAsia" w:hint="eastAsia"/>
                <w:bCs/>
                <w:iCs/>
                <w:sz w:val="24"/>
                <w:szCs w:val="24"/>
              </w:rPr>
              <w:t xml:space="preserve"> https://roadshow.sseinfo.com</w:t>
            </w:r>
          </w:p>
          <w:p w14:paraId="4C2259C9" w14:textId="68BD1B92" w:rsidR="002E2A6C" w:rsidRDefault="00F441DD" w:rsidP="00F441DD">
            <w:pPr>
              <w:spacing w:line="360" w:lineRule="auto"/>
              <w:rPr>
                <w:rFonts w:eastAsiaTheme="minorEastAsia"/>
                <w:bCs/>
                <w:iCs/>
                <w:sz w:val="24"/>
                <w:szCs w:val="24"/>
              </w:rPr>
            </w:pPr>
            <w:r w:rsidRPr="00F441DD">
              <w:rPr>
                <w:rFonts w:eastAsiaTheme="minorEastAsia" w:hint="eastAsia"/>
                <w:bCs/>
                <w:iCs/>
                <w:sz w:val="24"/>
                <w:szCs w:val="24"/>
              </w:rPr>
              <w:t>网络文字互动</w:t>
            </w:r>
          </w:p>
        </w:tc>
      </w:tr>
      <w:tr w:rsidR="002E2A6C"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7D33FC82" w:rsidR="002E2A6C" w:rsidRDefault="00F441DD">
            <w:pPr>
              <w:spacing w:line="360" w:lineRule="auto"/>
              <w:rPr>
                <w:rFonts w:eastAsiaTheme="minorEastAsia"/>
                <w:bCs/>
                <w:iCs/>
                <w:sz w:val="24"/>
                <w:szCs w:val="24"/>
              </w:rPr>
            </w:pPr>
            <w:r w:rsidRPr="00F441DD">
              <w:rPr>
                <w:rFonts w:eastAsiaTheme="minorEastAsia" w:hint="eastAsia"/>
                <w:bCs/>
                <w:iCs/>
                <w:sz w:val="24"/>
                <w:szCs w:val="24"/>
              </w:rPr>
              <w:t>董事、总经理：刘占杰、独立董事：黄生、首席财务官：莫瑞娟、董事会秘书：黄艳莉</w:t>
            </w:r>
          </w:p>
        </w:tc>
      </w:tr>
      <w:tr w:rsidR="002E2A6C"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6A6FC1F4" w14:textId="77777777" w:rsidR="00853613" w:rsidRDefault="00853613" w:rsidP="00853613">
            <w:pPr>
              <w:spacing w:beforeLines="50" w:before="156" w:line="360" w:lineRule="auto"/>
              <w:jc w:val="center"/>
              <w:rPr>
                <w:rFonts w:ascii="宋体" w:hAnsi="宋体"/>
                <w:b/>
                <w:sz w:val="24"/>
                <w:shd w:val="clear" w:color="FFFFFF" w:fill="D9D9D9"/>
              </w:rPr>
            </w:pPr>
            <w:r>
              <w:rPr>
                <w:rFonts w:ascii="宋体" w:hAnsi="宋体" w:hint="eastAsia"/>
                <w:b/>
                <w:sz w:val="24"/>
                <w:shd w:val="clear" w:color="FFFFFF" w:fill="D9D9D9"/>
              </w:rPr>
              <w:t>经营情况汇报</w:t>
            </w:r>
          </w:p>
          <w:p w14:paraId="5C70AB85" w14:textId="77777777" w:rsidR="00853613" w:rsidRDefault="00853613" w:rsidP="00853613">
            <w:pPr>
              <w:spacing w:beforeLines="50" w:before="156" w:line="360" w:lineRule="auto"/>
              <w:ind w:firstLineChars="200" w:firstLine="480"/>
              <w:jc w:val="left"/>
              <w:rPr>
                <w:rFonts w:ascii="宋体" w:hAnsi="宋体"/>
                <w:bCs/>
                <w:sz w:val="24"/>
              </w:rPr>
            </w:pPr>
            <w:r>
              <w:rPr>
                <w:rFonts w:ascii="宋体" w:hAnsi="宋体" w:hint="eastAsia"/>
                <w:bCs/>
                <w:sz w:val="24"/>
              </w:rPr>
              <w:t>2025年前三季度，公司实现营业收入17.61亿元。面对复杂多变的全球和行业形势，公司坚持技术创新、场景升级和全球化发展，业绩于第二季度触底后，在第三季度实现反弹。从第三季度看，公司实现营业收入5.66亿元，同比增长1.24%，环比增长11.68%，归属母公司净</w:t>
            </w:r>
            <w:proofErr w:type="gramStart"/>
            <w:r>
              <w:rPr>
                <w:rFonts w:ascii="宋体" w:hAnsi="宋体" w:hint="eastAsia"/>
                <w:bCs/>
                <w:sz w:val="24"/>
              </w:rPr>
              <w:t>利润环</w:t>
            </w:r>
            <w:proofErr w:type="gramEnd"/>
            <w:r>
              <w:rPr>
                <w:rFonts w:ascii="宋体" w:hAnsi="宋体" w:hint="eastAsia"/>
                <w:bCs/>
                <w:sz w:val="24"/>
              </w:rPr>
              <w:t>比增长超70%。</w:t>
            </w:r>
          </w:p>
          <w:p w14:paraId="6970ED26" w14:textId="77777777" w:rsidR="00853613" w:rsidRDefault="00853613" w:rsidP="00853613">
            <w:pPr>
              <w:spacing w:beforeLines="50" w:before="156" w:line="360" w:lineRule="auto"/>
              <w:ind w:firstLineChars="200" w:firstLine="480"/>
              <w:jc w:val="left"/>
              <w:rPr>
                <w:rFonts w:ascii="宋体" w:hAnsi="宋体"/>
                <w:bCs/>
                <w:sz w:val="24"/>
              </w:rPr>
            </w:pPr>
            <w:r>
              <w:rPr>
                <w:rFonts w:ascii="宋体" w:hAnsi="宋体" w:hint="eastAsia"/>
                <w:bCs/>
                <w:sz w:val="24"/>
              </w:rPr>
              <w:t>分产业看，前三季度低温存储产业</w:t>
            </w:r>
            <w:proofErr w:type="gramStart"/>
            <w:r>
              <w:rPr>
                <w:rFonts w:ascii="宋体" w:hAnsi="宋体" w:hint="eastAsia"/>
                <w:bCs/>
                <w:sz w:val="24"/>
              </w:rPr>
              <w:t>降幅收</w:t>
            </w:r>
            <w:proofErr w:type="gramEnd"/>
            <w:r>
              <w:rPr>
                <w:rFonts w:ascii="宋体" w:hAnsi="宋体" w:hint="eastAsia"/>
                <w:bCs/>
                <w:sz w:val="24"/>
              </w:rPr>
              <w:t>窄至6%，第三季度恢复正增长，主要得益于公司对场景化市场机遇的把握和海外市场持续发展；智慧用药产业增长14%，加速布局泰国、越南等东南亚、中东和欧洲市场，海外市场拓展持续加快；血液技术产业增长12%，持续深耕数字化升级和产品方案海外认证；实验室解决方案增长1%，整体表现优于行业。</w:t>
            </w:r>
          </w:p>
          <w:p w14:paraId="2C46B0DC" w14:textId="77777777" w:rsidR="00853613" w:rsidRDefault="00853613" w:rsidP="00853613">
            <w:pPr>
              <w:spacing w:beforeLines="50" w:before="156" w:line="360" w:lineRule="auto"/>
              <w:ind w:firstLineChars="200" w:firstLine="480"/>
              <w:jc w:val="left"/>
              <w:rPr>
                <w:rFonts w:ascii="宋体" w:hAnsi="宋体"/>
                <w:bCs/>
                <w:sz w:val="24"/>
              </w:rPr>
            </w:pPr>
            <w:r>
              <w:rPr>
                <w:rFonts w:ascii="宋体" w:hAnsi="宋体" w:hint="eastAsia"/>
                <w:bCs/>
                <w:sz w:val="24"/>
              </w:rPr>
              <w:lastRenderedPageBreak/>
              <w:t>分区域看，前三季度国内市场实现收入11.17亿元，降幅</w:t>
            </w:r>
            <w:proofErr w:type="gramStart"/>
            <w:r>
              <w:rPr>
                <w:rFonts w:ascii="宋体" w:hAnsi="宋体" w:hint="eastAsia"/>
                <w:bCs/>
                <w:sz w:val="24"/>
              </w:rPr>
              <w:t>同比收</w:t>
            </w:r>
            <w:proofErr w:type="gramEnd"/>
            <w:r>
              <w:rPr>
                <w:rFonts w:ascii="宋体" w:hAnsi="宋体" w:hint="eastAsia"/>
                <w:bCs/>
                <w:sz w:val="24"/>
              </w:rPr>
              <w:t>窄至10.48%，根据招标</w:t>
            </w:r>
            <w:proofErr w:type="gramStart"/>
            <w:r>
              <w:rPr>
                <w:rFonts w:ascii="宋体" w:hAnsi="宋体" w:hint="eastAsia"/>
                <w:bCs/>
                <w:sz w:val="24"/>
              </w:rPr>
              <w:t>网公开</w:t>
            </w:r>
            <w:proofErr w:type="gramEnd"/>
            <w:r>
              <w:rPr>
                <w:rFonts w:ascii="宋体" w:hAnsi="宋体" w:hint="eastAsia"/>
                <w:bCs/>
                <w:sz w:val="24"/>
              </w:rPr>
              <w:t>数据统计，公司超低温、低温、培养箱、安全柜、离心机系列产品的市场份额稳步提升。海外市场前三季度实现收入6.34亿元，同比增长20.18%。公司持续加快产品本地化注册认证、拓展当地</w:t>
            </w:r>
            <w:proofErr w:type="gramStart"/>
            <w:r>
              <w:rPr>
                <w:rFonts w:ascii="宋体" w:hAnsi="宋体" w:hint="eastAsia"/>
                <w:bCs/>
                <w:sz w:val="24"/>
              </w:rPr>
              <w:t>化国家</w:t>
            </w:r>
            <w:proofErr w:type="gramEnd"/>
            <w:r>
              <w:rPr>
                <w:rFonts w:ascii="宋体" w:hAnsi="宋体" w:hint="eastAsia"/>
                <w:bCs/>
                <w:sz w:val="24"/>
              </w:rPr>
              <w:t>布局，低温存储业务持续发展，智慧用药、实验室解决方案等新业务正逐渐展现出强有力的增长动能。</w:t>
            </w:r>
          </w:p>
          <w:p w14:paraId="2EFBAA89" w14:textId="77777777" w:rsidR="00853613" w:rsidRDefault="00853613" w:rsidP="00853613">
            <w:pPr>
              <w:spacing w:beforeLines="50" w:before="156" w:line="360" w:lineRule="auto"/>
              <w:ind w:firstLineChars="200" w:firstLine="480"/>
              <w:jc w:val="left"/>
              <w:rPr>
                <w:rFonts w:ascii="宋体" w:hAnsi="宋体"/>
                <w:bCs/>
                <w:sz w:val="24"/>
              </w:rPr>
            </w:pPr>
            <w:r>
              <w:rPr>
                <w:rFonts w:ascii="宋体" w:hAnsi="宋体" w:hint="eastAsia"/>
                <w:bCs/>
                <w:sz w:val="24"/>
              </w:rPr>
              <w:t>从盈利情况上看，公司前三季度的盈利能力受到外部环境、新建产能爬坡和公司主动中长期战略投入等因素综合影响，</w:t>
            </w:r>
            <w:proofErr w:type="gramStart"/>
            <w:r>
              <w:rPr>
                <w:rFonts w:ascii="宋体" w:hAnsi="宋体" w:hint="eastAsia"/>
                <w:bCs/>
                <w:sz w:val="24"/>
              </w:rPr>
              <w:t>归母净利润</w:t>
            </w:r>
            <w:proofErr w:type="gramEnd"/>
            <w:r>
              <w:rPr>
                <w:rFonts w:ascii="宋体" w:hAnsi="宋体" w:hint="eastAsia"/>
                <w:bCs/>
                <w:sz w:val="24"/>
              </w:rPr>
              <w:t>1.98亿元；第三季度毛利率为46.99%，环比提升3.53个百分点；第三季度归母</w:t>
            </w:r>
            <w:proofErr w:type="gramStart"/>
            <w:r>
              <w:rPr>
                <w:rFonts w:ascii="宋体" w:hAnsi="宋体" w:hint="eastAsia"/>
                <w:bCs/>
                <w:sz w:val="24"/>
              </w:rPr>
              <w:t>净利率环</w:t>
            </w:r>
            <w:proofErr w:type="gramEnd"/>
            <w:r>
              <w:rPr>
                <w:rFonts w:ascii="宋体" w:hAnsi="宋体" w:hint="eastAsia"/>
                <w:bCs/>
                <w:sz w:val="24"/>
              </w:rPr>
              <w:t>比提升3.43个百分点，随着营业收入增长、业务结构升级和产品竞争力提升，盈利能力得以恢复性提升。</w:t>
            </w:r>
          </w:p>
          <w:p w14:paraId="6DC56BDF" w14:textId="42D13016" w:rsidR="00853613" w:rsidRPr="00752754" w:rsidRDefault="00853613" w:rsidP="00752754">
            <w:pPr>
              <w:spacing w:beforeLines="50" w:before="156" w:line="460" w:lineRule="exact"/>
              <w:jc w:val="center"/>
              <w:rPr>
                <w:rFonts w:ascii="宋体" w:hAnsi="宋体" w:hint="eastAsia"/>
                <w:b/>
                <w:sz w:val="24"/>
                <w:shd w:val="clear" w:color="FFFFFF" w:fill="D9D9D9"/>
              </w:rPr>
            </w:pPr>
            <w:r>
              <w:rPr>
                <w:rFonts w:ascii="宋体" w:hAnsi="宋体" w:hint="eastAsia"/>
                <w:b/>
                <w:sz w:val="24"/>
                <w:shd w:val="clear" w:color="FFFFFF" w:fill="D9D9D9"/>
              </w:rPr>
              <w:t>互动问答</w:t>
            </w:r>
          </w:p>
          <w:p w14:paraId="49C83D8D" w14:textId="77777777" w:rsidR="00853613" w:rsidRDefault="00853613" w:rsidP="00853613">
            <w:pPr>
              <w:numPr>
                <w:ilvl w:val="0"/>
                <w:numId w:val="3"/>
              </w:numPr>
              <w:spacing w:beforeLines="50" w:before="156" w:line="360" w:lineRule="auto"/>
              <w:ind w:left="0" w:firstLineChars="200" w:firstLine="482"/>
              <w:jc w:val="left"/>
              <w:rPr>
                <w:rFonts w:ascii="宋体" w:hAnsi="宋体"/>
                <w:b/>
                <w:sz w:val="24"/>
              </w:rPr>
            </w:pPr>
            <w:r>
              <w:rPr>
                <w:rFonts w:ascii="宋体" w:hAnsi="宋体"/>
                <w:b/>
                <w:sz w:val="24"/>
              </w:rPr>
              <w:t>公司业绩在三季度反弹的驱动力是什么？</w:t>
            </w:r>
          </w:p>
          <w:p w14:paraId="21EE27A9"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第三季度业绩触底反弹主要受到3个因素驱动：第一个是市场端，国内市场进一步企稳，随着下半年公司订单的持续交付，第三季度公司国内业务表现环比第二季度提升；第二个是产业端，低温存储产业受益于海外持续发展、国内份额提升、场景化市场机遇的把握，实验室解决方案、智慧用药、血液技术等新产业受益于国内市场份额提升、海外持续拓展，四大产业第三季度环比第二季度均实现提升；第三个是创新端，公司继续推进“AI+”深度</w:t>
            </w:r>
            <w:proofErr w:type="gramStart"/>
            <w:r>
              <w:rPr>
                <w:rFonts w:ascii="宋体" w:hAnsi="宋体"/>
                <w:bCs/>
                <w:sz w:val="24"/>
              </w:rPr>
              <w:t>融合四</w:t>
            </w:r>
            <w:proofErr w:type="gramEnd"/>
            <w:r>
              <w:rPr>
                <w:rFonts w:ascii="宋体" w:hAnsi="宋体"/>
                <w:bCs/>
                <w:sz w:val="24"/>
              </w:rPr>
              <w:t>大产业，支撑公司的产品和场景方案实现“人无我有、人有我优”，成为公司提升市场份额、创造用户增值的重要引擎，</w:t>
            </w:r>
            <w:proofErr w:type="gramStart"/>
            <w:r>
              <w:rPr>
                <w:rFonts w:ascii="宋体" w:hAnsi="宋体"/>
                <w:bCs/>
                <w:sz w:val="24"/>
              </w:rPr>
              <w:t>例如数智自动化</w:t>
            </w:r>
            <w:proofErr w:type="gramEnd"/>
            <w:r>
              <w:rPr>
                <w:rFonts w:ascii="宋体" w:hAnsi="宋体"/>
                <w:bCs/>
                <w:sz w:val="24"/>
              </w:rPr>
              <w:t>样本方案前三季度实现了翻番增长。而随着营业收入增长、业务结构升级和产品竞争力提升，第三季度盈利能力也相应实现了恢复性提升。</w:t>
            </w:r>
          </w:p>
          <w:p w14:paraId="48744547" w14:textId="77777777" w:rsidR="00853613" w:rsidRDefault="00853613" w:rsidP="00853613">
            <w:pPr>
              <w:numPr>
                <w:ilvl w:val="0"/>
                <w:numId w:val="3"/>
              </w:numPr>
              <w:spacing w:beforeLines="50" w:before="156" w:line="360" w:lineRule="auto"/>
              <w:ind w:left="0" w:firstLineChars="200" w:firstLine="482"/>
              <w:jc w:val="left"/>
              <w:rPr>
                <w:rFonts w:ascii="宋体" w:hAnsi="宋体"/>
                <w:b/>
                <w:sz w:val="24"/>
              </w:rPr>
            </w:pPr>
            <w:r>
              <w:rPr>
                <w:rFonts w:ascii="宋体" w:hAnsi="宋体"/>
                <w:b/>
                <w:sz w:val="24"/>
              </w:rPr>
              <w:lastRenderedPageBreak/>
              <w:t>公司海外市场增长很强劲，原因是什么？各区域表现情况怎么样？未来增长可以持续吗？</w:t>
            </w:r>
          </w:p>
          <w:p w14:paraId="2F928831"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尊敬的投资者您好，前三季度公司海外市场同比增长20%，其中欧洲、亚洲</w:t>
            </w:r>
            <w:proofErr w:type="gramStart"/>
            <w:r>
              <w:rPr>
                <w:rFonts w:ascii="宋体" w:hAnsi="宋体"/>
                <w:bCs/>
                <w:sz w:val="24"/>
              </w:rPr>
              <w:t>区域高双位数</w:t>
            </w:r>
            <w:proofErr w:type="gramEnd"/>
            <w:r>
              <w:rPr>
                <w:rFonts w:ascii="宋体" w:hAnsi="宋体"/>
                <w:bCs/>
                <w:sz w:val="24"/>
              </w:rPr>
              <w:t>增长，美洲区域低双位数增长，非洲区域</w:t>
            </w:r>
            <w:proofErr w:type="gramStart"/>
            <w:r>
              <w:rPr>
                <w:rFonts w:ascii="宋体" w:hAnsi="宋体"/>
                <w:bCs/>
                <w:sz w:val="24"/>
              </w:rPr>
              <w:t>个</w:t>
            </w:r>
            <w:proofErr w:type="gramEnd"/>
            <w:r>
              <w:rPr>
                <w:rFonts w:ascii="宋体" w:hAnsi="宋体"/>
                <w:bCs/>
                <w:sz w:val="24"/>
              </w:rPr>
              <w:t>位数增长。作为国内医药生物行业较早出海的企业，公司多年来全球化战略的落地成果显著，2016年到2024年公司海外收入的复合增长率超过20%，截至目前海外市场收入占公司整体收入的比重已超过35%。 海外业务的高增长主要得益于广阔的海外市场空间下，公司多年深耕的本土化运营体系和持续拓展的产品品类优势得以不断放大。目前公司已实现18个国家的本地化部署，累计近400个产品型号获得境外注册认证。未来，公司将加快各产业产品的本地化注册认证进程，着力深化与拓展当地</w:t>
            </w:r>
            <w:proofErr w:type="gramStart"/>
            <w:r>
              <w:rPr>
                <w:rFonts w:ascii="宋体" w:hAnsi="宋体"/>
                <w:bCs/>
                <w:sz w:val="24"/>
              </w:rPr>
              <w:t>化国家</w:t>
            </w:r>
            <w:proofErr w:type="gramEnd"/>
            <w:r>
              <w:rPr>
                <w:rFonts w:ascii="宋体" w:hAnsi="宋体"/>
                <w:bCs/>
                <w:sz w:val="24"/>
              </w:rPr>
              <w:t>布局，预计海外收入有望</w:t>
            </w:r>
            <w:proofErr w:type="gramStart"/>
            <w:r>
              <w:rPr>
                <w:rFonts w:ascii="宋体" w:hAnsi="宋体"/>
                <w:bCs/>
                <w:sz w:val="24"/>
              </w:rPr>
              <w:t>延续高</w:t>
            </w:r>
            <w:proofErr w:type="gramEnd"/>
            <w:r>
              <w:rPr>
                <w:rFonts w:ascii="宋体" w:hAnsi="宋体"/>
                <w:bCs/>
                <w:sz w:val="24"/>
              </w:rPr>
              <w:t>增长。</w:t>
            </w:r>
          </w:p>
          <w:p w14:paraId="237F79A6" w14:textId="77777777" w:rsidR="00853613" w:rsidRDefault="00853613" w:rsidP="00853613">
            <w:pPr>
              <w:numPr>
                <w:ilvl w:val="0"/>
                <w:numId w:val="3"/>
              </w:numPr>
              <w:spacing w:beforeLines="50" w:before="156" w:line="360" w:lineRule="auto"/>
              <w:ind w:left="0" w:firstLineChars="200" w:firstLine="482"/>
              <w:jc w:val="left"/>
              <w:rPr>
                <w:rFonts w:ascii="宋体" w:hAnsi="宋体"/>
                <w:b/>
                <w:sz w:val="24"/>
              </w:rPr>
            </w:pPr>
            <w:proofErr w:type="gramStart"/>
            <w:r>
              <w:rPr>
                <w:rFonts w:ascii="宋体" w:hAnsi="宋体"/>
                <w:b/>
                <w:sz w:val="24"/>
              </w:rPr>
              <w:t>从渠道</w:t>
            </w:r>
            <w:proofErr w:type="gramEnd"/>
            <w:r>
              <w:rPr>
                <w:rFonts w:ascii="宋体" w:hAnsi="宋体"/>
                <w:b/>
                <w:sz w:val="24"/>
              </w:rPr>
              <w:t>看，国内各渠道恢复情况以及潜在的发展机会如何？</w:t>
            </w:r>
          </w:p>
          <w:p w14:paraId="6C6A9178"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尊敬的投资者您好，从当前情况来看国内市场进一步企稳，公司第三季度国内收入基本与同期持平，前三季度国内收入同比</w:t>
            </w:r>
            <w:proofErr w:type="gramStart"/>
            <w:r>
              <w:rPr>
                <w:rFonts w:ascii="宋体" w:hAnsi="宋体"/>
                <w:bCs/>
                <w:sz w:val="24"/>
              </w:rPr>
              <w:t>降幅收</w:t>
            </w:r>
            <w:proofErr w:type="gramEnd"/>
            <w:r>
              <w:rPr>
                <w:rFonts w:ascii="宋体" w:hAnsi="宋体"/>
                <w:bCs/>
                <w:sz w:val="24"/>
              </w:rPr>
              <w:t>窄至10.48%，展现出渐进复苏态势。</w:t>
            </w:r>
            <w:proofErr w:type="gramStart"/>
            <w:r>
              <w:rPr>
                <w:rFonts w:ascii="宋体" w:hAnsi="宋体"/>
                <w:bCs/>
                <w:sz w:val="24"/>
              </w:rPr>
              <w:t>从渠道</w:t>
            </w:r>
            <w:proofErr w:type="gramEnd"/>
            <w:r>
              <w:rPr>
                <w:rFonts w:ascii="宋体" w:hAnsi="宋体"/>
                <w:bCs/>
                <w:sz w:val="24"/>
              </w:rPr>
              <w:t>角度看，得益于国家对高校科研机构的重视以及新药研发市场的活跃，高科和制药渠道持续稳步发展，2025年前三季度，以</w:t>
            </w:r>
            <w:proofErr w:type="gramStart"/>
            <w:r>
              <w:rPr>
                <w:rFonts w:ascii="宋体" w:hAnsi="宋体"/>
                <w:bCs/>
                <w:sz w:val="24"/>
              </w:rPr>
              <w:t>数智样本库解决</w:t>
            </w:r>
            <w:proofErr w:type="gramEnd"/>
            <w:r>
              <w:rPr>
                <w:rFonts w:ascii="宋体" w:hAnsi="宋体"/>
                <w:bCs/>
                <w:sz w:val="24"/>
              </w:rPr>
              <w:t>方案为代表的综合解决方案落地广州实验室、北京昌平实验室、山东中医药大学等科研机构；在医院和</w:t>
            </w:r>
            <w:proofErr w:type="gramStart"/>
            <w:r>
              <w:rPr>
                <w:rFonts w:ascii="宋体" w:hAnsi="宋体"/>
                <w:bCs/>
                <w:sz w:val="24"/>
              </w:rPr>
              <w:t>疾控</w:t>
            </w:r>
            <w:proofErr w:type="gramEnd"/>
            <w:r>
              <w:rPr>
                <w:rFonts w:ascii="宋体" w:hAnsi="宋体"/>
                <w:bCs/>
                <w:sz w:val="24"/>
              </w:rPr>
              <w:t>端，尽管当前仍存在一定压力，但是医疗新基建持续推进、县域医疗体系改革等带动了结构性的机会，公司商机漏斗正在逐渐提升。公司将积极推进在手项目转化，以促进国内市场业务持续稳定发展。</w:t>
            </w:r>
          </w:p>
          <w:p w14:paraId="4F5BA353" w14:textId="77777777" w:rsidR="00853613" w:rsidRDefault="00853613" w:rsidP="00853613">
            <w:pPr>
              <w:numPr>
                <w:ilvl w:val="0"/>
                <w:numId w:val="3"/>
              </w:numPr>
              <w:spacing w:beforeLines="50" w:before="156" w:line="360" w:lineRule="auto"/>
              <w:ind w:left="0" w:firstLineChars="200" w:firstLine="482"/>
              <w:jc w:val="left"/>
              <w:rPr>
                <w:rFonts w:ascii="宋体" w:hAnsi="宋体"/>
                <w:b/>
                <w:sz w:val="24"/>
              </w:rPr>
            </w:pPr>
            <w:r>
              <w:rPr>
                <w:rFonts w:ascii="宋体" w:hAnsi="宋体"/>
                <w:b/>
                <w:sz w:val="24"/>
              </w:rPr>
              <w:t>请问公司在AI方面有哪些成果？这些成果能对公司</w:t>
            </w:r>
            <w:r>
              <w:rPr>
                <w:rFonts w:ascii="宋体" w:hAnsi="宋体"/>
                <w:b/>
                <w:sz w:val="24"/>
              </w:rPr>
              <w:lastRenderedPageBreak/>
              <w:t>的产品竞争力带来怎样的提升呢？</w:t>
            </w:r>
          </w:p>
          <w:p w14:paraId="09959560"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尊敬的投资者您好，公司持续强化AI底座，以“大模型-智能体-AI终端”的多层次架构构筑AI科技体系与生命科学和医疗创新场景深度融合的产业新范式。 在大模型端，公司基于高质量数据集打造</w:t>
            </w:r>
            <w:proofErr w:type="gramStart"/>
            <w:r>
              <w:rPr>
                <w:rFonts w:ascii="宋体" w:hAnsi="宋体"/>
                <w:bCs/>
                <w:sz w:val="24"/>
              </w:rPr>
              <w:t>了盈康大脑</w:t>
            </w:r>
            <w:proofErr w:type="gramEnd"/>
            <w:r>
              <w:rPr>
                <w:rFonts w:ascii="宋体" w:hAnsi="宋体"/>
                <w:bCs/>
                <w:sz w:val="24"/>
              </w:rPr>
              <w:t>基础大模型（</w:t>
            </w:r>
            <w:proofErr w:type="spellStart"/>
            <w:r>
              <w:rPr>
                <w:rFonts w:ascii="宋体" w:hAnsi="宋体"/>
                <w:bCs/>
                <w:sz w:val="24"/>
              </w:rPr>
              <w:t>IncGPT</w:t>
            </w:r>
            <w:proofErr w:type="spellEnd"/>
            <w:r>
              <w:rPr>
                <w:rFonts w:ascii="宋体" w:hAnsi="宋体"/>
                <w:bCs/>
                <w:sz w:val="24"/>
              </w:rPr>
              <w:t>），聚焦公司四大产业以及多个场景。 在智能体端，公司根据大模型在不同产业下的需求、数据催生出高度专业化、场景化的智能体，目前已经形成实验室安全智能体、实验助手智能体、补药智能体、细胞培养智能体等17个智能体集群。 在AI终端，公司依托用药自动化解决方案、样本</w:t>
            </w:r>
            <w:proofErr w:type="gramStart"/>
            <w:r>
              <w:rPr>
                <w:rFonts w:ascii="宋体" w:hAnsi="宋体"/>
                <w:bCs/>
                <w:sz w:val="24"/>
              </w:rPr>
              <w:t>库解决</w:t>
            </w:r>
            <w:proofErr w:type="gramEnd"/>
            <w:r>
              <w:rPr>
                <w:rFonts w:ascii="宋体" w:hAnsi="宋体"/>
                <w:bCs/>
                <w:sz w:val="24"/>
              </w:rPr>
              <w:t>方案、全自动细胞培养工作站等13个高度数智自动化的软硬件体系，让AI真正融入用户的医疗决策和科研实验中，形成“感知-认知-决策-执行-学习”的闭环，实现数据、设备和场景的高效协同。 举例来说，在智慧用药产业，公司搭建</w:t>
            </w:r>
            <w:proofErr w:type="gramStart"/>
            <w:r>
              <w:rPr>
                <w:rFonts w:ascii="宋体" w:hAnsi="宋体"/>
                <w:bCs/>
                <w:sz w:val="24"/>
              </w:rPr>
              <w:t>适</w:t>
            </w:r>
            <w:proofErr w:type="gramEnd"/>
            <w:r>
              <w:rPr>
                <w:rFonts w:ascii="宋体" w:hAnsi="宋体"/>
                <w:bCs/>
                <w:sz w:val="24"/>
              </w:rPr>
              <w:t>配药房自动化场景的</w:t>
            </w:r>
            <w:proofErr w:type="spellStart"/>
            <w:r>
              <w:rPr>
                <w:rFonts w:ascii="宋体" w:hAnsi="宋体"/>
                <w:bCs/>
                <w:sz w:val="24"/>
              </w:rPr>
              <w:t>IncGPT</w:t>
            </w:r>
            <w:proofErr w:type="spellEnd"/>
            <w:r>
              <w:rPr>
                <w:rFonts w:ascii="宋体" w:hAnsi="宋体"/>
                <w:bCs/>
                <w:sz w:val="24"/>
              </w:rPr>
              <w:t>-Med模型，构建药房库管、自动补药、药物识别、合理用药、智能分拣等智能体，减少了大量手工操作和人工核对，并进一步探索AI辅助合理用药和AI药品周转管理，发药效率提升10%-15%；在实验室解决方案产业，公司自</w:t>
            </w:r>
            <w:proofErr w:type="gramStart"/>
            <w:r>
              <w:rPr>
                <w:rFonts w:ascii="宋体" w:hAnsi="宋体"/>
                <w:bCs/>
                <w:sz w:val="24"/>
              </w:rPr>
              <w:t>研</w:t>
            </w:r>
            <w:proofErr w:type="gramEnd"/>
            <w:r>
              <w:rPr>
                <w:rFonts w:ascii="宋体" w:hAnsi="宋体"/>
                <w:bCs/>
                <w:sz w:val="24"/>
              </w:rPr>
              <w:t>深度适配实验室场景的AI科研服务大模型，自主开发智能安全、实验助手、智能调度、细胞培养等智能体，致力于解放科研人力、降低人为误差，同时提升实验的通量、速度和可重复性，当前智能安全智能体可识别涵盖58种场景的30类高危行为。</w:t>
            </w:r>
          </w:p>
          <w:p w14:paraId="4A903EC5" w14:textId="77777777" w:rsidR="00853613" w:rsidRDefault="00853613" w:rsidP="00853613">
            <w:pPr>
              <w:numPr>
                <w:ilvl w:val="0"/>
                <w:numId w:val="3"/>
              </w:numPr>
              <w:spacing w:beforeLines="50" w:before="156" w:line="360" w:lineRule="auto"/>
              <w:ind w:left="0" w:firstLineChars="200" w:firstLine="482"/>
              <w:jc w:val="left"/>
              <w:rPr>
                <w:rFonts w:ascii="宋体" w:hAnsi="宋体"/>
                <w:b/>
                <w:sz w:val="24"/>
              </w:rPr>
            </w:pPr>
            <w:r>
              <w:rPr>
                <w:rFonts w:ascii="宋体" w:hAnsi="宋体"/>
                <w:b/>
                <w:sz w:val="24"/>
              </w:rPr>
              <w:t>公司实验室解决方案产业进展如何，后续如何展望？</w:t>
            </w:r>
          </w:p>
          <w:p w14:paraId="1AC4DC91"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尊敬的投资者您好，前三季度，在整体行业承压的背景下，得益于国内市场份额提升和海外市场的快速发展，实验室解决方案实现个位数增长，展现出良好的韧性。在国内，根据国内各主要招标</w:t>
            </w:r>
            <w:proofErr w:type="gramStart"/>
            <w:r>
              <w:rPr>
                <w:rFonts w:ascii="宋体" w:hAnsi="宋体"/>
                <w:bCs/>
                <w:sz w:val="24"/>
              </w:rPr>
              <w:t>网公开</w:t>
            </w:r>
            <w:proofErr w:type="gramEnd"/>
            <w:r>
              <w:rPr>
                <w:rFonts w:ascii="宋体" w:hAnsi="宋体"/>
                <w:bCs/>
                <w:sz w:val="24"/>
              </w:rPr>
              <w:t>数据统计，培养箱、安全柜、离心机系列产品的市场份额稳步提升；并持续打造差异化的AI场景</w:t>
            </w:r>
            <w:r>
              <w:rPr>
                <w:rFonts w:ascii="宋体" w:hAnsi="宋体"/>
                <w:bCs/>
                <w:sz w:val="24"/>
              </w:rPr>
              <w:lastRenderedPageBreak/>
              <w:t>方案竞争力。融合计算机自学习网络模型，公司继续迭代自动化细胞培养工作站场景方案，实现细胞培养生长状态实时可控和精准判断，可使细胞批次间差异性波动下降54个百分点，目前相关方案已落地海南、内蒙古等地用户。在海外，依托本地化体系、产品竞争力和全球化品牌效应，接连实现新区域、新用户的突破，如灭菌器进入拉美主流销售网络，离心机在澳大利亚、印度实现突破。未来,在全球实验室解决方案广阔的空间下，公司将持续把握国产化和出海的双重机遇，重点布局高端产品品类和AI技术升级，推动实验室解决方案迈向高价值增长通道。</w:t>
            </w:r>
          </w:p>
          <w:p w14:paraId="0D4E67B8" w14:textId="77777777" w:rsidR="00853613" w:rsidRDefault="00853613" w:rsidP="00853613">
            <w:pPr>
              <w:numPr>
                <w:ilvl w:val="0"/>
                <w:numId w:val="3"/>
              </w:numPr>
              <w:spacing w:beforeLines="50" w:before="156" w:line="360" w:lineRule="auto"/>
              <w:ind w:left="0" w:firstLineChars="200" w:firstLine="482"/>
              <w:jc w:val="left"/>
              <w:rPr>
                <w:rFonts w:ascii="宋体" w:hAnsi="宋体"/>
                <w:b/>
                <w:sz w:val="24"/>
              </w:rPr>
            </w:pPr>
            <w:r>
              <w:rPr>
                <w:rFonts w:ascii="宋体" w:hAnsi="宋体"/>
                <w:b/>
                <w:sz w:val="24"/>
              </w:rPr>
              <w:t>公司血液技术这方面的市场空间如何，公司未来是如何规划这个产业的？</w:t>
            </w:r>
          </w:p>
          <w:p w14:paraId="13EDA46F"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尊敬的投资者您好，根据QYR（恒</w:t>
            </w:r>
            <w:proofErr w:type="gramStart"/>
            <w:r>
              <w:rPr>
                <w:rFonts w:ascii="宋体" w:hAnsi="宋体"/>
                <w:bCs/>
                <w:sz w:val="24"/>
              </w:rPr>
              <w:t>州博智</w:t>
            </w:r>
            <w:proofErr w:type="gramEnd"/>
            <w:r>
              <w:rPr>
                <w:rFonts w:ascii="宋体" w:hAnsi="宋体"/>
                <w:bCs/>
                <w:sz w:val="24"/>
              </w:rPr>
              <w:t>）的公开数据，2030年全球血液制品市场空间预计将达到508亿美元，年复合增长率为7.6%（2024-2030），公司血液技术产业作为血制品产业的上游，依托市场占有率的提升、海外市场拓展，整体表现预计快于行业。 公司在国内采浆耗材市场占有率保持第一份额，并重点聚焦海外巨大的市场空间，积极布局产品方案海外认证，目前采浆耗材已成功获得MDR认证，采</w:t>
            </w:r>
            <w:proofErr w:type="gramStart"/>
            <w:r>
              <w:rPr>
                <w:rFonts w:ascii="宋体" w:hAnsi="宋体"/>
                <w:bCs/>
                <w:sz w:val="24"/>
              </w:rPr>
              <w:t>浆设备</w:t>
            </w:r>
            <w:proofErr w:type="gramEnd"/>
            <w:r>
              <w:rPr>
                <w:rFonts w:ascii="宋体" w:hAnsi="宋体"/>
                <w:bCs/>
                <w:sz w:val="24"/>
              </w:rPr>
              <w:t>的MDR认证和采</w:t>
            </w:r>
            <w:proofErr w:type="gramStart"/>
            <w:r>
              <w:rPr>
                <w:rFonts w:ascii="宋体" w:hAnsi="宋体"/>
                <w:bCs/>
                <w:sz w:val="24"/>
              </w:rPr>
              <w:t>浆整体</w:t>
            </w:r>
            <w:proofErr w:type="gramEnd"/>
            <w:r>
              <w:rPr>
                <w:rFonts w:ascii="宋体" w:hAnsi="宋体"/>
                <w:bCs/>
                <w:sz w:val="24"/>
              </w:rPr>
              <w:t>方案的FDA认证也在持续进行中，预计明年有望 获得批准。 在此基础上，血液技术板块致力于推动智慧血液场景方案从“末端防护”向“全流程保障”迈进，积极布局中高端耗材和血液治疗方案。针对耗材领域，公司积极开展血液相关耗材的拓展，今年公司推出了一次性使用去白细胞塑料血袋，目前该产品已获得国家药监局Ⅲ类医疗器械注册证；在设备领域，公司正在不断完善产品矩阵，新上市全自动血液成分分离机，不断</w:t>
            </w:r>
            <w:proofErr w:type="gramStart"/>
            <w:r>
              <w:rPr>
                <w:rFonts w:ascii="宋体" w:hAnsi="宋体"/>
                <w:bCs/>
                <w:sz w:val="24"/>
              </w:rPr>
              <w:t>丰富采</w:t>
            </w:r>
            <w:proofErr w:type="gramEnd"/>
            <w:r>
              <w:rPr>
                <w:rFonts w:ascii="宋体" w:hAnsi="宋体"/>
                <w:bCs/>
                <w:sz w:val="24"/>
              </w:rPr>
              <w:t>供血场景解决方案。</w:t>
            </w:r>
          </w:p>
          <w:p w14:paraId="1EC9FEB5" w14:textId="77777777" w:rsidR="00853613" w:rsidRDefault="00853613" w:rsidP="00853613">
            <w:pPr>
              <w:numPr>
                <w:ilvl w:val="0"/>
                <w:numId w:val="3"/>
              </w:numPr>
              <w:spacing w:beforeLines="50" w:before="156" w:line="360" w:lineRule="auto"/>
              <w:ind w:left="0" w:firstLineChars="200" w:firstLine="482"/>
              <w:jc w:val="left"/>
              <w:rPr>
                <w:rFonts w:ascii="宋体" w:hAnsi="宋体"/>
                <w:b/>
                <w:sz w:val="24"/>
              </w:rPr>
            </w:pPr>
            <w:r>
              <w:rPr>
                <w:rFonts w:ascii="宋体" w:hAnsi="宋体"/>
                <w:b/>
                <w:sz w:val="24"/>
              </w:rPr>
              <w:t>请管理层更新一下智慧用药产业进展情况</w:t>
            </w:r>
          </w:p>
          <w:p w14:paraId="463D2B10"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lastRenderedPageBreak/>
              <w:t>答:</w:t>
            </w:r>
            <w:r>
              <w:rPr>
                <w:rFonts w:ascii="宋体" w:hAnsi="宋体"/>
                <w:bCs/>
                <w:sz w:val="24"/>
              </w:rPr>
              <w:t>尊敬的投资者您好，针对智慧用药业务，公司致力于打造智慧</w:t>
            </w:r>
            <w:proofErr w:type="gramStart"/>
            <w:r>
              <w:rPr>
                <w:rFonts w:ascii="宋体" w:hAnsi="宋体"/>
                <w:bCs/>
                <w:sz w:val="24"/>
              </w:rPr>
              <w:t>用药全</w:t>
            </w:r>
            <w:proofErr w:type="gramEnd"/>
            <w:r>
              <w:rPr>
                <w:rFonts w:ascii="宋体" w:hAnsi="宋体"/>
                <w:bCs/>
                <w:sz w:val="24"/>
              </w:rPr>
              <w:t>场景数字智能解决方案，推动传统的药品供应调剂模式向以患者为中心的服务模式转型，凭借AI视觉识别技术、高速运动控制技术以及多机械手仿生控制技术等，不断迭代门诊/住院药房场景方案、</w:t>
            </w:r>
            <w:proofErr w:type="gramStart"/>
            <w:r>
              <w:rPr>
                <w:rFonts w:ascii="宋体" w:hAnsi="宋体"/>
                <w:bCs/>
                <w:sz w:val="24"/>
              </w:rPr>
              <w:t>静配中心</w:t>
            </w:r>
            <w:proofErr w:type="gramEnd"/>
            <w:r>
              <w:rPr>
                <w:rFonts w:ascii="宋体" w:hAnsi="宋体"/>
                <w:bCs/>
                <w:sz w:val="24"/>
              </w:rPr>
              <w:t>场景方案。 公司在AI和自动化领域的技术优势为国内外拓展提供了有力支撑。在国内，公司依托场景方案的综合竞争优势，三季度新增陕西省人民医院等20多家用户，累计服务400多家医疗服务机构。在海外，公司积极布局海外市场拓展，阶段性成果显著，在东南亚区域，公司已与泰国三大私立医院集团之一的RAM医疗集团（Ramkhamhaeng Hospital Group）签署战略合作协议，率先试点药房自动化解决方案，覆盖门诊药房（OPD）自动化系统、智能库存管理模块，并开发集成化工作流程与分析工具，为当地医疗服务机构提供高效、智能的用药管理方案；在越南，公司与越南知名脑卒中治疗中心S.I.S芹</w:t>
            </w:r>
            <w:proofErr w:type="gramStart"/>
            <w:r>
              <w:rPr>
                <w:rFonts w:ascii="宋体" w:hAnsi="宋体"/>
                <w:bCs/>
                <w:sz w:val="24"/>
              </w:rPr>
              <w:t>苴</w:t>
            </w:r>
            <w:proofErr w:type="gramEnd"/>
            <w:r>
              <w:rPr>
                <w:rFonts w:ascii="宋体" w:hAnsi="宋体"/>
                <w:bCs/>
                <w:sz w:val="24"/>
              </w:rPr>
              <w:t>国际综合医院（S.I.S International Hospital）及越南越</w:t>
            </w:r>
            <w:proofErr w:type="gramStart"/>
            <w:r>
              <w:rPr>
                <w:rFonts w:ascii="宋体" w:hAnsi="宋体"/>
                <w:bCs/>
                <w:sz w:val="24"/>
              </w:rPr>
              <w:t>进医疗</w:t>
            </w:r>
            <w:proofErr w:type="gramEnd"/>
            <w:r>
              <w:rPr>
                <w:rFonts w:ascii="宋体" w:hAnsi="宋体"/>
                <w:bCs/>
                <w:sz w:val="24"/>
              </w:rPr>
              <w:t>有限公司（VT healthcare）达成战略合作，共同推动越南首个“医院用药全流程数智化解决方案”落地。</w:t>
            </w:r>
          </w:p>
          <w:p w14:paraId="33A9DF54" w14:textId="77777777" w:rsidR="00853613" w:rsidRDefault="00853613" w:rsidP="00853613">
            <w:pPr>
              <w:numPr>
                <w:ilvl w:val="0"/>
                <w:numId w:val="3"/>
              </w:numPr>
              <w:spacing w:beforeLines="50" w:before="156" w:line="360" w:lineRule="auto"/>
              <w:ind w:left="0" w:firstLineChars="200" w:firstLine="482"/>
              <w:jc w:val="left"/>
              <w:rPr>
                <w:rFonts w:ascii="宋体" w:hAnsi="宋体"/>
                <w:b/>
                <w:sz w:val="24"/>
              </w:rPr>
            </w:pPr>
            <w:r>
              <w:rPr>
                <w:rFonts w:ascii="宋体" w:hAnsi="宋体"/>
                <w:b/>
                <w:sz w:val="24"/>
              </w:rPr>
              <w:t>公司低温存储产业第三季度转正的原因是什么？</w:t>
            </w:r>
          </w:p>
          <w:p w14:paraId="16E95D2E"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尊敬的投资者您好，2025年前三季度，公司通过全球化拓展和场景化升级，积极应对行业波动，前三季度国内低温存储的市场份额持续提升（根据国内各主要招标</w:t>
            </w:r>
            <w:proofErr w:type="gramStart"/>
            <w:r>
              <w:rPr>
                <w:rFonts w:ascii="宋体" w:hAnsi="宋体"/>
                <w:bCs/>
                <w:sz w:val="24"/>
              </w:rPr>
              <w:t>网公开</w:t>
            </w:r>
            <w:proofErr w:type="gramEnd"/>
            <w:r>
              <w:rPr>
                <w:rFonts w:ascii="宋体" w:hAnsi="宋体"/>
                <w:bCs/>
                <w:sz w:val="24"/>
              </w:rPr>
              <w:t>数据统计），公司自动化样本场景方案保持翻番增长。海外市场方面，产品方案在全球市场的持续突破，超</w:t>
            </w:r>
            <w:proofErr w:type="gramStart"/>
            <w:r>
              <w:rPr>
                <w:rFonts w:ascii="宋体" w:hAnsi="宋体"/>
                <w:bCs/>
                <w:sz w:val="24"/>
              </w:rPr>
              <w:t>能系列</w:t>
            </w:r>
            <w:proofErr w:type="gramEnd"/>
            <w:r>
              <w:rPr>
                <w:rFonts w:ascii="宋体" w:hAnsi="宋体"/>
                <w:bCs/>
                <w:sz w:val="24"/>
              </w:rPr>
              <w:t>超低温样本</w:t>
            </w:r>
            <w:proofErr w:type="gramStart"/>
            <w:r>
              <w:rPr>
                <w:rFonts w:ascii="宋体" w:hAnsi="宋体"/>
                <w:bCs/>
                <w:sz w:val="24"/>
              </w:rPr>
              <w:t>库解决</w:t>
            </w:r>
            <w:proofErr w:type="gramEnd"/>
            <w:r>
              <w:rPr>
                <w:rFonts w:ascii="宋体" w:hAnsi="宋体"/>
                <w:bCs/>
                <w:sz w:val="24"/>
              </w:rPr>
              <w:t>方案落地利物浦大学等，液氮罐接连进入剑桥大学、伦敦国王学院等多家全球知名高校与机构。国内市场方面，公司强化AI底座，围绕样本“存-取-用”全场景，构建智能控温、动态盘点、智能备份等智能体，盘点效率提升80%，存取效率提</w:t>
            </w:r>
            <w:r>
              <w:rPr>
                <w:rFonts w:ascii="宋体" w:hAnsi="宋体"/>
                <w:bCs/>
                <w:sz w:val="24"/>
              </w:rPr>
              <w:lastRenderedPageBreak/>
              <w:t>升50%；探索构建深度适配样本库场景的智能中枢，驱动“样本库→课题设计→样本选择→样本质量体系建设”自迭代，提升用户研究效率。</w:t>
            </w:r>
          </w:p>
          <w:p w14:paraId="11A86204" w14:textId="77777777" w:rsidR="00853613" w:rsidRDefault="00853613" w:rsidP="00853613">
            <w:pPr>
              <w:numPr>
                <w:ilvl w:val="0"/>
                <w:numId w:val="3"/>
              </w:numPr>
              <w:spacing w:beforeLines="50" w:before="156" w:line="360" w:lineRule="auto"/>
              <w:ind w:left="0" w:firstLineChars="200" w:firstLine="482"/>
              <w:jc w:val="left"/>
              <w:rPr>
                <w:rFonts w:ascii="宋体" w:hAnsi="宋体"/>
                <w:b/>
                <w:sz w:val="24"/>
              </w:rPr>
            </w:pPr>
            <w:r>
              <w:rPr>
                <w:rFonts w:ascii="宋体" w:hAnsi="宋体"/>
                <w:b/>
                <w:sz w:val="24"/>
              </w:rPr>
              <w:t>想了解下公司四大产业全年的增长预期</w:t>
            </w:r>
          </w:p>
          <w:p w14:paraId="03C4DEB1"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公司低温存储产业得益于场景化趋势把握和全球化发展，预计全年降幅将进一步收窄；实验室解决方案产业在行业承压的情况下，将凭借国内市场份额提升和海外市场快速发展，继续展现出优于行业的发展态势；智慧用药产业得益于公司国内市场协同效应发挥以及海外市场的加快拓展，下半年订单交付逐渐加速，预计全年双位数增长；血液技术产业整体增速表现仍优于采浆增速，预计全年能够实现双位数增长。</w:t>
            </w:r>
          </w:p>
          <w:p w14:paraId="329FD85C" w14:textId="77777777" w:rsidR="00853613" w:rsidRDefault="00853613" w:rsidP="00853613">
            <w:pPr>
              <w:numPr>
                <w:ilvl w:val="0"/>
                <w:numId w:val="3"/>
              </w:numPr>
              <w:spacing w:beforeLines="50" w:before="156" w:line="360" w:lineRule="auto"/>
              <w:ind w:hanging="5"/>
              <w:jc w:val="left"/>
              <w:rPr>
                <w:rFonts w:ascii="宋体" w:hAnsi="宋体"/>
                <w:b/>
                <w:sz w:val="24"/>
              </w:rPr>
            </w:pPr>
            <w:r>
              <w:rPr>
                <w:rFonts w:ascii="宋体" w:hAnsi="宋体"/>
                <w:b/>
                <w:sz w:val="24"/>
              </w:rPr>
              <w:t>公司如何看待后续的发展态势？</w:t>
            </w:r>
          </w:p>
          <w:p w14:paraId="393C13C5"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公司在国内与海外市场均面临广阔机遇。在国内，公司各产业都有很大的份额提升空间，尤其是实验室解决方案等产业国产化空间显著；在海外，优势产业低温存储的市场占有率尚不足10%，而实验室解决方案、自动化用药及血液技术等新兴业务的增长潜力则更为巨大。 在此基础上，公司将继续坚持以技术为基、以场景为核，以全球化引擎加快发展进程；并基于“大市场、小细分、多产品、多应用”的行业特点，通过内生和外延的双轮驱动补强现有产业、扩大业务边界，重塑产业发展格局。 基于行业的常态化发展和公司核心竞争力的提升，经初步测算，从年度趋势上看：收入端在2025年确认拐点；利润端有望在2026年迎来拐点（以上预测依据目前可获得的公开信息及管理</w:t>
            </w:r>
            <w:proofErr w:type="gramStart"/>
            <w:r>
              <w:rPr>
                <w:rFonts w:ascii="宋体" w:hAnsi="宋体"/>
                <w:bCs/>
                <w:sz w:val="24"/>
              </w:rPr>
              <w:t>层初步</w:t>
            </w:r>
            <w:proofErr w:type="gramEnd"/>
            <w:r>
              <w:rPr>
                <w:rFonts w:ascii="宋体" w:hAnsi="宋体"/>
                <w:bCs/>
                <w:sz w:val="24"/>
              </w:rPr>
              <w:t>测算</w:t>
            </w:r>
            <w:proofErr w:type="gramStart"/>
            <w:r>
              <w:rPr>
                <w:rFonts w:ascii="宋体" w:hAnsi="宋体"/>
                <w:bCs/>
                <w:sz w:val="24"/>
              </w:rPr>
              <w:t>作出</w:t>
            </w:r>
            <w:proofErr w:type="gramEnd"/>
            <w:r>
              <w:rPr>
                <w:rFonts w:ascii="宋体" w:hAnsi="宋体"/>
                <w:bCs/>
                <w:sz w:val="24"/>
              </w:rPr>
              <w:t>，不构成公司对任何投资者或第三方的业绩承诺、盈利预测或前瞻性陈述，敬请投资者注意风险）。</w:t>
            </w:r>
          </w:p>
          <w:p w14:paraId="50CF37F2" w14:textId="77777777" w:rsidR="00853613" w:rsidRDefault="00853613" w:rsidP="00853613">
            <w:pPr>
              <w:numPr>
                <w:ilvl w:val="0"/>
                <w:numId w:val="3"/>
              </w:numPr>
              <w:spacing w:beforeLines="50" w:before="156" w:line="360" w:lineRule="auto"/>
              <w:ind w:left="0" w:firstLine="420"/>
              <w:jc w:val="left"/>
              <w:rPr>
                <w:rFonts w:ascii="宋体" w:hAnsi="宋体"/>
                <w:b/>
                <w:sz w:val="24"/>
              </w:rPr>
            </w:pPr>
            <w:r>
              <w:rPr>
                <w:rFonts w:ascii="宋体" w:hAnsi="宋体"/>
                <w:b/>
                <w:sz w:val="24"/>
              </w:rPr>
              <w:t>有两个关于低温存储的问题，第一个是其目前在公司</w:t>
            </w:r>
            <w:r>
              <w:rPr>
                <w:rFonts w:ascii="宋体" w:hAnsi="宋体"/>
                <w:b/>
                <w:sz w:val="24"/>
              </w:rPr>
              <w:lastRenderedPageBreak/>
              <w:t>营业收入中的占比及2025年全年增速预计；第二是公司对26年低温存储业务的展望及背后驱动因素。谢谢！</w:t>
            </w:r>
          </w:p>
          <w:p w14:paraId="38A20E6A" w14:textId="77777777" w:rsidR="00853613" w:rsidRDefault="00853613" w:rsidP="00853613">
            <w:pPr>
              <w:spacing w:beforeLines="50" w:before="156" w:line="360" w:lineRule="auto"/>
              <w:ind w:firstLineChars="200" w:firstLine="482"/>
              <w:jc w:val="left"/>
              <w:rPr>
                <w:rFonts w:ascii="宋体"/>
                <w:b/>
                <w:bCs/>
                <w:sz w:val="24"/>
              </w:rPr>
            </w:pPr>
            <w:r>
              <w:rPr>
                <w:rFonts w:ascii="宋体" w:hAnsi="宋体"/>
                <w:b/>
                <w:sz w:val="24"/>
              </w:rPr>
              <w:t>答:</w:t>
            </w:r>
            <w:r>
              <w:rPr>
                <w:rFonts w:ascii="宋体" w:hAnsi="宋体"/>
                <w:bCs/>
                <w:sz w:val="24"/>
              </w:rPr>
              <w:t>尊敬的投资者您好，2025年公司低温存储产业占公司总收入</w:t>
            </w:r>
            <w:proofErr w:type="gramStart"/>
            <w:r>
              <w:rPr>
                <w:rFonts w:ascii="宋体" w:hAnsi="宋体"/>
                <w:bCs/>
                <w:sz w:val="24"/>
              </w:rPr>
              <w:t>比重超</w:t>
            </w:r>
            <w:proofErr w:type="gramEnd"/>
            <w:r>
              <w:rPr>
                <w:rFonts w:ascii="宋体" w:hAnsi="宋体"/>
                <w:bCs/>
                <w:sz w:val="24"/>
              </w:rPr>
              <w:t>50%，得益于场景化趋势把握和全球化发展，前三季度低温存储产业</w:t>
            </w:r>
            <w:proofErr w:type="gramStart"/>
            <w:r>
              <w:rPr>
                <w:rFonts w:ascii="宋体" w:hAnsi="宋体"/>
                <w:bCs/>
                <w:sz w:val="24"/>
              </w:rPr>
              <w:t>降幅收</w:t>
            </w:r>
            <w:proofErr w:type="gramEnd"/>
            <w:r>
              <w:rPr>
                <w:rFonts w:ascii="宋体" w:hAnsi="宋体"/>
                <w:bCs/>
                <w:sz w:val="24"/>
              </w:rPr>
              <w:t>窄至6%，第三季度恢复正增长，预计全年降幅将进一步收窄。在海外市场方面，产品方案在全球市场的持续突破，超</w:t>
            </w:r>
            <w:proofErr w:type="gramStart"/>
            <w:r>
              <w:rPr>
                <w:rFonts w:ascii="宋体" w:hAnsi="宋体"/>
                <w:bCs/>
                <w:sz w:val="24"/>
              </w:rPr>
              <w:t>能系列</w:t>
            </w:r>
            <w:proofErr w:type="gramEnd"/>
            <w:r>
              <w:rPr>
                <w:rFonts w:ascii="宋体" w:hAnsi="宋体"/>
                <w:bCs/>
                <w:sz w:val="24"/>
              </w:rPr>
              <w:t>超低温样本</w:t>
            </w:r>
            <w:proofErr w:type="gramStart"/>
            <w:r>
              <w:rPr>
                <w:rFonts w:ascii="宋体" w:hAnsi="宋体"/>
                <w:bCs/>
                <w:sz w:val="24"/>
              </w:rPr>
              <w:t>库解决</w:t>
            </w:r>
            <w:proofErr w:type="gramEnd"/>
            <w:r>
              <w:rPr>
                <w:rFonts w:ascii="宋体" w:hAnsi="宋体"/>
                <w:bCs/>
                <w:sz w:val="24"/>
              </w:rPr>
              <w:t>方案落地利物浦大学等，液氮罐接连进入剑桥大学、伦敦国王学院等多家全球知名高校与机构。在国内市场方面，公司强化AI底座，围绕样本“存-取-用”全场景，构建智能控温、动态盘点、智能备份等智能体，盘点效率提升80%，存取效率提升50%；探索构建深度适配样本库场景的智能中枢，驱动“样本库→课题设计→样本选择→样本质量体系建设”自迭代，提升用户研究效率。</w:t>
            </w:r>
          </w:p>
          <w:p w14:paraId="3C0FC7A2" w14:textId="77777777" w:rsidR="00853613" w:rsidRDefault="00853613" w:rsidP="00853613">
            <w:pPr>
              <w:spacing w:beforeLines="50" w:before="156" w:line="360" w:lineRule="auto"/>
              <w:ind w:leftChars="200" w:left="420"/>
              <w:jc w:val="left"/>
              <w:rPr>
                <w:rFonts w:ascii="宋体" w:hAnsi="宋体"/>
                <w:b/>
                <w:sz w:val="24"/>
              </w:rPr>
            </w:pPr>
            <w:r>
              <w:rPr>
                <w:rFonts w:ascii="宋体" w:hAnsi="宋体" w:hint="eastAsia"/>
                <w:b/>
                <w:sz w:val="24"/>
              </w:rPr>
              <w:t>12.</w:t>
            </w:r>
            <w:r>
              <w:rPr>
                <w:rFonts w:ascii="宋体" w:hAnsi="宋体"/>
                <w:b/>
                <w:sz w:val="24"/>
              </w:rPr>
              <w:t>公司业绩何时能正增长？谢谢</w:t>
            </w:r>
          </w:p>
          <w:p w14:paraId="446A647F"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2025年前三季度，公司实现营业收入17.61亿元。面对复杂多变的全球和行业形势，公司坚持技术创新、场景升级和全球化发展，业绩于第二季度触底后，在第三季度实现反弹。从第三季度看，公司实现营业收入5.66亿元，同比增长1.24%，环比增长11.68%，归属母公司净</w:t>
            </w:r>
            <w:proofErr w:type="gramStart"/>
            <w:r>
              <w:rPr>
                <w:rFonts w:ascii="宋体" w:hAnsi="宋体"/>
                <w:bCs/>
                <w:sz w:val="24"/>
              </w:rPr>
              <w:t>利润环</w:t>
            </w:r>
            <w:proofErr w:type="gramEnd"/>
            <w:r>
              <w:rPr>
                <w:rFonts w:ascii="宋体" w:hAnsi="宋体"/>
                <w:bCs/>
                <w:sz w:val="24"/>
              </w:rPr>
              <w:t>比增长超70%。基于行业的常态化发展和公司核心竞争力的提升，经初步测算，从年度趋势上看：收入端在2025年确认拐点；利润端有望在2026年迎来拐点（以上预测依据目前可获得的公开信息及管理</w:t>
            </w:r>
            <w:proofErr w:type="gramStart"/>
            <w:r>
              <w:rPr>
                <w:rFonts w:ascii="宋体" w:hAnsi="宋体"/>
                <w:bCs/>
                <w:sz w:val="24"/>
              </w:rPr>
              <w:t>层初步</w:t>
            </w:r>
            <w:proofErr w:type="gramEnd"/>
            <w:r>
              <w:rPr>
                <w:rFonts w:ascii="宋体" w:hAnsi="宋体"/>
                <w:bCs/>
                <w:sz w:val="24"/>
              </w:rPr>
              <w:t>测算</w:t>
            </w:r>
            <w:proofErr w:type="gramStart"/>
            <w:r>
              <w:rPr>
                <w:rFonts w:ascii="宋体" w:hAnsi="宋体"/>
                <w:bCs/>
                <w:sz w:val="24"/>
              </w:rPr>
              <w:t>作出</w:t>
            </w:r>
            <w:proofErr w:type="gramEnd"/>
            <w:r>
              <w:rPr>
                <w:rFonts w:ascii="宋体" w:hAnsi="宋体"/>
                <w:bCs/>
                <w:sz w:val="24"/>
              </w:rPr>
              <w:t>，不构成公司对任何投资者或第三方的业绩承诺、盈利预测或前瞻性陈述，敬请投资者注意风险）。</w:t>
            </w:r>
          </w:p>
          <w:p w14:paraId="409E4363" w14:textId="77777777" w:rsidR="00853613" w:rsidRDefault="00853613" w:rsidP="00853613">
            <w:pPr>
              <w:spacing w:beforeLines="50" w:before="156" w:line="360" w:lineRule="auto"/>
              <w:ind w:firstLineChars="200" w:firstLine="482"/>
              <w:jc w:val="left"/>
              <w:rPr>
                <w:rFonts w:ascii="宋体" w:hAnsi="宋体"/>
                <w:b/>
                <w:sz w:val="24"/>
              </w:rPr>
            </w:pPr>
            <w:r>
              <w:rPr>
                <w:rFonts w:ascii="宋体" w:hAnsi="宋体" w:hint="eastAsia"/>
                <w:b/>
                <w:sz w:val="24"/>
              </w:rPr>
              <w:t>13.</w:t>
            </w:r>
            <w:r>
              <w:rPr>
                <w:rFonts w:ascii="宋体" w:hAnsi="宋体"/>
                <w:b/>
                <w:sz w:val="24"/>
              </w:rPr>
              <w:t>你们公司毛利润56.51% 营业收入17.6亿 净利润只有1.98亿 这个怎么解释？</w:t>
            </w:r>
          </w:p>
          <w:p w14:paraId="128C1259"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lastRenderedPageBreak/>
              <w:t>答:</w:t>
            </w:r>
            <w:r>
              <w:rPr>
                <w:rFonts w:ascii="宋体" w:hAnsi="宋体"/>
                <w:bCs/>
                <w:sz w:val="24"/>
              </w:rPr>
              <w:t>尊敬的投资者您好，公司前三季度毛利率为46.51%，公司盈利能力前三季度受外部环境、新建产能爬坡和公司主动中长期战略投入等因素综合影响；第三季度随着营业收入增长、业务结构升级和产品竞争力提升，盈利能力恢复性提升。第三季度毛利率为46.99%，环比提升3.53个百分点；在净利端，第三季度归母</w:t>
            </w:r>
            <w:proofErr w:type="gramStart"/>
            <w:r>
              <w:rPr>
                <w:rFonts w:ascii="宋体" w:hAnsi="宋体"/>
                <w:bCs/>
                <w:sz w:val="24"/>
              </w:rPr>
              <w:t>净利率环</w:t>
            </w:r>
            <w:proofErr w:type="gramEnd"/>
            <w:r>
              <w:rPr>
                <w:rFonts w:ascii="宋体" w:hAnsi="宋体"/>
                <w:bCs/>
                <w:sz w:val="24"/>
              </w:rPr>
              <w:t>比提升3.43个百分点。随着行业的常态化发展和公司核心竞争力的提升、新建产能逐步释放和创新品类加速放量，利润端有望在2026年迎来拐点（上述内容依据目前可获得的公开信息及管理</w:t>
            </w:r>
            <w:proofErr w:type="gramStart"/>
            <w:r>
              <w:rPr>
                <w:rFonts w:ascii="宋体" w:hAnsi="宋体"/>
                <w:bCs/>
                <w:sz w:val="24"/>
              </w:rPr>
              <w:t>层初步</w:t>
            </w:r>
            <w:proofErr w:type="gramEnd"/>
            <w:r>
              <w:rPr>
                <w:rFonts w:ascii="宋体" w:hAnsi="宋体"/>
                <w:bCs/>
                <w:sz w:val="24"/>
              </w:rPr>
              <w:t>测算做出，不构成公司对任何投资者或第三方的业绩承诺、盈利预测或前瞻性陈述，敬请投资者注意风险）。感谢您的关注！</w:t>
            </w:r>
          </w:p>
          <w:p w14:paraId="22A88A98" w14:textId="77777777" w:rsidR="00853613" w:rsidRDefault="00853613" w:rsidP="00853613">
            <w:pPr>
              <w:spacing w:beforeLines="50" w:before="156" w:line="360" w:lineRule="auto"/>
              <w:ind w:firstLineChars="200" w:firstLine="482"/>
              <w:jc w:val="left"/>
              <w:rPr>
                <w:rFonts w:ascii="宋体" w:hAnsi="宋体"/>
                <w:b/>
                <w:sz w:val="24"/>
              </w:rPr>
            </w:pPr>
            <w:r>
              <w:rPr>
                <w:rFonts w:ascii="宋体" w:hAnsi="宋体" w:hint="eastAsia"/>
                <w:b/>
                <w:sz w:val="24"/>
              </w:rPr>
              <w:t>14.</w:t>
            </w:r>
            <w:r>
              <w:rPr>
                <w:rFonts w:ascii="宋体" w:hAnsi="宋体"/>
                <w:b/>
                <w:sz w:val="24"/>
              </w:rPr>
              <w:t>自2025年1月7日公告吸收合并上海</w:t>
            </w:r>
            <w:proofErr w:type="gramStart"/>
            <w:r>
              <w:rPr>
                <w:rFonts w:ascii="宋体" w:hAnsi="宋体"/>
                <w:b/>
                <w:sz w:val="24"/>
              </w:rPr>
              <w:t>莱</w:t>
            </w:r>
            <w:proofErr w:type="gramEnd"/>
            <w:r>
              <w:rPr>
                <w:rFonts w:ascii="宋体" w:hAnsi="宋体"/>
                <w:b/>
                <w:sz w:val="24"/>
              </w:rPr>
              <w:t>士终止以来已经10个月了，公司并没有进行其它外延式并购，而内</w:t>
            </w:r>
            <w:proofErr w:type="gramStart"/>
            <w:r>
              <w:rPr>
                <w:rFonts w:ascii="宋体" w:hAnsi="宋体"/>
                <w:b/>
                <w:sz w:val="24"/>
              </w:rPr>
              <w:t>生增长</w:t>
            </w:r>
            <w:proofErr w:type="gramEnd"/>
            <w:r>
              <w:rPr>
                <w:rFonts w:ascii="宋体" w:hAnsi="宋体"/>
                <w:b/>
                <w:sz w:val="24"/>
              </w:rPr>
              <w:t>乏力，公司如何能做大做强，成为具备持续成长潜力的、</w:t>
            </w:r>
            <w:proofErr w:type="gramStart"/>
            <w:r>
              <w:rPr>
                <w:rFonts w:ascii="宋体" w:hAnsi="宋体"/>
                <w:b/>
                <w:sz w:val="24"/>
              </w:rPr>
              <w:t>值根本土</w:t>
            </w:r>
            <w:proofErr w:type="gramEnd"/>
            <w:r>
              <w:rPr>
                <w:rFonts w:ascii="宋体" w:hAnsi="宋体"/>
                <w:b/>
                <w:sz w:val="24"/>
              </w:rPr>
              <w:t>并面向全球的一流综合生物科技龙头企业？</w:t>
            </w:r>
          </w:p>
          <w:p w14:paraId="36D9ADC7"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尊敬的投资者您好，外延并购一直是公司重要的发展战略。 当前外延并购方面的工作持续有序推进，公司将精心挑选具有高基数壁垒和巨大发展潜力的公司，继续强化公司主业。除了并购重组，公司还聚焦上市公司经营质量持续提升，综合运用股权激励、员工持股计划、现金分红、投资者关系管理、信息披露、股份回购等各种方式，不断提升公司投资价值和回报股东能力。感谢您的关注！</w:t>
            </w:r>
          </w:p>
          <w:p w14:paraId="57EC8CD9" w14:textId="77777777" w:rsidR="00853613" w:rsidRDefault="00853613" w:rsidP="00853613">
            <w:pPr>
              <w:spacing w:beforeLines="50" w:before="156" w:line="360" w:lineRule="auto"/>
              <w:ind w:firstLineChars="200" w:firstLine="482"/>
              <w:jc w:val="left"/>
              <w:rPr>
                <w:rFonts w:ascii="宋体" w:hAnsi="宋体"/>
                <w:b/>
                <w:sz w:val="24"/>
              </w:rPr>
            </w:pPr>
            <w:r>
              <w:rPr>
                <w:rFonts w:ascii="宋体" w:hAnsi="宋体" w:hint="eastAsia"/>
                <w:b/>
                <w:sz w:val="24"/>
              </w:rPr>
              <w:t>15.</w:t>
            </w:r>
            <w:r>
              <w:rPr>
                <w:rFonts w:ascii="宋体" w:hAnsi="宋体"/>
                <w:b/>
                <w:sz w:val="24"/>
              </w:rPr>
              <w:t>公司未来成长点在哪里？三季报营业收入17.6亿元 ，净利润只有1.98亿元这么一点点 股价还在地板上摩擦，投资者伤痕累累。</w:t>
            </w:r>
          </w:p>
          <w:p w14:paraId="28E44DB4"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尊敬的投资者您好，公司在国内与海外市场均面临广阔机遇。在国内，公司各产业都有很大的份额提升空间，尤其是实验室解决方案等产业国产化空间显著；在海外，优势产业</w:t>
            </w:r>
            <w:r>
              <w:rPr>
                <w:rFonts w:ascii="宋体" w:hAnsi="宋体"/>
                <w:bCs/>
                <w:sz w:val="24"/>
              </w:rPr>
              <w:lastRenderedPageBreak/>
              <w:t>低温存储的市场占有率尚不足10%，而实验室解决方案、自动化用药及血液技术等新兴业务的增长潜力则更为巨大。 在此基础上，公司将继续坚持以技术为基、以场景为核，以全球化引擎加快发展进程；并基于“大市场、小细分、多产品、多应用”的行业特点，通过内生和外延的双轮驱动补强现有产业、扩大业务边界，重塑产业发展格局。</w:t>
            </w:r>
          </w:p>
          <w:p w14:paraId="5985C94E" w14:textId="77777777" w:rsidR="00853613" w:rsidRDefault="00853613" w:rsidP="00853613">
            <w:pPr>
              <w:spacing w:beforeLines="50" w:before="156" w:line="360" w:lineRule="auto"/>
              <w:ind w:firstLineChars="200" w:firstLine="482"/>
              <w:jc w:val="left"/>
              <w:rPr>
                <w:rFonts w:ascii="宋体" w:hAnsi="宋体"/>
                <w:b/>
                <w:sz w:val="24"/>
              </w:rPr>
            </w:pPr>
            <w:r>
              <w:rPr>
                <w:rFonts w:ascii="宋体" w:hAnsi="宋体" w:hint="eastAsia"/>
                <w:b/>
                <w:sz w:val="24"/>
              </w:rPr>
              <w:t>16.</w:t>
            </w:r>
            <w:r>
              <w:rPr>
                <w:rFonts w:ascii="宋体" w:hAnsi="宋体"/>
                <w:b/>
                <w:sz w:val="24"/>
              </w:rPr>
              <w:t>按照公司发布的2024年限制性股票激励计划的业绩考核要求，公司已没能完成2024年的考核指标，按今年的前三季的业绩情况看也很难完成2025年的考核指标，请问管理层是否计划修订、下调2025年及2026年考核指标以更好的激励员工积极性？</w:t>
            </w:r>
          </w:p>
          <w:p w14:paraId="7C88AA25"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尊敬的投资者您好，感谢您的建议。2024年初公司推出限制性股票激励计划，考核目标是15%-30%的收入增长，是基于两方面</w:t>
            </w:r>
            <w:proofErr w:type="gramStart"/>
            <w:r>
              <w:rPr>
                <w:rFonts w:ascii="宋体" w:hAnsi="宋体"/>
                <w:bCs/>
                <w:sz w:val="24"/>
              </w:rPr>
              <w:t>考量</w:t>
            </w:r>
            <w:proofErr w:type="gramEnd"/>
            <w:r>
              <w:rPr>
                <w:rFonts w:ascii="宋体" w:hAnsi="宋体"/>
                <w:bCs/>
                <w:sz w:val="24"/>
              </w:rPr>
              <w:t>：一方面是基于公司中长期目标体系承接，同时参考了公司上市以来的历史发展情况，秉持高增值、高分享的激励原则，保障公司团队和全体股东的利益一致。另一方面是24年初公司进行了大范围的经销合作伙伴和关键用户伙伴的调研。尽管本期计划在实际落地过程中</w:t>
            </w:r>
            <w:proofErr w:type="gramStart"/>
            <w:r>
              <w:rPr>
                <w:rFonts w:ascii="宋体" w:hAnsi="宋体"/>
                <w:bCs/>
                <w:sz w:val="24"/>
              </w:rPr>
              <w:t>受复杂</w:t>
            </w:r>
            <w:proofErr w:type="gramEnd"/>
            <w:r>
              <w:rPr>
                <w:rFonts w:ascii="宋体" w:hAnsi="宋体"/>
                <w:bCs/>
                <w:sz w:val="24"/>
              </w:rPr>
              <w:t>多变的外部环境影响，但是公司会坚定地将股权激励作为核心员工的常态化激励工具并持续推出，以实现员工、公司和股东的共创共赢。再次感谢您的建议！</w:t>
            </w:r>
          </w:p>
          <w:p w14:paraId="21F45477" w14:textId="77777777" w:rsidR="00853613" w:rsidRDefault="00853613" w:rsidP="00853613">
            <w:pPr>
              <w:spacing w:beforeLines="50" w:before="156" w:line="360" w:lineRule="auto"/>
              <w:ind w:firstLineChars="200" w:firstLine="482"/>
              <w:jc w:val="left"/>
              <w:rPr>
                <w:rFonts w:ascii="宋体" w:hAnsi="宋体"/>
                <w:b/>
                <w:sz w:val="24"/>
              </w:rPr>
            </w:pPr>
            <w:r>
              <w:rPr>
                <w:rFonts w:ascii="宋体" w:hAnsi="宋体" w:hint="eastAsia"/>
                <w:b/>
                <w:sz w:val="24"/>
              </w:rPr>
              <w:t>17.</w:t>
            </w:r>
            <w:r>
              <w:rPr>
                <w:rFonts w:ascii="宋体" w:hAnsi="宋体"/>
                <w:b/>
                <w:sz w:val="24"/>
              </w:rPr>
              <w:t>今天外延并购还会实施吗</w:t>
            </w:r>
            <w:r>
              <w:rPr>
                <w:rFonts w:ascii="宋体" w:hAnsi="宋体" w:hint="eastAsia"/>
                <w:b/>
                <w:sz w:val="24"/>
              </w:rPr>
              <w:t>？</w:t>
            </w:r>
          </w:p>
          <w:p w14:paraId="355918FF"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尊敬的投资者您好，外延并购一直是公司重点聚焦的战略，也是长期持续的工作，后续如有相关计划落地，公司将严格按照相关规定和要求，履行信息披露义务。感谢您的关注！</w:t>
            </w:r>
          </w:p>
          <w:p w14:paraId="3620B838" w14:textId="77777777" w:rsidR="00853613" w:rsidRDefault="00853613" w:rsidP="00853613">
            <w:pPr>
              <w:spacing w:beforeLines="50" w:before="156" w:line="360" w:lineRule="auto"/>
              <w:ind w:firstLineChars="200" w:firstLine="482"/>
              <w:jc w:val="left"/>
              <w:rPr>
                <w:rFonts w:ascii="宋体" w:hAnsi="宋体"/>
                <w:b/>
                <w:sz w:val="24"/>
              </w:rPr>
            </w:pPr>
            <w:r>
              <w:rPr>
                <w:rFonts w:ascii="宋体" w:hAnsi="宋体" w:hint="eastAsia"/>
                <w:b/>
                <w:sz w:val="24"/>
              </w:rPr>
              <w:t>18.</w:t>
            </w:r>
            <w:r>
              <w:rPr>
                <w:rFonts w:ascii="宋体" w:hAnsi="宋体"/>
                <w:b/>
                <w:sz w:val="24"/>
              </w:rPr>
              <w:t>请问未来业绩拐点是否有预期，未来规划的业绩增长点主要是哪些业务？</w:t>
            </w:r>
          </w:p>
          <w:p w14:paraId="2047FE0F"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lastRenderedPageBreak/>
              <w:t>答:</w:t>
            </w:r>
            <w:r>
              <w:rPr>
                <w:rFonts w:ascii="宋体" w:hAnsi="宋体"/>
                <w:bCs/>
                <w:sz w:val="24"/>
              </w:rPr>
              <w:t>尊敬的投资者您好，基于行业的常态化发展和公司核心竞争力的提升，经初步测算，从年度趋势上看：收入端在2025年确认拐点；利润端有望在2026年迎来拐点（以上预测依据目前可获得的公开信息及管理</w:t>
            </w:r>
            <w:proofErr w:type="gramStart"/>
            <w:r>
              <w:rPr>
                <w:rFonts w:ascii="宋体" w:hAnsi="宋体"/>
                <w:bCs/>
                <w:sz w:val="24"/>
              </w:rPr>
              <w:t>层初步</w:t>
            </w:r>
            <w:proofErr w:type="gramEnd"/>
            <w:r>
              <w:rPr>
                <w:rFonts w:ascii="宋体" w:hAnsi="宋体"/>
                <w:bCs/>
                <w:sz w:val="24"/>
              </w:rPr>
              <w:t>测算</w:t>
            </w:r>
            <w:proofErr w:type="gramStart"/>
            <w:r>
              <w:rPr>
                <w:rFonts w:ascii="宋体" w:hAnsi="宋体"/>
                <w:bCs/>
                <w:sz w:val="24"/>
              </w:rPr>
              <w:t>作出</w:t>
            </w:r>
            <w:proofErr w:type="gramEnd"/>
            <w:r>
              <w:rPr>
                <w:rFonts w:ascii="宋体" w:hAnsi="宋体"/>
                <w:bCs/>
                <w:sz w:val="24"/>
              </w:rPr>
              <w:t>，不构成公司对任何投资者或第三方的业绩承诺、盈利预测或前瞻性陈述，敬请投资者注意风险）。分产业来看，公司低温存储产业得益于场景化趋势把握和全球化发展，预计全年降幅将进一步收窄；实验室解决方案产业在行业承压的情况下，将凭借国内市场份额提升和海外市场快速发展，继续展现出优于行业的发展态势；智慧用药产业得益于公司国内市场协同效应发挥以及海外市场的加快拓展，下半年订单交付逐渐加速，预计全年双位数增长；血液技术产业整体增速表现仍优于采浆增速，预计全年能够实现双位数增长。</w:t>
            </w:r>
          </w:p>
          <w:p w14:paraId="04EA4465" w14:textId="77777777" w:rsidR="00853613" w:rsidRDefault="00853613" w:rsidP="00853613">
            <w:pPr>
              <w:spacing w:beforeLines="50" w:before="156" w:line="360" w:lineRule="auto"/>
              <w:ind w:firstLineChars="200" w:firstLine="482"/>
              <w:jc w:val="left"/>
              <w:rPr>
                <w:rFonts w:ascii="宋体" w:hAnsi="宋体"/>
                <w:b/>
                <w:sz w:val="24"/>
              </w:rPr>
            </w:pPr>
            <w:r>
              <w:rPr>
                <w:rFonts w:ascii="宋体" w:hAnsi="宋体" w:hint="eastAsia"/>
                <w:b/>
                <w:sz w:val="24"/>
              </w:rPr>
              <w:t>19.</w:t>
            </w:r>
            <w:r>
              <w:rPr>
                <w:rFonts w:ascii="宋体" w:hAnsi="宋体"/>
                <w:b/>
                <w:sz w:val="24"/>
              </w:rPr>
              <w:t>为什么不是低价回购注销，高价回购股权激励对二级市场才是利好，说明你们公司股价现在是完全低估，今年大盘牛市，你们公司股价到现在为止还是趴在地板上，你们自己既然看好公司未来，为什么到现在为止回购下限</w:t>
            </w:r>
            <w:proofErr w:type="gramStart"/>
            <w:r>
              <w:rPr>
                <w:rFonts w:ascii="宋体" w:hAnsi="宋体"/>
                <w:b/>
                <w:sz w:val="24"/>
              </w:rPr>
              <w:t>1个亿快一年</w:t>
            </w:r>
            <w:proofErr w:type="gramEnd"/>
            <w:r>
              <w:rPr>
                <w:rFonts w:ascii="宋体" w:hAnsi="宋体"/>
                <w:b/>
                <w:sz w:val="24"/>
              </w:rPr>
              <w:t>了还没有到，怎么给我们二级市场投资者稳定回报。</w:t>
            </w:r>
          </w:p>
          <w:p w14:paraId="2A4E79FC"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感谢您的建议。二级市场股价表现受宏观经济环境、市场行情等多方面因素影响，公司高度重视资本市场发展，至今已经开展了三轮股份回购，公司实际控制人至今也已三次增持公司股份，最新一轮的公司回购和实</w:t>
            </w:r>
            <w:proofErr w:type="gramStart"/>
            <w:r>
              <w:rPr>
                <w:rFonts w:ascii="宋体" w:hAnsi="宋体"/>
                <w:bCs/>
                <w:sz w:val="24"/>
              </w:rPr>
              <w:t>控人增持计划</w:t>
            </w:r>
            <w:proofErr w:type="gramEnd"/>
            <w:r>
              <w:rPr>
                <w:rFonts w:ascii="宋体" w:hAnsi="宋体"/>
                <w:bCs/>
                <w:sz w:val="24"/>
              </w:rPr>
              <w:t>均在有序进行中，彰显了对公司发展前景的信心和公司长期投资价值的认可。谢谢您的关注!</w:t>
            </w:r>
          </w:p>
          <w:p w14:paraId="1FAA813B" w14:textId="77777777" w:rsidR="00853613" w:rsidRDefault="00853613" w:rsidP="00853613">
            <w:pPr>
              <w:spacing w:beforeLines="50" w:before="156" w:line="360" w:lineRule="auto"/>
              <w:ind w:firstLineChars="200" w:firstLine="482"/>
              <w:jc w:val="left"/>
              <w:rPr>
                <w:rFonts w:ascii="宋体" w:hAnsi="宋体"/>
                <w:b/>
                <w:sz w:val="24"/>
              </w:rPr>
            </w:pPr>
            <w:r>
              <w:rPr>
                <w:rFonts w:ascii="宋体" w:hAnsi="宋体" w:hint="eastAsia"/>
                <w:b/>
                <w:sz w:val="24"/>
              </w:rPr>
              <w:t>20.</w:t>
            </w:r>
            <w:r>
              <w:rPr>
                <w:rFonts w:ascii="宋体" w:hAnsi="宋体"/>
                <w:b/>
                <w:sz w:val="24"/>
              </w:rPr>
              <w:t>公司半年度披露显示上半年海外业务收入为4.27亿元，同比增长30.17%，其中第二季度海外收入同比增长56.67%，但是三季报中披露前三季度海外收入6.34亿元，同比增长20.18%，这么计算下来三季度海外业务营收只有2.07</w:t>
            </w:r>
            <w:r>
              <w:rPr>
                <w:rFonts w:ascii="宋体" w:hAnsi="宋体"/>
                <w:b/>
                <w:sz w:val="24"/>
              </w:rPr>
              <w:lastRenderedPageBreak/>
              <w:t>亿元，请问三季度同比增长多少？海外业务增速放缓的原因是24年基数高的原因吗？还是其他方面？</w:t>
            </w:r>
          </w:p>
          <w:p w14:paraId="6B2C6F40"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尊敬的投资者您好，第三季度海外收入同比增速略有下降，主要原因是受到同期高基数影响，但是从季度间来看，收入不存在显著差异，海外市场保持持续良好发展态势，感谢您的关注！</w:t>
            </w:r>
          </w:p>
          <w:p w14:paraId="22B4DAA5" w14:textId="77777777" w:rsidR="00853613" w:rsidRDefault="00853613" w:rsidP="00853613">
            <w:pPr>
              <w:spacing w:beforeLines="50" w:before="156" w:line="360" w:lineRule="auto"/>
              <w:ind w:firstLineChars="200" w:firstLine="482"/>
              <w:jc w:val="left"/>
              <w:rPr>
                <w:rFonts w:ascii="宋体" w:hAnsi="宋体"/>
                <w:b/>
                <w:sz w:val="24"/>
              </w:rPr>
            </w:pPr>
            <w:r>
              <w:rPr>
                <w:rFonts w:ascii="宋体" w:hAnsi="宋体" w:hint="eastAsia"/>
                <w:b/>
                <w:sz w:val="24"/>
              </w:rPr>
              <w:t>21.</w:t>
            </w:r>
            <w:r>
              <w:rPr>
                <w:rFonts w:ascii="宋体" w:hAnsi="宋体"/>
                <w:b/>
                <w:sz w:val="24"/>
              </w:rPr>
              <w:t>当前股价持续低迷，公司已实施多次回购、公司大股东一致行动人亦多次实施二级市场的增持，青岛市国资委</w:t>
            </w:r>
            <w:proofErr w:type="gramStart"/>
            <w:r>
              <w:rPr>
                <w:rFonts w:ascii="宋体" w:hAnsi="宋体"/>
                <w:b/>
                <w:sz w:val="24"/>
              </w:rPr>
              <w:t>旗下久实投资</w:t>
            </w:r>
            <w:proofErr w:type="gramEnd"/>
            <w:r>
              <w:rPr>
                <w:rFonts w:ascii="宋体" w:hAnsi="宋体"/>
                <w:b/>
                <w:sz w:val="24"/>
              </w:rPr>
              <w:t>也已增</w:t>
            </w:r>
            <w:proofErr w:type="gramStart"/>
            <w:r>
              <w:rPr>
                <w:rFonts w:ascii="宋体" w:hAnsi="宋体"/>
                <w:b/>
                <w:sz w:val="24"/>
              </w:rPr>
              <w:t>持比例</w:t>
            </w:r>
            <w:proofErr w:type="gramEnd"/>
            <w:r>
              <w:rPr>
                <w:rFonts w:ascii="宋体" w:hAnsi="宋体"/>
                <w:b/>
                <w:sz w:val="24"/>
              </w:rPr>
              <w:t>超过5%，作为对公司未来发展前景最了解的管理团队是否有计划通过实施员工持股计划增持公司股份向二级市场投资人以信心？</w:t>
            </w:r>
          </w:p>
          <w:p w14:paraId="0F34B11B"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二级市场股价表现受宏观经济环境、市场行情等多方面因素影响，并不一定能及时、全面地反映公司内在价值和发展趋势。公司对未来发展充满信心，并且高度重视资本市场发展，至今已经开展了三轮股份回购，公司实际控制人一致行动人至今也已三次增持公司股份。此外，公司高度重视投资者回报，已连续6年实施分红，累计分红7.88亿元人民币，其中最新推出的2024年度分红方案的分红比例为40.31%。未来，公司将继续通过多种渠道推动长期价值创造，传递市场信心，为股东创造长期稳定的回报。感谢您的建议！</w:t>
            </w:r>
          </w:p>
          <w:p w14:paraId="737AFF05" w14:textId="77777777" w:rsidR="00853613" w:rsidRDefault="00853613" w:rsidP="00853613">
            <w:pPr>
              <w:spacing w:beforeLines="50" w:before="156" w:line="360" w:lineRule="auto"/>
              <w:ind w:firstLineChars="200" w:firstLine="482"/>
              <w:jc w:val="left"/>
              <w:rPr>
                <w:rFonts w:ascii="宋体" w:hAnsi="宋体"/>
                <w:b/>
                <w:sz w:val="24"/>
              </w:rPr>
            </w:pPr>
            <w:r>
              <w:rPr>
                <w:rFonts w:ascii="宋体" w:hAnsi="宋体" w:hint="eastAsia"/>
                <w:b/>
                <w:sz w:val="24"/>
              </w:rPr>
              <w:t>22.</w:t>
            </w:r>
            <w:r>
              <w:rPr>
                <w:rFonts w:ascii="宋体" w:hAnsi="宋体"/>
                <w:b/>
                <w:sz w:val="24"/>
              </w:rPr>
              <w:t>能否简单介绍一下公司子公司青岛鸿鹄航空科技有限公司在航空温控领域的业务开展情况？航空温控领域的未来业绩预期如何？</w:t>
            </w:r>
          </w:p>
          <w:p w14:paraId="50965515"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尊敬的投资者您好，公司在航空温控领域具有较强的竞争优势，子公司青岛鸿鹄航空科技有限公司拥有中国民航局（CAAC）颁发的技术标准规定项目批准书（CTSOA)和国际航空运输协会（IATA）颁发的运营代码</w:t>
            </w:r>
            <w:proofErr w:type="gramStart"/>
            <w:r>
              <w:rPr>
                <w:rFonts w:ascii="宋体" w:hAnsi="宋体"/>
                <w:bCs/>
                <w:sz w:val="24"/>
              </w:rPr>
              <w:t>“</w:t>
            </w:r>
            <w:proofErr w:type="gramEnd"/>
            <w:r>
              <w:rPr>
                <w:rFonts w:ascii="宋体" w:hAnsi="宋体"/>
                <w:bCs/>
                <w:sz w:val="24"/>
              </w:rPr>
              <w:t>6U“，其RKN产品获批亚</w:t>
            </w:r>
            <w:r>
              <w:rPr>
                <w:rFonts w:ascii="宋体" w:hAnsi="宋体"/>
                <w:bCs/>
                <w:sz w:val="24"/>
              </w:rPr>
              <w:lastRenderedPageBreak/>
              <w:t>太区首张且唯一主动温控集装箱FAA设计批准信函（LODA），并主导和参与国际、国内行业标准编写5项，还参与国家民航法规编写3项。随着全球医药、生物制品等高价值温敏物资的运输需求不断增加，航空温控市场将持续快速增长。</w:t>
            </w:r>
          </w:p>
          <w:p w14:paraId="324AE09E" w14:textId="77777777" w:rsidR="00853613" w:rsidRDefault="00853613" w:rsidP="00853613">
            <w:pPr>
              <w:spacing w:beforeLines="50" w:before="156" w:line="360" w:lineRule="auto"/>
              <w:ind w:firstLineChars="200" w:firstLine="482"/>
              <w:jc w:val="left"/>
              <w:rPr>
                <w:rFonts w:ascii="宋体" w:hAnsi="宋体"/>
                <w:b/>
                <w:sz w:val="24"/>
              </w:rPr>
            </w:pPr>
            <w:r>
              <w:rPr>
                <w:rFonts w:ascii="宋体" w:hAnsi="宋体" w:hint="eastAsia"/>
                <w:b/>
                <w:sz w:val="24"/>
              </w:rPr>
              <w:t>23.</w:t>
            </w:r>
            <w:r>
              <w:rPr>
                <w:rFonts w:ascii="宋体" w:hAnsi="宋体"/>
                <w:b/>
                <w:sz w:val="24"/>
              </w:rPr>
              <w:t>在公司整体销售收入下降的情况下，公司销售费用同比增长23.42%、管理费用同比增长7.85%，研发费用同步增长8.52%，请问公司三</w:t>
            </w:r>
            <w:proofErr w:type="gramStart"/>
            <w:r>
              <w:rPr>
                <w:rFonts w:ascii="宋体" w:hAnsi="宋体"/>
                <w:b/>
                <w:sz w:val="24"/>
              </w:rPr>
              <w:t>费投入</w:t>
            </w:r>
            <w:proofErr w:type="gramEnd"/>
            <w:r>
              <w:rPr>
                <w:rFonts w:ascii="宋体" w:hAnsi="宋体"/>
                <w:b/>
                <w:sz w:val="24"/>
              </w:rPr>
              <w:t>增加的主要原因是啥？是国际业务开展的需要还是哪些方面的</w:t>
            </w:r>
            <w:proofErr w:type="gramStart"/>
            <w:r>
              <w:rPr>
                <w:rFonts w:ascii="宋体" w:hAnsi="宋体"/>
                <w:b/>
                <w:sz w:val="24"/>
              </w:rPr>
              <w:t>考量</w:t>
            </w:r>
            <w:proofErr w:type="gramEnd"/>
            <w:r>
              <w:rPr>
                <w:rFonts w:ascii="宋体" w:hAnsi="宋体"/>
                <w:b/>
                <w:sz w:val="24"/>
              </w:rPr>
              <w:t>？</w:t>
            </w:r>
          </w:p>
          <w:p w14:paraId="7D97ED01"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公司相关费用的增加主要与公司中长期战略持续投入有关。在研发方面，公司重点聚焦于新产品突破与新技术布局，通过加大AI技术底座建设、升级研发体系，目前已经支持10类产品方案实现首发或首创；通过开放生态共创，落地天津、广州两个研发中心，为公司中长期发展构建更高壁垒；在市场体系建设和管理能力升级方面，公司持续深化直面用户能力和数智化管理升级，加速新营销升级和和AI销售赋能、上线</w:t>
            </w:r>
            <w:proofErr w:type="gramStart"/>
            <w:r>
              <w:rPr>
                <w:rFonts w:ascii="宋体" w:hAnsi="宋体"/>
                <w:bCs/>
                <w:sz w:val="24"/>
              </w:rPr>
              <w:t>京东慧采平台</w:t>
            </w:r>
            <w:proofErr w:type="gramEnd"/>
            <w:r>
              <w:rPr>
                <w:rFonts w:ascii="宋体" w:hAnsi="宋体"/>
                <w:bCs/>
                <w:sz w:val="24"/>
              </w:rPr>
              <w:t>，海外新搭建日本、巴西、法国等6地本地化运营体系，公司正逐步构建起跨区域、跨渠道、跨品类的直面用户市场体系。上述投入均对公司短期费用</w:t>
            </w:r>
            <w:proofErr w:type="gramStart"/>
            <w:r>
              <w:rPr>
                <w:rFonts w:ascii="宋体" w:hAnsi="宋体"/>
                <w:bCs/>
                <w:sz w:val="24"/>
              </w:rPr>
              <w:t>端造成</w:t>
            </w:r>
            <w:proofErr w:type="gramEnd"/>
            <w:r>
              <w:rPr>
                <w:rFonts w:ascii="宋体" w:hAnsi="宋体"/>
                <w:bCs/>
                <w:sz w:val="24"/>
              </w:rPr>
              <w:t>波动，但随着公司竞争力逐渐提升，前期投入的规模效应将逐渐显现，感谢您的关注！</w:t>
            </w:r>
          </w:p>
          <w:p w14:paraId="486C36E0" w14:textId="77777777" w:rsidR="00853613" w:rsidRDefault="00853613" w:rsidP="00853613">
            <w:pPr>
              <w:spacing w:beforeLines="50" w:before="156" w:line="360" w:lineRule="auto"/>
              <w:ind w:firstLineChars="200" w:firstLine="482"/>
              <w:jc w:val="left"/>
              <w:rPr>
                <w:rFonts w:ascii="宋体" w:hAnsi="宋体"/>
                <w:b/>
                <w:sz w:val="24"/>
              </w:rPr>
            </w:pPr>
            <w:r>
              <w:rPr>
                <w:rFonts w:ascii="宋体" w:hAnsi="宋体" w:hint="eastAsia"/>
                <w:b/>
                <w:sz w:val="24"/>
              </w:rPr>
              <w:t>24.</w:t>
            </w:r>
            <w:r>
              <w:rPr>
                <w:rFonts w:ascii="宋体" w:hAnsi="宋体"/>
                <w:b/>
                <w:sz w:val="24"/>
              </w:rPr>
              <w:t>请问公司本次计划变更部分回购股份用途并注销145万多股，请问针对其他近400多万股的回购股权，公司是否有计划继续实施注销方式？</w:t>
            </w:r>
          </w:p>
          <w:p w14:paraId="7A81FE6C" w14:textId="77777777" w:rsidR="00853613" w:rsidRDefault="00853613" w:rsidP="00853613">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Cs/>
                <w:sz w:val="24"/>
              </w:rPr>
              <w:t>尊敬的投资者您好，公司本次变更145.96万股回购股份用途并注销</w:t>
            </w:r>
            <w:proofErr w:type="gramStart"/>
            <w:r>
              <w:rPr>
                <w:rFonts w:ascii="宋体" w:hAnsi="宋体"/>
                <w:bCs/>
                <w:sz w:val="24"/>
              </w:rPr>
              <w:t>暨减少</w:t>
            </w:r>
            <w:proofErr w:type="gramEnd"/>
            <w:r>
              <w:rPr>
                <w:rFonts w:ascii="宋体" w:hAnsi="宋体"/>
                <w:bCs/>
                <w:sz w:val="24"/>
              </w:rPr>
              <w:t>注册资本事项是为严格履行公司回购股</w:t>
            </w:r>
            <w:proofErr w:type="gramStart"/>
            <w:r>
              <w:rPr>
                <w:rFonts w:ascii="宋体" w:hAnsi="宋体"/>
                <w:bCs/>
                <w:sz w:val="24"/>
              </w:rPr>
              <w:t>份方案</w:t>
            </w:r>
            <w:proofErr w:type="gramEnd"/>
            <w:r>
              <w:rPr>
                <w:rFonts w:ascii="宋体" w:hAnsi="宋体"/>
                <w:bCs/>
                <w:sz w:val="24"/>
              </w:rPr>
              <w:t>中关于回购股</w:t>
            </w:r>
            <w:proofErr w:type="gramStart"/>
            <w:r>
              <w:rPr>
                <w:rFonts w:ascii="宋体" w:hAnsi="宋体"/>
                <w:bCs/>
                <w:sz w:val="24"/>
              </w:rPr>
              <w:t>份使用</w:t>
            </w:r>
            <w:proofErr w:type="gramEnd"/>
            <w:r>
              <w:rPr>
                <w:rFonts w:ascii="宋体" w:hAnsi="宋体"/>
                <w:bCs/>
                <w:sz w:val="24"/>
              </w:rPr>
              <w:t>期限的相关承诺，同时增强投资者回报能力和水平，切实维护广大投资者利益。注销完成后，有利于增加每股收益，提高公司股东的投资回报，不会影响公司</w:t>
            </w:r>
            <w:r>
              <w:rPr>
                <w:rFonts w:ascii="宋体" w:hAnsi="宋体"/>
                <w:bCs/>
                <w:sz w:val="24"/>
              </w:rPr>
              <w:lastRenderedPageBreak/>
              <w:t>债务履行能力。公司后续如有</w:t>
            </w:r>
            <w:proofErr w:type="gramStart"/>
            <w:r>
              <w:rPr>
                <w:rFonts w:ascii="宋体" w:hAnsi="宋体"/>
                <w:bCs/>
                <w:sz w:val="24"/>
              </w:rPr>
              <w:t>其他回</w:t>
            </w:r>
            <w:proofErr w:type="gramEnd"/>
            <w:r>
              <w:rPr>
                <w:rFonts w:ascii="宋体" w:hAnsi="宋体"/>
                <w:bCs/>
                <w:sz w:val="24"/>
              </w:rPr>
              <w:t>购股份注销的计划，公司将严格按照法律法规履行信息披露义务，感谢您的关注！</w:t>
            </w:r>
          </w:p>
          <w:p w14:paraId="680A6746" w14:textId="77777777" w:rsidR="00853613" w:rsidRDefault="00853613" w:rsidP="00853613">
            <w:pPr>
              <w:spacing w:beforeLines="50" w:before="156" w:line="360" w:lineRule="auto"/>
              <w:ind w:firstLineChars="200" w:firstLine="482"/>
              <w:jc w:val="left"/>
              <w:rPr>
                <w:rFonts w:ascii="宋体" w:hAnsi="宋体"/>
                <w:b/>
                <w:sz w:val="24"/>
              </w:rPr>
            </w:pPr>
            <w:r>
              <w:rPr>
                <w:rFonts w:ascii="宋体" w:hAnsi="宋体" w:hint="eastAsia"/>
                <w:b/>
                <w:sz w:val="24"/>
              </w:rPr>
              <w:t>25.</w:t>
            </w:r>
            <w:r>
              <w:rPr>
                <w:rFonts w:ascii="宋体" w:hAnsi="宋体"/>
                <w:b/>
                <w:sz w:val="24"/>
              </w:rPr>
              <w:t>请问公司未来业绩的主要增长点主要有哪些？目前看公司各业务板块国内甚至全球市场占比已达到比较高的水平，公司未来如何继续保持高增长？</w:t>
            </w:r>
          </w:p>
          <w:p w14:paraId="00D2F058" w14:textId="4DFD9E8B" w:rsidR="00924F99" w:rsidRPr="00853613" w:rsidRDefault="00853613" w:rsidP="00853613">
            <w:pPr>
              <w:spacing w:beforeLines="50" w:before="156" w:line="360" w:lineRule="auto"/>
              <w:ind w:firstLineChars="200" w:firstLine="482"/>
              <w:jc w:val="left"/>
              <w:rPr>
                <w:rFonts w:ascii="宋体" w:hAnsi="宋体" w:hint="eastAsia"/>
                <w:bCs/>
                <w:sz w:val="24"/>
              </w:rPr>
            </w:pPr>
            <w:r>
              <w:rPr>
                <w:rFonts w:ascii="宋体" w:hAnsi="宋体"/>
                <w:b/>
                <w:sz w:val="24"/>
              </w:rPr>
              <w:t>答:</w:t>
            </w:r>
            <w:r>
              <w:rPr>
                <w:rFonts w:ascii="宋体" w:hAnsi="宋体"/>
                <w:bCs/>
                <w:sz w:val="24"/>
              </w:rPr>
              <w:t>尊敬的投资者您好，公司在国内与海外市场均面临广阔机遇。在国内，公司各产业都有很大的份额提升空间，尤其是实验室解决方案等产业国产化空间显著；在海外，优势产业低温存储的市场占有率尚不足10%，而实验室解决方案、自动化用药及血液技术等新兴业务的增长潜力则更为巨大。 在此基础上，公司将继续坚持以技术为基、以场景为核，以全球化引擎加快发展进程；并基于“大市场、小细分、多产品、多应用”的行业特点，通过内生和外延的双轮驱动补强现有产业、扩大业务边界，重塑产业发展格局。</w:t>
            </w:r>
          </w:p>
        </w:tc>
      </w:tr>
      <w:tr w:rsidR="002E2A6C"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2E2A6C" w:rsidRDefault="00492518">
            <w:pPr>
              <w:spacing w:line="480" w:lineRule="atLeast"/>
              <w:rPr>
                <w:rFonts w:eastAsiaTheme="minorEastAsia"/>
                <w:bCs/>
                <w:iCs/>
                <w:sz w:val="24"/>
                <w:szCs w:val="24"/>
              </w:rPr>
            </w:pPr>
            <w:r>
              <w:rPr>
                <w:rFonts w:eastAsiaTheme="minorEastAsia"/>
                <w:bCs/>
                <w:iCs/>
                <w:sz w:val="24"/>
                <w:szCs w:val="24"/>
              </w:rPr>
              <w:t>无</w:t>
            </w:r>
          </w:p>
        </w:tc>
      </w:tr>
      <w:tr w:rsidR="002E2A6C"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326C8D76" w:rsidR="002E2A6C" w:rsidRDefault="00492518">
            <w:pPr>
              <w:spacing w:line="480" w:lineRule="atLeast"/>
              <w:rPr>
                <w:rFonts w:eastAsiaTheme="minorEastAsia"/>
                <w:bCs/>
                <w:iCs/>
                <w:sz w:val="24"/>
                <w:szCs w:val="24"/>
              </w:rPr>
            </w:pPr>
            <w:r>
              <w:rPr>
                <w:rFonts w:eastAsiaTheme="minorEastAsia" w:hint="eastAsia"/>
                <w:bCs/>
                <w:iCs/>
                <w:sz w:val="24"/>
                <w:szCs w:val="24"/>
              </w:rPr>
              <w:t>202</w:t>
            </w:r>
            <w:r>
              <w:rPr>
                <w:rFonts w:eastAsiaTheme="minorEastAsia"/>
                <w:bCs/>
                <w:iCs/>
                <w:sz w:val="24"/>
                <w:szCs w:val="24"/>
              </w:rPr>
              <w:t>5</w:t>
            </w:r>
            <w:r>
              <w:rPr>
                <w:rFonts w:eastAsiaTheme="minorEastAsia" w:hint="eastAsia"/>
                <w:bCs/>
                <w:iCs/>
                <w:sz w:val="24"/>
                <w:szCs w:val="24"/>
              </w:rPr>
              <w:t>年</w:t>
            </w:r>
            <w:r w:rsidR="00853613">
              <w:rPr>
                <w:rFonts w:eastAsiaTheme="minorEastAsia"/>
                <w:bCs/>
                <w:iCs/>
                <w:sz w:val="24"/>
                <w:szCs w:val="24"/>
              </w:rPr>
              <w:t>10</w:t>
            </w:r>
            <w:r>
              <w:rPr>
                <w:rFonts w:eastAsiaTheme="minorEastAsia" w:hint="eastAsia"/>
                <w:bCs/>
                <w:iCs/>
                <w:sz w:val="24"/>
                <w:szCs w:val="24"/>
              </w:rPr>
              <w:t>月</w:t>
            </w:r>
            <w:r w:rsidR="00853613">
              <w:rPr>
                <w:rFonts w:eastAsiaTheme="minorEastAsia" w:hint="eastAsia"/>
                <w:bCs/>
                <w:iCs/>
                <w:sz w:val="24"/>
                <w:szCs w:val="24"/>
              </w:rPr>
              <w:t>3</w:t>
            </w:r>
            <w:r w:rsidR="00853613">
              <w:rPr>
                <w:rFonts w:eastAsiaTheme="minorEastAsia"/>
                <w:bCs/>
                <w:iCs/>
                <w:sz w:val="24"/>
                <w:szCs w:val="24"/>
              </w:rPr>
              <w:t>1</w:t>
            </w:r>
            <w:r>
              <w:rPr>
                <w:rFonts w:eastAsiaTheme="minorEastAsia" w:hint="eastAsia"/>
                <w:bCs/>
                <w:iCs/>
                <w:sz w:val="24"/>
                <w:szCs w:val="24"/>
              </w:rPr>
              <w:t>日</w:t>
            </w:r>
          </w:p>
        </w:tc>
      </w:tr>
    </w:tbl>
    <w:p w14:paraId="1CF085B1" w14:textId="77777777" w:rsidR="002E2A6C" w:rsidRDefault="002E2A6C">
      <w:pPr>
        <w:widowControl/>
        <w:jc w:val="left"/>
        <w:rPr>
          <w:b/>
          <w:sz w:val="24"/>
        </w:rPr>
      </w:pPr>
    </w:p>
    <w:sectPr w:rsidR="002E2A6C">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9102F" w14:textId="77777777" w:rsidR="00CE2288" w:rsidRDefault="00CE2288">
      <w:r>
        <w:separator/>
      </w:r>
    </w:p>
  </w:endnote>
  <w:endnote w:type="continuationSeparator" w:id="0">
    <w:p w14:paraId="4951EC63" w14:textId="77777777" w:rsidR="00CE2288" w:rsidRDefault="00CE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2E2A6C" w:rsidRDefault="002E2A6C">
    <w:pPr>
      <w:pStyle w:val="a8"/>
    </w:pPr>
  </w:p>
  <w:p w14:paraId="62B21A8B" w14:textId="77777777" w:rsidR="002E2A6C" w:rsidRDefault="002E2A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08A9" w14:textId="77777777" w:rsidR="00CE2288" w:rsidRDefault="00CE2288">
      <w:r>
        <w:separator/>
      </w:r>
    </w:p>
  </w:footnote>
  <w:footnote w:type="continuationSeparator" w:id="0">
    <w:p w14:paraId="60C0B2FC" w14:textId="77777777" w:rsidR="00CE2288" w:rsidRDefault="00CE2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9FCD64"/>
    <w:multiLevelType w:val="singleLevel"/>
    <w:tmpl w:val="889FCD64"/>
    <w:lvl w:ilvl="0">
      <w:start w:val="1"/>
      <w:numFmt w:val="decimal"/>
      <w:suff w:val="nothing"/>
      <w:lvlText w:val="%1、"/>
      <w:lvlJc w:val="left"/>
    </w:lvl>
  </w:abstractNum>
  <w:abstractNum w:abstractNumId="1" w15:restartNumberingAfterBreak="0">
    <w:nsid w:val="04486209"/>
    <w:multiLevelType w:val="singleLevel"/>
    <w:tmpl w:val="04486209"/>
    <w:lvl w:ilvl="0">
      <w:start w:val="1"/>
      <w:numFmt w:val="decimal"/>
      <w:lvlText w:val="%1."/>
      <w:lvlJc w:val="left"/>
      <w:pPr>
        <w:ind w:left="425" w:hanging="425"/>
      </w:pPr>
      <w:rPr>
        <w:rFonts w:hint="default"/>
      </w:rPr>
    </w:lvl>
  </w:abstractNum>
  <w:abstractNum w:abstractNumId="2" w15:restartNumberingAfterBreak="0">
    <w:nsid w:val="4AA31A39"/>
    <w:multiLevelType w:val="hybridMultilevel"/>
    <w:tmpl w:val="84649930"/>
    <w:lvl w:ilvl="0" w:tplc="5BEA7868">
      <w:start w:val="1"/>
      <w:numFmt w:val="decimal"/>
      <w:lvlText w:val="%1、"/>
      <w:lvlJc w:val="left"/>
      <w:pPr>
        <w:ind w:left="840" w:hanging="360"/>
      </w:pPr>
      <w:rPr>
        <w:rFonts w:asciiTheme="minorEastAsia" w:eastAsia="宋体" w:hAnsiTheme="minorEastAsia" w:cs="Arial"/>
        <w:u w:val="singl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51E0"/>
    <w:rsid w:val="00016A35"/>
    <w:rsid w:val="00017DAD"/>
    <w:rsid w:val="00020D06"/>
    <w:rsid w:val="000228C6"/>
    <w:rsid w:val="00022C29"/>
    <w:rsid w:val="00023EB9"/>
    <w:rsid w:val="0002765E"/>
    <w:rsid w:val="0003029C"/>
    <w:rsid w:val="00031606"/>
    <w:rsid w:val="00035660"/>
    <w:rsid w:val="0003672C"/>
    <w:rsid w:val="000405A3"/>
    <w:rsid w:val="00040A0E"/>
    <w:rsid w:val="0004258A"/>
    <w:rsid w:val="00042EA6"/>
    <w:rsid w:val="000458D6"/>
    <w:rsid w:val="00045CCC"/>
    <w:rsid w:val="00046644"/>
    <w:rsid w:val="000468A3"/>
    <w:rsid w:val="00046E7E"/>
    <w:rsid w:val="000476B7"/>
    <w:rsid w:val="00052F09"/>
    <w:rsid w:val="000533ED"/>
    <w:rsid w:val="0005480F"/>
    <w:rsid w:val="00054DC2"/>
    <w:rsid w:val="00055D56"/>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120"/>
    <w:rsid w:val="000A7C7A"/>
    <w:rsid w:val="000B2930"/>
    <w:rsid w:val="000B3921"/>
    <w:rsid w:val="000B47EB"/>
    <w:rsid w:val="000B6D47"/>
    <w:rsid w:val="000C11B0"/>
    <w:rsid w:val="000C1371"/>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4419"/>
    <w:rsid w:val="0010460F"/>
    <w:rsid w:val="00105B65"/>
    <w:rsid w:val="0010705A"/>
    <w:rsid w:val="0010706B"/>
    <w:rsid w:val="00107139"/>
    <w:rsid w:val="0011134F"/>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71B3"/>
    <w:rsid w:val="00182462"/>
    <w:rsid w:val="00182F54"/>
    <w:rsid w:val="00183247"/>
    <w:rsid w:val="001834D5"/>
    <w:rsid w:val="00185E78"/>
    <w:rsid w:val="0018607F"/>
    <w:rsid w:val="00187127"/>
    <w:rsid w:val="001873B7"/>
    <w:rsid w:val="001900D5"/>
    <w:rsid w:val="0019029A"/>
    <w:rsid w:val="0019036B"/>
    <w:rsid w:val="001914C9"/>
    <w:rsid w:val="001916AD"/>
    <w:rsid w:val="00193ABF"/>
    <w:rsid w:val="00195BBA"/>
    <w:rsid w:val="00197B14"/>
    <w:rsid w:val="001A0846"/>
    <w:rsid w:val="001A1C4B"/>
    <w:rsid w:val="001A45AB"/>
    <w:rsid w:val="001A4E93"/>
    <w:rsid w:val="001A6170"/>
    <w:rsid w:val="001A6231"/>
    <w:rsid w:val="001A7FEB"/>
    <w:rsid w:val="001B0D52"/>
    <w:rsid w:val="001B4E4F"/>
    <w:rsid w:val="001B5402"/>
    <w:rsid w:val="001B66D4"/>
    <w:rsid w:val="001B7DE5"/>
    <w:rsid w:val="001C0692"/>
    <w:rsid w:val="001C0806"/>
    <w:rsid w:val="001C0D2B"/>
    <w:rsid w:val="001C2AF1"/>
    <w:rsid w:val="001C2CA9"/>
    <w:rsid w:val="001C414F"/>
    <w:rsid w:val="001C4A26"/>
    <w:rsid w:val="001D0E8A"/>
    <w:rsid w:val="001D2E07"/>
    <w:rsid w:val="001D5BDB"/>
    <w:rsid w:val="001D5EBC"/>
    <w:rsid w:val="001E028B"/>
    <w:rsid w:val="001E0E38"/>
    <w:rsid w:val="001E1371"/>
    <w:rsid w:val="001E3FB9"/>
    <w:rsid w:val="001E5E85"/>
    <w:rsid w:val="001F2373"/>
    <w:rsid w:val="001F2E16"/>
    <w:rsid w:val="001F344A"/>
    <w:rsid w:val="001F6E1A"/>
    <w:rsid w:val="0020238B"/>
    <w:rsid w:val="002033C0"/>
    <w:rsid w:val="00206FB9"/>
    <w:rsid w:val="00212B05"/>
    <w:rsid w:val="00214D8A"/>
    <w:rsid w:val="002162C0"/>
    <w:rsid w:val="00222E65"/>
    <w:rsid w:val="00225C40"/>
    <w:rsid w:val="00226289"/>
    <w:rsid w:val="00226B38"/>
    <w:rsid w:val="0022729A"/>
    <w:rsid w:val="00232004"/>
    <w:rsid w:val="002326C5"/>
    <w:rsid w:val="00233645"/>
    <w:rsid w:val="0023418B"/>
    <w:rsid w:val="002349C9"/>
    <w:rsid w:val="00236262"/>
    <w:rsid w:val="00240FB5"/>
    <w:rsid w:val="00242F78"/>
    <w:rsid w:val="0024411A"/>
    <w:rsid w:val="00247084"/>
    <w:rsid w:val="00247908"/>
    <w:rsid w:val="0025169E"/>
    <w:rsid w:val="002533AC"/>
    <w:rsid w:val="0025430D"/>
    <w:rsid w:val="0025632B"/>
    <w:rsid w:val="00257ECB"/>
    <w:rsid w:val="00261103"/>
    <w:rsid w:val="002625BE"/>
    <w:rsid w:val="00263B17"/>
    <w:rsid w:val="002703A0"/>
    <w:rsid w:val="00272291"/>
    <w:rsid w:val="0027326F"/>
    <w:rsid w:val="002768E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C71B3"/>
    <w:rsid w:val="002C7FE1"/>
    <w:rsid w:val="002D08F2"/>
    <w:rsid w:val="002D1DE5"/>
    <w:rsid w:val="002D3B91"/>
    <w:rsid w:val="002D425A"/>
    <w:rsid w:val="002D4761"/>
    <w:rsid w:val="002D5609"/>
    <w:rsid w:val="002D56D7"/>
    <w:rsid w:val="002E1C53"/>
    <w:rsid w:val="002E2A6C"/>
    <w:rsid w:val="002E60A9"/>
    <w:rsid w:val="002E764E"/>
    <w:rsid w:val="002E7A68"/>
    <w:rsid w:val="002F1540"/>
    <w:rsid w:val="002F3625"/>
    <w:rsid w:val="002F417D"/>
    <w:rsid w:val="002F4223"/>
    <w:rsid w:val="002F7148"/>
    <w:rsid w:val="003011F5"/>
    <w:rsid w:val="00301884"/>
    <w:rsid w:val="00301B48"/>
    <w:rsid w:val="00301D88"/>
    <w:rsid w:val="00306057"/>
    <w:rsid w:val="003069A5"/>
    <w:rsid w:val="00306CC0"/>
    <w:rsid w:val="003102BA"/>
    <w:rsid w:val="00313EAE"/>
    <w:rsid w:val="003163FB"/>
    <w:rsid w:val="00320AAE"/>
    <w:rsid w:val="0032300B"/>
    <w:rsid w:val="003237A1"/>
    <w:rsid w:val="00326D52"/>
    <w:rsid w:val="003321E8"/>
    <w:rsid w:val="00332F4D"/>
    <w:rsid w:val="00333091"/>
    <w:rsid w:val="0033453D"/>
    <w:rsid w:val="00336C84"/>
    <w:rsid w:val="00337DC8"/>
    <w:rsid w:val="003400DB"/>
    <w:rsid w:val="003419E1"/>
    <w:rsid w:val="00342065"/>
    <w:rsid w:val="0034270A"/>
    <w:rsid w:val="003447E1"/>
    <w:rsid w:val="00344BD5"/>
    <w:rsid w:val="00346152"/>
    <w:rsid w:val="00346E94"/>
    <w:rsid w:val="0035150A"/>
    <w:rsid w:val="0035220C"/>
    <w:rsid w:val="003535B2"/>
    <w:rsid w:val="003564B4"/>
    <w:rsid w:val="003568DB"/>
    <w:rsid w:val="00360444"/>
    <w:rsid w:val="00362C69"/>
    <w:rsid w:val="00364635"/>
    <w:rsid w:val="00365469"/>
    <w:rsid w:val="00371B31"/>
    <w:rsid w:val="00373697"/>
    <w:rsid w:val="0037405B"/>
    <w:rsid w:val="00375BC7"/>
    <w:rsid w:val="00376D4E"/>
    <w:rsid w:val="003774D6"/>
    <w:rsid w:val="00380AAF"/>
    <w:rsid w:val="003815D8"/>
    <w:rsid w:val="003828DB"/>
    <w:rsid w:val="0038733C"/>
    <w:rsid w:val="00387AE5"/>
    <w:rsid w:val="00390753"/>
    <w:rsid w:val="003925A2"/>
    <w:rsid w:val="00394C8F"/>
    <w:rsid w:val="00397458"/>
    <w:rsid w:val="003A30E3"/>
    <w:rsid w:val="003A3F94"/>
    <w:rsid w:val="003A62F1"/>
    <w:rsid w:val="003A7A68"/>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440"/>
    <w:rsid w:val="003E59E5"/>
    <w:rsid w:val="003E5A5B"/>
    <w:rsid w:val="003E6A20"/>
    <w:rsid w:val="003E7D57"/>
    <w:rsid w:val="003F5D8D"/>
    <w:rsid w:val="00400AEE"/>
    <w:rsid w:val="0040112B"/>
    <w:rsid w:val="0040209E"/>
    <w:rsid w:val="0040236B"/>
    <w:rsid w:val="00404285"/>
    <w:rsid w:val="004060A2"/>
    <w:rsid w:val="00410DBA"/>
    <w:rsid w:val="00410F08"/>
    <w:rsid w:val="00411877"/>
    <w:rsid w:val="004149CC"/>
    <w:rsid w:val="00414E25"/>
    <w:rsid w:val="00416344"/>
    <w:rsid w:val="004207D2"/>
    <w:rsid w:val="00423D68"/>
    <w:rsid w:val="00424487"/>
    <w:rsid w:val="00427B67"/>
    <w:rsid w:val="0043185B"/>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6D60"/>
    <w:rsid w:val="00457A5C"/>
    <w:rsid w:val="00461D77"/>
    <w:rsid w:val="00464896"/>
    <w:rsid w:val="00464C95"/>
    <w:rsid w:val="00465101"/>
    <w:rsid w:val="004654CA"/>
    <w:rsid w:val="00466F1B"/>
    <w:rsid w:val="004700EF"/>
    <w:rsid w:val="004706E1"/>
    <w:rsid w:val="00473CD7"/>
    <w:rsid w:val="004772C6"/>
    <w:rsid w:val="00477377"/>
    <w:rsid w:val="00480443"/>
    <w:rsid w:val="00480D98"/>
    <w:rsid w:val="004848C1"/>
    <w:rsid w:val="00490316"/>
    <w:rsid w:val="004904B8"/>
    <w:rsid w:val="00492518"/>
    <w:rsid w:val="0049390D"/>
    <w:rsid w:val="004A115D"/>
    <w:rsid w:val="004A3138"/>
    <w:rsid w:val="004A524C"/>
    <w:rsid w:val="004A5C75"/>
    <w:rsid w:val="004B020A"/>
    <w:rsid w:val="004B035B"/>
    <w:rsid w:val="004B048D"/>
    <w:rsid w:val="004B33ED"/>
    <w:rsid w:val="004B477F"/>
    <w:rsid w:val="004B5A0A"/>
    <w:rsid w:val="004B6A57"/>
    <w:rsid w:val="004B6B27"/>
    <w:rsid w:val="004C188B"/>
    <w:rsid w:val="004C1CC2"/>
    <w:rsid w:val="004C29DC"/>
    <w:rsid w:val="004C3904"/>
    <w:rsid w:val="004C3A7C"/>
    <w:rsid w:val="004C3E08"/>
    <w:rsid w:val="004C4D90"/>
    <w:rsid w:val="004C5945"/>
    <w:rsid w:val="004C6554"/>
    <w:rsid w:val="004D0A9B"/>
    <w:rsid w:val="004D14A7"/>
    <w:rsid w:val="004D16C7"/>
    <w:rsid w:val="004D293A"/>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4C39"/>
    <w:rsid w:val="004F709D"/>
    <w:rsid w:val="004F7FAB"/>
    <w:rsid w:val="00501D36"/>
    <w:rsid w:val="005039F6"/>
    <w:rsid w:val="00503F8D"/>
    <w:rsid w:val="00504328"/>
    <w:rsid w:val="00506116"/>
    <w:rsid w:val="00510442"/>
    <w:rsid w:val="00510A62"/>
    <w:rsid w:val="005124D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47E11"/>
    <w:rsid w:val="005510CF"/>
    <w:rsid w:val="0055165C"/>
    <w:rsid w:val="00552486"/>
    <w:rsid w:val="0055254B"/>
    <w:rsid w:val="005525A8"/>
    <w:rsid w:val="005566D4"/>
    <w:rsid w:val="0055740F"/>
    <w:rsid w:val="00557FC1"/>
    <w:rsid w:val="00560241"/>
    <w:rsid w:val="00562B25"/>
    <w:rsid w:val="005644B9"/>
    <w:rsid w:val="00564F41"/>
    <w:rsid w:val="005650CB"/>
    <w:rsid w:val="00565E14"/>
    <w:rsid w:val="00566C44"/>
    <w:rsid w:val="00567D27"/>
    <w:rsid w:val="0057099B"/>
    <w:rsid w:val="0057272C"/>
    <w:rsid w:val="0057279D"/>
    <w:rsid w:val="0057286B"/>
    <w:rsid w:val="00572D52"/>
    <w:rsid w:val="0057419D"/>
    <w:rsid w:val="00580DD1"/>
    <w:rsid w:val="0058331D"/>
    <w:rsid w:val="0058551A"/>
    <w:rsid w:val="00592A8A"/>
    <w:rsid w:val="00597250"/>
    <w:rsid w:val="00597545"/>
    <w:rsid w:val="005A24BE"/>
    <w:rsid w:val="005A32ED"/>
    <w:rsid w:val="005A3EB3"/>
    <w:rsid w:val="005A436D"/>
    <w:rsid w:val="005B048F"/>
    <w:rsid w:val="005B46A2"/>
    <w:rsid w:val="005B57D0"/>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E6BD2"/>
    <w:rsid w:val="005F0A5E"/>
    <w:rsid w:val="005F281E"/>
    <w:rsid w:val="005F458C"/>
    <w:rsid w:val="005F4749"/>
    <w:rsid w:val="005F4E2B"/>
    <w:rsid w:val="005F5003"/>
    <w:rsid w:val="005F7055"/>
    <w:rsid w:val="005F7137"/>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3FD"/>
    <w:rsid w:val="00625C0C"/>
    <w:rsid w:val="0063094B"/>
    <w:rsid w:val="006333A7"/>
    <w:rsid w:val="0063378B"/>
    <w:rsid w:val="00634610"/>
    <w:rsid w:val="00634972"/>
    <w:rsid w:val="006350AE"/>
    <w:rsid w:val="00635C2A"/>
    <w:rsid w:val="00636A81"/>
    <w:rsid w:val="0063751E"/>
    <w:rsid w:val="00637983"/>
    <w:rsid w:val="0064094E"/>
    <w:rsid w:val="0064128F"/>
    <w:rsid w:val="0064158E"/>
    <w:rsid w:val="006417AB"/>
    <w:rsid w:val="0064356A"/>
    <w:rsid w:val="00646A2B"/>
    <w:rsid w:val="00646D56"/>
    <w:rsid w:val="00647AD7"/>
    <w:rsid w:val="00652FC1"/>
    <w:rsid w:val="00653501"/>
    <w:rsid w:val="0065365F"/>
    <w:rsid w:val="006550CC"/>
    <w:rsid w:val="00656B76"/>
    <w:rsid w:val="00656E82"/>
    <w:rsid w:val="0066074B"/>
    <w:rsid w:val="00661FB7"/>
    <w:rsid w:val="0066294F"/>
    <w:rsid w:val="00664128"/>
    <w:rsid w:val="006649F6"/>
    <w:rsid w:val="00666EDE"/>
    <w:rsid w:val="00667311"/>
    <w:rsid w:val="00667641"/>
    <w:rsid w:val="006677B9"/>
    <w:rsid w:val="00670157"/>
    <w:rsid w:val="00672D9F"/>
    <w:rsid w:val="00676351"/>
    <w:rsid w:val="00680B4E"/>
    <w:rsid w:val="006823E4"/>
    <w:rsid w:val="00683A15"/>
    <w:rsid w:val="00684F68"/>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54BD"/>
    <w:rsid w:val="006A7C15"/>
    <w:rsid w:val="006B0D96"/>
    <w:rsid w:val="006B1F24"/>
    <w:rsid w:val="006B2A02"/>
    <w:rsid w:val="006B4F2F"/>
    <w:rsid w:val="006B5D65"/>
    <w:rsid w:val="006B75E9"/>
    <w:rsid w:val="006C0A16"/>
    <w:rsid w:val="006C0AEB"/>
    <w:rsid w:val="006C1009"/>
    <w:rsid w:val="006C23E3"/>
    <w:rsid w:val="006C6272"/>
    <w:rsid w:val="006C753E"/>
    <w:rsid w:val="006D03AF"/>
    <w:rsid w:val="006D1526"/>
    <w:rsid w:val="006D1B3B"/>
    <w:rsid w:val="006D263D"/>
    <w:rsid w:val="006D457D"/>
    <w:rsid w:val="006D4AE6"/>
    <w:rsid w:val="006D592A"/>
    <w:rsid w:val="006D61C8"/>
    <w:rsid w:val="006D75A4"/>
    <w:rsid w:val="006E0BD6"/>
    <w:rsid w:val="006E23CB"/>
    <w:rsid w:val="006E2CA3"/>
    <w:rsid w:val="006E7977"/>
    <w:rsid w:val="006F0A7B"/>
    <w:rsid w:val="006F1FF4"/>
    <w:rsid w:val="006F3521"/>
    <w:rsid w:val="006F3539"/>
    <w:rsid w:val="006F5AA8"/>
    <w:rsid w:val="006F714D"/>
    <w:rsid w:val="007000AB"/>
    <w:rsid w:val="00700536"/>
    <w:rsid w:val="00701700"/>
    <w:rsid w:val="00702929"/>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35734"/>
    <w:rsid w:val="00742D56"/>
    <w:rsid w:val="00743087"/>
    <w:rsid w:val="00743090"/>
    <w:rsid w:val="00743192"/>
    <w:rsid w:val="007459D6"/>
    <w:rsid w:val="00746EA9"/>
    <w:rsid w:val="007479A8"/>
    <w:rsid w:val="00751BE0"/>
    <w:rsid w:val="00752754"/>
    <w:rsid w:val="007536F2"/>
    <w:rsid w:val="00755D87"/>
    <w:rsid w:val="00756F30"/>
    <w:rsid w:val="007602E4"/>
    <w:rsid w:val="00760B23"/>
    <w:rsid w:val="007662BA"/>
    <w:rsid w:val="00767703"/>
    <w:rsid w:val="00770FEC"/>
    <w:rsid w:val="00771349"/>
    <w:rsid w:val="00771688"/>
    <w:rsid w:val="00772033"/>
    <w:rsid w:val="007723A4"/>
    <w:rsid w:val="0077509A"/>
    <w:rsid w:val="007769DC"/>
    <w:rsid w:val="00780C09"/>
    <w:rsid w:val="00781BF1"/>
    <w:rsid w:val="00783A94"/>
    <w:rsid w:val="00785243"/>
    <w:rsid w:val="00786B7D"/>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129CC"/>
    <w:rsid w:val="00812A28"/>
    <w:rsid w:val="0081457D"/>
    <w:rsid w:val="00814C9B"/>
    <w:rsid w:val="00816A1C"/>
    <w:rsid w:val="00816A92"/>
    <w:rsid w:val="00816AA2"/>
    <w:rsid w:val="00816B48"/>
    <w:rsid w:val="00817A8D"/>
    <w:rsid w:val="0082048C"/>
    <w:rsid w:val="008235AC"/>
    <w:rsid w:val="008254DE"/>
    <w:rsid w:val="00827DFF"/>
    <w:rsid w:val="008309C1"/>
    <w:rsid w:val="00830BEA"/>
    <w:rsid w:val="00831D4F"/>
    <w:rsid w:val="00833C4C"/>
    <w:rsid w:val="008346DD"/>
    <w:rsid w:val="00834A73"/>
    <w:rsid w:val="00834C8F"/>
    <w:rsid w:val="0083514F"/>
    <w:rsid w:val="00835E81"/>
    <w:rsid w:val="008376A2"/>
    <w:rsid w:val="00840944"/>
    <w:rsid w:val="0084192D"/>
    <w:rsid w:val="00841CE3"/>
    <w:rsid w:val="00844BBE"/>
    <w:rsid w:val="00844E11"/>
    <w:rsid w:val="00845411"/>
    <w:rsid w:val="00847B4E"/>
    <w:rsid w:val="00851218"/>
    <w:rsid w:val="00853613"/>
    <w:rsid w:val="00853E00"/>
    <w:rsid w:val="008545DB"/>
    <w:rsid w:val="00854C9F"/>
    <w:rsid w:val="008570E3"/>
    <w:rsid w:val="0086047A"/>
    <w:rsid w:val="00861551"/>
    <w:rsid w:val="00861BAB"/>
    <w:rsid w:val="00861F1F"/>
    <w:rsid w:val="0086411A"/>
    <w:rsid w:val="00865842"/>
    <w:rsid w:val="00865988"/>
    <w:rsid w:val="0086765D"/>
    <w:rsid w:val="008720DA"/>
    <w:rsid w:val="00872EE4"/>
    <w:rsid w:val="008749EE"/>
    <w:rsid w:val="00877FF1"/>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B48"/>
    <w:rsid w:val="008B1163"/>
    <w:rsid w:val="008B324B"/>
    <w:rsid w:val="008B3B43"/>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97E"/>
    <w:rsid w:val="00906B26"/>
    <w:rsid w:val="00906F3D"/>
    <w:rsid w:val="009072DC"/>
    <w:rsid w:val="0090795C"/>
    <w:rsid w:val="009079E6"/>
    <w:rsid w:val="00907BA9"/>
    <w:rsid w:val="009103E0"/>
    <w:rsid w:val="009115CC"/>
    <w:rsid w:val="00911BB0"/>
    <w:rsid w:val="00914A0E"/>
    <w:rsid w:val="00914E0B"/>
    <w:rsid w:val="00915301"/>
    <w:rsid w:val="009159FD"/>
    <w:rsid w:val="00916353"/>
    <w:rsid w:val="009205AB"/>
    <w:rsid w:val="00921464"/>
    <w:rsid w:val="00921C49"/>
    <w:rsid w:val="009226E4"/>
    <w:rsid w:val="00922A72"/>
    <w:rsid w:val="0092339E"/>
    <w:rsid w:val="00924F99"/>
    <w:rsid w:val="00930A07"/>
    <w:rsid w:val="00931ADE"/>
    <w:rsid w:val="0093359B"/>
    <w:rsid w:val="009336EE"/>
    <w:rsid w:val="00933789"/>
    <w:rsid w:val="009339B8"/>
    <w:rsid w:val="00936CE4"/>
    <w:rsid w:val="0093727F"/>
    <w:rsid w:val="00937872"/>
    <w:rsid w:val="00937FE9"/>
    <w:rsid w:val="00940045"/>
    <w:rsid w:val="00942E1A"/>
    <w:rsid w:val="00943466"/>
    <w:rsid w:val="009456DE"/>
    <w:rsid w:val="00945721"/>
    <w:rsid w:val="009515A9"/>
    <w:rsid w:val="009521D6"/>
    <w:rsid w:val="009533B5"/>
    <w:rsid w:val="00954298"/>
    <w:rsid w:val="00955A73"/>
    <w:rsid w:val="00955BB2"/>
    <w:rsid w:val="0095618A"/>
    <w:rsid w:val="0096065C"/>
    <w:rsid w:val="009611C0"/>
    <w:rsid w:val="0096460F"/>
    <w:rsid w:val="009648CB"/>
    <w:rsid w:val="00964F8B"/>
    <w:rsid w:val="00965D7F"/>
    <w:rsid w:val="009663C4"/>
    <w:rsid w:val="009705ED"/>
    <w:rsid w:val="00970F4E"/>
    <w:rsid w:val="009730DB"/>
    <w:rsid w:val="00976243"/>
    <w:rsid w:val="00977841"/>
    <w:rsid w:val="00977F7A"/>
    <w:rsid w:val="009830E7"/>
    <w:rsid w:val="009841DF"/>
    <w:rsid w:val="00991DE3"/>
    <w:rsid w:val="0099331C"/>
    <w:rsid w:val="00995238"/>
    <w:rsid w:val="0099628B"/>
    <w:rsid w:val="009A1028"/>
    <w:rsid w:val="009A28D3"/>
    <w:rsid w:val="009A2915"/>
    <w:rsid w:val="009A3454"/>
    <w:rsid w:val="009A400F"/>
    <w:rsid w:val="009B022C"/>
    <w:rsid w:val="009B0ECC"/>
    <w:rsid w:val="009B15E5"/>
    <w:rsid w:val="009B1BAB"/>
    <w:rsid w:val="009B35FA"/>
    <w:rsid w:val="009B63B4"/>
    <w:rsid w:val="009B7C4A"/>
    <w:rsid w:val="009C05A1"/>
    <w:rsid w:val="009C0FED"/>
    <w:rsid w:val="009C23E8"/>
    <w:rsid w:val="009C2A3D"/>
    <w:rsid w:val="009C32F6"/>
    <w:rsid w:val="009C33AC"/>
    <w:rsid w:val="009C35EA"/>
    <w:rsid w:val="009C5303"/>
    <w:rsid w:val="009D004D"/>
    <w:rsid w:val="009D12FE"/>
    <w:rsid w:val="009D1EFC"/>
    <w:rsid w:val="009D37CA"/>
    <w:rsid w:val="009D4468"/>
    <w:rsid w:val="009D783D"/>
    <w:rsid w:val="009E295C"/>
    <w:rsid w:val="009E6021"/>
    <w:rsid w:val="009E6C98"/>
    <w:rsid w:val="009F037D"/>
    <w:rsid w:val="009F0FE2"/>
    <w:rsid w:val="009F111B"/>
    <w:rsid w:val="009F16DB"/>
    <w:rsid w:val="009F2356"/>
    <w:rsid w:val="009F27AB"/>
    <w:rsid w:val="009F2C0C"/>
    <w:rsid w:val="009F5D81"/>
    <w:rsid w:val="009F71D5"/>
    <w:rsid w:val="00A015F1"/>
    <w:rsid w:val="00A0257C"/>
    <w:rsid w:val="00A02A22"/>
    <w:rsid w:val="00A031E0"/>
    <w:rsid w:val="00A04CC7"/>
    <w:rsid w:val="00A06FEB"/>
    <w:rsid w:val="00A0710C"/>
    <w:rsid w:val="00A07499"/>
    <w:rsid w:val="00A101A9"/>
    <w:rsid w:val="00A1133D"/>
    <w:rsid w:val="00A12A7B"/>
    <w:rsid w:val="00A1368E"/>
    <w:rsid w:val="00A13A43"/>
    <w:rsid w:val="00A13A91"/>
    <w:rsid w:val="00A14653"/>
    <w:rsid w:val="00A15678"/>
    <w:rsid w:val="00A15C39"/>
    <w:rsid w:val="00A16FFC"/>
    <w:rsid w:val="00A21690"/>
    <w:rsid w:val="00A231D3"/>
    <w:rsid w:val="00A23290"/>
    <w:rsid w:val="00A24612"/>
    <w:rsid w:val="00A30C3E"/>
    <w:rsid w:val="00A311B1"/>
    <w:rsid w:val="00A32982"/>
    <w:rsid w:val="00A32A2B"/>
    <w:rsid w:val="00A32B47"/>
    <w:rsid w:val="00A36643"/>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E2C"/>
    <w:rsid w:val="00A57017"/>
    <w:rsid w:val="00A5779B"/>
    <w:rsid w:val="00A606F5"/>
    <w:rsid w:val="00A60E8E"/>
    <w:rsid w:val="00A61234"/>
    <w:rsid w:val="00A6142D"/>
    <w:rsid w:val="00A636B8"/>
    <w:rsid w:val="00A63BEC"/>
    <w:rsid w:val="00A64CCE"/>
    <w:rsid w:val="00A64D4F"/>
    <w:rsid w:val="00A650AF"/>
    <w:rsid w:val="00A6537D"/>
    <w:rsid w:val="00A66A0C"/>
    <w:rsid w:val="00A706F1"/>
    <w:rsid w:val="00A711B9"/>
    <w:rsid w:val="00A7151A"/>
    <w:rsid w:val="00A727D6"/>
    <w:rsid w:val="00A73AEA"/>
    <w:rsid w:val="00A74ACA"/>
    <w:rsid w:val="00A76331"/>
    <w:rsid w:val="00A76453"/>
    <w:rsid w:val="00A81F11"/>
    <w:rsid w:val="00A8444B"/>
    <w:rsid w:val="00A84B32"/>
    <w:rsid w:val="00A861E4"/>
    <w:rsid w:val="00A86F9F"/>
    <w:rsid w:val="00A94035"/>
    <w:rsid w:val="00A94152"/>
    <w:rsid w:val="00A96F59"/>
    <w:rsid w:val="00AA2E4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3348"/>
    <w:rsid w:val="00AE4A0B"/>
    <w:rsid w:val="00AE52B4"/>
    <w:rsid w:val="00AE799F"/>
    <w:rsid w:val="00AF06F1"/>
    <w:rsid w:val="00AF28F9"/>
    <w:rsid w:val="00AF2D4A"/>
    <w:rsid w:val="00AF36D9"/>
    <w:rsid w:val="00AF7AC3"/>
    <w:rsid w:val="00AF7B97"/>
    <w:rsid w:val="00B02987"/>
    <w:rsid w:val="00B04882"/>
    <w:rsid w:val="00B06223"/>
    <w:rsid w:val="00B07E88"/>
    <w:rsid w:val="00B101CA"/>
    <w:rsid w:val="00B16128"/>
    <w:rsid w:val="00B1719E"/>
    <w:rsid w:val="00B17B3C"/>
    <w:rsid w:val="00B21F5A"/>
    <w:rsid w:val="00B24C16"/>
    <w:rsid w:val="00B25253"/>
    <w:rsid w:val="00B26688"/>
    <w:rsid w:val="00B27AED"/>
    <w:rsid w:val="00B27C8F"/>
    <w:rsid w:val="00B30D6A"/>
    <w:rsid w:val="00B31F04"/>
    <w:rsid w:val="00B328A7"/>
    <w:rsid w:val="00B33E46"/>
    <w:rsid w:val="00B34D5A"/>
    <w:rsid w:val="00B352BB"/>
    <w:rsid w:val="00B378C8"/>
    <w:rsid w:val="00B37FA6"/>
    <w:rsid w:val="00B42585"/>
    <w:rsid w:val="00B4331E"/>
    <w:rsid w:val="00B500CC"/>
    <w:rsid w:val="00B536FE"/>
    <w:rsid w:val="00B53C14"/>
    <w:rsid w:val="00B53FF7"/>
    <w:rsid w:val="00B54912"/>
    <w:rsid w:val="00B55B0D"/>
    <w:rsid w:val="00B55FB5"/>
    <w:rsid w:val="00B63CA3"/>
    <w:rsid w:val="00B65093"/>
    <w:rsid w:val="00B6668C"/>
    <w:rsid w:val="00B67DB6"/>
    <w:rsid w:val="00B70312"/>
    <w:rsid w:val="00B713EA"/>
    <w:rsid w:val="00B720DE"/>
    <w:rsid w:val="00B73216"/>
    <w:rsid w:val="00B768C8"/>
    <w:rsid w:val="00B82D08"/>
    <w:rsid w:val="00B847AE"/>
    <w:rsid w:val="00B850E6"/>
    <w:rsid w:val="00B856F9"/>
    <w:rsid w:val="00B85C9A"/>
    <w:rsid w:val="00B868D8"/>
    <w:rsid w:val="00B86944"/>
    <w:rsid w:val="00B86A12"/>
    <w:rsid w:val="00B92712"/>
    <w:rsid w:val="00B92A78"/>
    <w:rsid w:val="00B92F89"/>
    <w:rsid w:val="00B9371E"/>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3CC"/>
    <w:rsid w:val="00BC1EA7"/>
    <w:rsid w:val="00BC276D"/>
    <w:rsid w:val="00BC33C2"/>
    <w:rsid w:val="00BC4A5F"/>
    <w:rsid w:val="00BC50FC"/>
    <w:rsid w:val="00BC5DCD"/>
    <w:rsid w:val="00BD00F1"/>
    <w:rsid w:val="00BD0D6F"/>
    <w:rsid w:val="00BD2A05"/>
    <w:rsid w:val="00BD4D8A"/>
    <w:rsid w:val="00BD6828"/>
    <w:rsid w:val="00BE10EB"/>
    <w:rsid w:val="00BE2402"/>
    <w:rsid w:val="00BE2EB8"/>
    <w:rsid w:val="00BE2F25"/>
    <w:rsid w:val="00BE4B9A"/>
    <w:rsid w:val="00BE519E"/>
    <w:rsid w:val="00BE52CE"/>
    <w:rsid w:val="00BE61AD"/>
    <w:rsid w:val="00BE71D1"/>
    <w:rsid w:val="00BE751F"/>
    <w:rsid w:val="00BF3604"/>
    <w:rsid w:val="00BF3A11"/>
    <w:rsid w:val="00BF3A84"/>
    <w:rsid w:val="00BF5D15"/>
    <w:rsid w:val="00C0183C"/>
    <w:rsid w:val="00C04842"/>
    <w:rsid w:val="00C04E22"/>
    <w:rsid w:val="00C06A7E"/>
    <w:rsid w:val="00C07462"/>
    <w:rsid w:val="00C11F64"/>
    <w:rsid w:val="00C12514"/>
    <w:rsid w:val="00C1295F"/>
    <w:rsid w:val="00C12C7B"/>
    <w:rsid w:val="00C135E4"/>
    <w:rsid w:val="00C14027"/>
    <w:rsid w:val="00C1696C"/>
    <w:rsid w:val="00C231C6"/>
    <w:rsid w:val="00C2338E"/>
    <w:rsid w:val="00C2587B"/>
    <w:rsid w:val="00C25D90"/>
    <w:rsid w:val="00C26D08"/>
    <w:rsid w:val="00C26EBD"/>
    <w:rsid w:val="00C274D3"/>
    <w:rsid w:val="00C275E8"/>
    <w:rsid w:val="00C27B68"/>
    <w:rsid w:val="00C30070"/>
    <w:rsid w:val="00C308C1"/>
    <w:rsid w:val="00C31554"/>
    <w:rsid w:val="00C3168D"/>
    <w:rsid w:val="00C322F6"/>
    <w:rsid w:val="00C32F8C"/>
    <w:rsid w:val="00C33877"/>
    <w:rsid w:val="00C338B8"/>
    <w:rsid w:val="00C340AC"/>
    <w:rsid w:val="00C43ED0"/>
    <w:rsid w:val="00C456B5"/>
    <w:rsid w:val="00C468B2"/>
    <w:rsid w:val="00C46DC0"/>
    <w:rsid w:val="00C50006"/>
    <w:rsid w:val="00C517EF"/>
    <w:rsid w:val="00C54AE8"/>
    <w:rsid w:val="00C56A24"/>
    <w:rsid w:val="00C5732C"/>
    <w:rsid w:val="00C57BCD"/>
    <w:rsid w:val="00C57D5B"/>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B1BF5"/>
    <w:rsid w:val="00CB30C7"/>
    <w:rsid w:val="00CB429D"/>
    <w:rsid w:val="00CB5659"/>
    <w:rsid w:val="00CB60E1"/>
    <w:rsid w:val="00CB6521"/>
    <w:rsid w:val="00CB6CDB"/>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2288"/>
    <w:rsid w:val="00CE4F08"/>
    <w:rsid w:val="00CE564C"/>
    <w:rsid w:val="00CE5CDB"/>
    <w:rsid w:val="00CF1011"/>
    <w:rsid w:val="00CF48E2"/>
    <w:rsid w:val="00CF4B03"/>
    <w:rsid w:val="00CF53D7"/>
    <w:rsid w:val="00CF5D55"/>
    <w:rsid w:val="00D004BD"/>
    <w:rsid w:val="00D0106C"/>
    <w:rsid w:val="00D025C8"/>
    <w:rsid w:val="00D048D9"/>
    <w:rsid w:val="00D121ED"/>
    <w:rsid w:val="00D1304D"/>
    <w:rsid w:val="00D140E0"/>
    <w:rsid w:val="00D1421B"/>
    <w:rsid w:val="00D149BE"/>
    <w:rsid w:val="00D16F5E"/>
    <w:rsid w:val="00D21286"/>
    <w:rsid w:val="00D22136"/>
    <w:rsid w:val="00D24ED3"/>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5A99"/>
    <w:rsid w:val="00D6043C"/>
    <w:rsid w:val="00D612ED"/>
    <w:rsid w:val="00D61FB2"/>
    <w:rsid w:val="00D63239"/>
    <w:rsid w:val="00D63B77"/>
    <w:rsid w:val="00D63D1E"/>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3A6"/>
    <w:rsid w:val="00DB07CF"/>
    <w:rsid w:val="00DB1006"/>
    <w:rsid w:val="00DB318F"/>
    <w:rsid w:val="00DB4B9A"/>
    <w:rsid w:val="00DC1732"/>
    <w:rsid w:val="00DC401B"/>
    <w:rsid w:val="00DC4654"/>
    <w:rsid w:val="00DC5476"/>
    <w:rsid w:val="00DD3BE4"/>
    <w:rsid w:val="00DD512F"/>
    <w:rsid w:val="00DD5BBE"/>
    <w:rsid w:val="00DD6A06"/>
    <w:rsid w:val="00DE2113"/>
    <w:rsid w:val="00DE4224"/>
    <w:rsid w:val="00DE4934"/>
    <w:rsid w:val="00DF02B3"/>
    <w:rsid w:val="00DF0559"/>
    <w:rsid w:val="00DF0AE6"/>
    <w:rsid w:val="00DF2BAC"/>
    <w:rsid w:val="00DF48B6"/>
    <w:rsid w:val="00DF598B"/>
    <w:rsid w:val="00DF5BF3"/>
    <w:rsid w:val="00DF7A91"/>
    <w:rsid w:val="00E00F09"/>
    <w:rsid w:val="00E0230B"/>
    <w:rsid w:val="00E023CF"/>
    <w:rsid w:val="00E02CA9"/>
    <w:rsid w:val="00E0556F"/>
    <w:rsid w:val="00E0704A"/>
    <w:rsid w:val="00E10159"/>
    <w:rsid w:val="00E11E92"/>
    <w:rsid w:val="00E12774"/>
    <w:rsid w:val="00E151BF"/>
    <w:rsid w:val="00E15CFC"/>
    <w:rsid w:val="00E160BB"/>
    <w:rsid w:val="00E203C5"/>
    <w:rsid w:val="00E20B6E"/>
    <w:rsid w:val="00E217AF"/>
    <w:rsid w:val="00E21E68"/>
    <w:rsid w:val="00E25D21"/>
    <w:rsid w:val="00E276C6"/>
    <w:rsid w:val="00E27C7D"/>
    <w:rsid w:val="00E337B0"/>
    <w:rsid w:val="00E367D3"/>
    <w:rsid w:val="00E40166"/>
    <w:rsid w:val="00E445E4"/>
    <w:rsid w:val="00E459A9"/>
    <w:rsid w:val="00E467EE"/>
    <w:rsid w:val="00E4737E"/>
    <w:rsid w:val="00E47B62"/>
    <w:rsid w:val="00E504FB"/>
    <w:rsid w:val="00E52A43"/>
    <w:rsid w:val="00E55EF9"/>
    <w:rsid w:val="00E6250D"/>
    <w:rsid w:val="00E625FB"/>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6C1E"/>
    <w:rsid w:val="00E770F4"/>
    <w:rsid w:val="00E775AB"/>
    <w:rsid w:val="00E77934"/>
    <w:rsid w:val="00E77C68"/>
    <w:rsid w:val="00E80FC3"/>
    <w:rsid w:val="00E812C5"/>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07BF"/>
    <w:rsid w:val="00EC2173"/>
    <w:rsid w:val="00EC23CC"/>
    <w:rsid w:val="00EC40BB"/>
    <w:rsid w:val="00EC6E58"/>
    <w:rsid w:val="00ED1346"/>
    <w:rsid w:val="00ED3CEA"/>
    <w:rsid w:val="00ED4562"/>
    <w:rsid w:val="00EE119C"/>
    <w:rsid w:val="00EE20A2"/>
    <w:rsid w:val="00EE2196"/>
    <w:rsid w:val="00EE22F1"/>
    <w:rsid w:val="00EE3827"/>
    <w:rsid w:val="00EE4632"/>
    <w:rsid w:val="00EE4AB8"/>
    <w:rsid w:val="00EF02DC"/>
    <w:rsid w:val="00EF1C79"/>
    <w:rsid w:val="00EF1E33"/>
    <w:rsid w:val="00EF250B"/>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43A3"/>
    <w:rsid w:val="00F24DB6"/>
    <w:rsid w:val="00F25DE8"/>
    <w:rsid w:val="00F27853"/>
    <w:rsid w:val="00F34438"/>
    <w:rsid w:val="00F34612"/>
    <w:rsid w:val="00F37391"/>
    <w:rsid w:val="00F4145C"/>
    <w:rsid w:val="00F43062"/>
    <w:rsid w:val="00F441DD"/>
    <w:rsid w:val="00F45FF5"/>
    <w:rsid w:val="00F47828"/>
    <w:rsid w:val="00F52A8D"/>
    <w:rsid w:val="00F538C6"/>
    <w:rsid w:val="00F54885"/>
    <w:rsid w:val="00F559D2"/>
    <w:rsid w:val="00F56CB1"/>
    <w:rsid w:val="00F56CE1"/>
    <w:rsid w:val="00F61206"/>
    <w:rsid w:val="00F613DC"/>
    <w:rsid w:val="00F6214A"/>
    <w:rsid w:val="00F63897"/>
    <w:rsid w:val="00F6411C"/>
    <w:rsid w:val="00F657A2"/>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B7C"/>
    <w:rsid w:val="00F94316"/>
    <w:rsid w:val="00F944A6"/>
    <w:rsid w:val="00F9578E"/>
    <w:rsid w:val="00F966FC"/>
    <w:rsid w:val="00FA0CC7"/>
    <w:rsid w:val="00FA1BC0"/>
    <w:rsid w:val="00FA1E01"/>
    <w:rsid w:val="00FA2C02"/>
    <w:rsid w:val="00FA3783"/>
    <w:rsid w:val="00FA3BBB"/>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D168B"/>
    <w:rsid w:val="00FD2104"/>
    <w:rsid w:val="00FD2A51"/>
    <w:rsid w:val="00FD2C21"/>
    <w:rsid w:val="00FD3191"/>
    <w:rsid w:val="00FD4151"/>
    <w:rsid w:val="00FD48C0"/>
    <w:rsid w:val="00FD5EA6"/>
    <w:rsid w:val="00FD6410"/>
    <w:rsid w:val="00FD7D02"/>
    <w:rsid w:val="00FE0A1C"/>
    <w:rsid w:val="00FE1742"/>
    <w:rsid w:val="00FE4C7E"/>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F13588"/>
    <w:rsid w:val="15EE60AA"/>
    <w:rsid w:val="1A174205"/>
    <w:rsid w:val="1C421CEE"/>
    <w:rsid w:val="1E7354F5"/>
    <w:rsid w:val="20CA2053"/>
    <w:rsid w:val="21E169EA"/>
    <w:rsid w:val="23635580"/>
    <w:rsid w:val="23705540"/>
    <w:rsid w:val="23871575"/>
    <w:rsid w:val="238D3B77"/>
    <w:rsid w:val="26090F1F"/>
    <w:rsid w:val="2663236B"/>
    <w:rsid w:val="26C17FC9"/>
    <w:rsid w:val="29374301"/>
    <w:rsid w:val="2A0E523D"/>
    <w:rsid w:val="2C916D79"/>
    <w:rsid w:val="317C2B11"/>
    <w:rsid w:val="321E3FFA"/>
    <w:rsid w:val="324F5B44"/>
    <w:rsid w:val="327F1980"/>
    <w:rsid w:val="32F12432"/>
    <w:rsid w:val="346E09F2"/>
    <w:rsid w:val="349B09AA"/>
    <w:rsid w:val="35D044B2"/>
    <w:rsid w:val="36375735"/>
    <w:rsid w:val="378A4584"/>
    <w:rsid w:val="378C6D4A"/>
    <w:rsid w:val="390C7D35"/>
    <w:rsid w:val="39290B7B"/>
    <w:rsid w:val="3D3C085F"/>
    <w:rsid w:val="3E8A5678"/>
    <w:rsid w:val="3F654A5D"/>
    <w:rsid w:val="426C4F0E"/>
    <w:rsid w:val="431C567C"/>
    <w:rsid w:val="44B63F1A"/>
    <w:rsid w:val="451654F4"/>
    <w:rsid w:val="48810F87"/>
    <w:rsid w:val="4A5B3B64"/>
    <w:rsid w:val="4AC01A61"/>
    <w:rsid w:val="4B42452F"/>
    <w:rsid w:val="4B820183"/>
    <w:rsid w:val="4B88547A"/>
    <w:rsid w:val="4BC01C90"/>
    <w:rsid w:val="4E1A1FF3"/>
    <w:rsid w:val="50CF1F2E"/>
    <w:rsid w:val="51E031B4"/>
    <w:rsid w:val="531A4FAA"/>
    <w:rsid w:val="535C05BC"/>
    <w:rsid w:val="541B05CB"/>
    <w:rsid w:val="54A46742"/>
    <w:rsid w:val="5AE76118"/>
    <w:rsid w:val="5B197DCD"/>
    <w:rsid w:val="5BCE7D78"/>
    <w:rsid w:val="5C3A5466"/>
    <w:rsid w:val="5CE14FED"/>
    <w:rsid w:val="5DC51364"/>
    <w:rsid w:val="6014409A"/>
    <w:rsid w:val="621A06A3"/>
    <w:rsid w:val="649C1615"/>
    <w:rsid w:val="64B32B11"/>
    <w:rsid w:val="65962F5E"/>
    <w:rsid w:val="65A70431"/>
    <w:rsid w:val="6646797E"/>
    <w:rsid w:val="665520F7"/>
    <w:rsid w:val="682B70D6"/>
    <w:rsid w:val="68375C81"/>
    <w:rsid w:val="68DA1C74"/>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02EC5"/>
  <w15:docId w15:val="{BAEE1C50-FB5D-47C8-BEF0-F0976ADB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1">
    <w:name w:val="annotation subject"/>
    <w:basedOn w:val="a4"/>
    <w:next w:val="a4"/>
    <w:link w:val="af2"/>
    <w:uiPriority w:val="99"/>
    <w:semiHidden/>
    <w:unhideWhenUsed/>
    <w:qFormat/>
    <w:rPr>
      <w:b/>
      <w:bCs/>
    </w:rPr>
  </w:style>
  <w:style w:type="character" w:styleId="af3">
    <w:name w:val="Strong"/>
    <w:uiPriority w:val="22"/>
    <w:qFormat/>
    <w:rPr>
      <w:b/>
      <w:bCs/>
    </w:rPr>
  </w:style>
  <w:style w:type="character" w:styleId="af4">
    <w:name w:val="Emphasis"/>
    <w:uiPriority w:val="20"/>
    <w:qFormat/>
    <w:rPr>
      <w:i/>
      <w:iCs/>
    </w:rPr>
  </w:style>
  <w:style w:type="character" w:styleId="af5">
    <w:name w:val="Hyperlink"/>
    <w:basedOn w:val="a0"/>
    <w:uiPriority w:val="99"/>
    <w:semiHidden/>
    <w:unhideWhenUsed/>
    <w:rPr>
      <w:color w:val="0000FF"/>
      <w:u w:val="single"/>
    </w:rPr>
  </w:style>
  <w:style w:type="character" w:styleId="af6">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0">
    <w:name w:val="标题 字符"/>
    <w:link w:val="af"/>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7">
    <w:name w:val="No Spacing"/>
    <w:uiPriority w:val="1"/>
    <w:qFormat/>
    <w:rPr>
      <w:rFonts w:asciiTheme="minorHAnsi" w:eastAsiaTheme="minorEastAsia" w:hAnsiTheme="minorHAnsi" w:cstheme="minorBidi"/>
      <w:sz w:val="22"/>
      <w:szCs w:val="22"/>
    </w:rPr>
  </w:style>
  <w:style w:type="paragraph" w:styleId="af8">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9">
    <w:name w:val="Quote"/>
    <w:basedOn w:val="a"/>
    <w:next w:val="a"/>
    <w:link w:val="afa"/>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a">
    <w:name w:val="引用 字符"/>
    <w:link w:val="af9"/>
    <w:uiPriority w:val="29"/>
    <w:qFormat/>
    <w:rPr>
      <w:i/>
      <w:iCs/>
      <w:color w:val="000000"/>
    </w:rPr>
  </w:style>
  <w:style w:type="paragraph" w:styleId="afb">
    <w:name w:val="Intense Quote"/>
    <w:basedOn w:val="a"/>
    <w:next w:val="a"/>
    <w:link w:val="afc"/>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c">
    <w:name w:val="明显引用 字符"/>
    <w:link w:val="afb"/>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Pr>
      <w:rFonts w:ascii="宋体" w:eastAsia="宋体" w:hAnsi="宋体" w:hint="eastAsia"/>
      <w:b/>
      <w:bCs/>
      <w:color w:val="000000"/>
      <w:sz w:val="21"/>
      <w:szCs w:val="21"/>
      <w:u w:val="none"/>
    </w:rPr>
  </w:style>
  <w:style w:type="character" w:customStyle="1" w:styleId="font41">
    <w:name w:val="font41"/>
    <w:basedOn w:val="a0"/>
    <w:rPr>
      <w:rFonts w:ascii="Times New Roman" w:hAnsi="Times New Roman" w:cs="Times New Roman" w:hint="default"/>
      <w:color w:val="000000"/>
      <w:sz w:val="21"/>
      <w:szCs w:val="21"/>
      <w:u w:val="none"/>
    </w:rPr>
  </w:style>
  <w:style w:type="character" w:customStyle="1" w:styleId="font11">
    <w:name w:val="font11"/>
    <w:basedOn w:val="a0"/>
    <w:rPr>
      <w:rFonts w:ascii="宋体" w:eastAsia="宋体" w:hAnsi="宋体" w:hint="eastAsia"/>
      <w:color w:val="000000"/>
      <w:sz w:val="21"/>
      <w:szCs w:val="21"/>
      <w:u w:val="none"/>
    </w:rPr>
  </w:style>
  <w:style w:type="character" w:customStyle="1" w:styleId="biaodian">
    <w:name w:val="biaodia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14</Pages>
  <Words>1441</Words>
  <Characters>8217</Characters>
  <Application>Microsoft Office Word</Application>
  <DocSecurity>0</DocSecurity>
  <Lines>68</Lines>
  <Paragraphs>19</Paragraphs>
  <ScaleCrop>false</ScaleCrop>
  <Company>Microsoft</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401</cp:revision>
  <cp:lastPrinted>2024-05-14T09:00:00Z</cp:lastPrinted>
  <dcterms:created xsi:type="dcterms:W3CDTF">2023-06-02T09:16:00Z</dcterms:created>
  <dcterms:modified xsi:type="dcterms:W3CDTF">2025-10-31T06:26:00Z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2052-12.1.0.20784</vt:lpwstr>
  </property>
  <property fmtid="{D5CDD505-2E9C-101B-9397-08002B2CF9AE}" pid="4" name="ICV">
    <vt:lpwstr>4008ABD01AF747508157E4D0231EB8D4_13</vt:lpwstr>
  </property>
  <property fmtid="{D5CDD505-2E9C-101B-9397-08002B2CF9AE}" pid="5" name="KSOTemplateDocerSaveRecord">
    <vt:lpwstr>eyJoZGlkIjoiZWE5Njk2MWRkOTA3NjA0MzNkNjY0ZWY3MWI5MGFlYjUiLCJ1c2VySWQiOiI1ODUzMDk2MjkifQ==</vt:lpwstr>
  </property>
</Properties>
</file>