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0881" w14:textId="2D5AEAE9" w:rsidR="00615EA2" w:rsidRPr="00615EA2" w:rsidRDefault="00615EA2" w:rsidP="00615EA2">
      <w:pPr>
        <w:spacing w:beforeLines="50" w:before="156" w:afterLines="50" w:after="156" w:line="400" w:lineRule="exac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688566                               </w:t>
      </w:r>
      <w:r w:rsidR="00E25D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证券简称：吉贝尔</w:t>
      </w:r>
    </w:p>
    <w:p w14:paraId="12E1417D" w14:textId="77777777" w:rsidR="003C5F4C" w:rsidRDefault="00615EA2" w:rsidP="00615EA2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江苏吉贝尔药业</w:t>
      </w: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股份有限公司</w:t>
      </w:r>
    </w:p>
    <w:p w14:paraId="3520FBE1" w14:textId="669A19D2" w:rsidR="00615EA2" w:rsidRPr="00615EA2" w:rsidRDefault="00615EA2" w:rsidP="003C5F4C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4D6BB75C" w14:textId="75C306CB" w:rsidR="00615EA2" w:rsidRPr="002A56ED" w:rsidRDefault="00615EA2" w:rsidP="002B4310">
      <w:pPr>
        <w:spacing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DE55BC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5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-00</w:t>
      </w:r>
      <w:r w:rsidR="00145F92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458"/>
      </w:tblGrid>
      <w:tr w:rsidR="00615EA2" w:rsidRPr="00615EA2" w14:paraId="341D585F" w14:textId="77777777" w:rsidTr="00DD05F1">
        <w:trPr>
          <w:trHeight w:val="25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487" w14:textId="16DA390D" w:rsidR="00615EA2" w:rsidRPr="00615EA2" w:rsidRDefault="00615EA2" w:rsidP="00C0021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58E" w14:textId="48BA3F1F" w:rsidR="00615EA2" w:rsidRPr="00DF6B32" w:rsidRDefault="00F55959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DF6B32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D009924" w14:textId="25774BF2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F55959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AFFC887" w14:textId="77777777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21BCC3B4" w14:textId="0973542F" w:rsidR="00615EA2" w:rsidRPr="00DF6B32" w:rsidRDefault="00505B09" w:rsidP="00615EA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61AC9001" w14:textId="7D83F678" w:rsidR="00615EA2" w:rsidRPr="00DF6B32" w:rsidRDefault="00145F92" w:rsidP="00615EA2">
            <w:pPr>
              <w:tabs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DF6B32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  <w:r w:rsidR="00717671" w:rsidRPr="0071767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线上会议</w:t>
            </w:r>
            <w:r w:rsidR="00717671" w:rsidRPr="0071767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）</w:t>
            </w:r>
          </w:p>
        </w:tc>
      </w:tr>
      <w:tr w:rsidR="00615EA2" w:rsidRPr="00615EA2" w14:paraId="33C292B8" w14:textId="77777777" w:rsidTr="00191A6F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FE77" w14:textId="77777777" w:rsidR="00615EA2" w:rsidRPr="00615EA2" w:rsidRDefault="00615EA2" w:rsidP="003D165D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FC9" w14:textId="51F5EE1F" w:rsidR="00D759F5" w:rsidRPr="001E22C9" w:rsidRDefault="001E22C9" w:rsidP="00E64192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sz w:val="24"/>
                <w:szCs w:val="28"/>
              </w:rPr>
            </w:pPr>
            <w:r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方正证券 </w:t>
            </w:r>
            <w:proofErr w:type="gramStart"/>
            <w:r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周超泽</w:t>
            </w:r>
            <w:proofErr w:type="gramEnd"/>
            <w:r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、许睿；</w:t>
            </w:r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天风证券 杨松、李臻；西南证券 杜向阳、伍云逍；开源证券</w:t>
            </w:r>
            <w:r w:rsidR="00E64192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刘艺；中信证券 梁心怡；财通证券 华挺、宋田田；国</w:t>
            </w:r>
            <w:proofErr w:type="gramStart"/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海证券</w:t>
            </w:r>
            <w:proofErr w:type="gramEnd"/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赵宁</w:t>
            </w:r>
            <w:proofErr w:type="gramStart"/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宁</w:t>
            </w:r>
            <w:proofErr w:type="gramEnd"/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；招商证券 许菲菲、欧阳京；国金证券 王奔奔；山西证券</w:t>
            </w:r>
            <w:r w:rsidR="00E64192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魏赟、张智勇；平安证券 张梦鸽；国盛证券</w:t>
            </w:r>
            <w:r w:rsidR="00E64192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胡</w:t>
            </w:r>
            <w:proofErr w:type="gramStart"/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偌</w:t>
            </w:r>
            <w:proofErr w:type="gramEnd"/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碧；民生医药</w:t>
            </w:r>
            <w:r w:rsidR="00E64192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王维肖；华</w:t>
            </w:r>
            <w:proofErr w:type="gramStart"/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福证券</w:t>
            </w:r>
            <w:proofErr w:type="gramEnd"/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吴沛柯；东吴证券</w:t>
            </w:r>
            <w:r w:rsidR="00E64192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冉胜男；中</w:t>
            </w:r>
            <w:proofErr w:type="gramStart"/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邮证券</w:t>
            </w:r>
            <w:proofErr w:type="gramEnd"/>
            <w:r w:rsidR="00E641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岑峻宇；</w:t>
            </w:r>
            <w:r w:rsidR="005D11DA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华安证券 任婉莹</w:t>
            </w:r>
            <w:r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；</w:t>
            </w:r>
            <w:r w:rsidR="005D11DA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光大证券 刘勇；</w:t>
            </w:r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中</w:t>
            </w:r>
            <w:proofErr w:type="gramStart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金基金</w:t>
            </w:r>
            <w:proofErr w:type="gramEnd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杨璐嘉；天</w:t>
            </w:r>
            <w:proofErr w:type="gramStart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治基金</w:t>
            </w:r>
            <w:proofErr w:type="gramEnd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管理有限公司 王娟；</w:t>
            </w:r>
            <w:proofErr w:type="gramStart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长江资管</w:t>
            </w:r>
            <w:proofErr w:type="gramEnd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汪中昊；</w:t>
            </w:r>
            <w:proofErr w:type="gramStart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太朴持</w:t>
            </w:r>
            <w:proofErr w:type="gramEnd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信私募基金管理（珠海）有限公司 崔巍；深圳市</w:t>
            </w:r>
            <w:proofErr w:type="gramStart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翼虎投资</w:t>
            </w:r>
            <w:proofErr w:type="gramEnd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管理有限公司</w:t>
            </w:r>
            <w:r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熊斌；</w:t>
            </w:r>
            <w:proofErr w:type="gramStart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汇添富 向秋静</w:t>
            </w:r>
            <w:proofErr w:type="gramEnd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；野村东方国际证券有限公司 王道；金信基金管理有限公司</w:t>
            </w:r>
            <w:r w:rsidR="008346E3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黄飙；</w:t>
            </w:r>
            <w:proofErr w:type="gramStart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申万菱</w:t>
            </w:r>
            <w:proofErr w:type="gramEnd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信基金管理有限公司 姚宏福；招商基金管理有限公司（深圳）</w:t>
            </w:r>
            <w:r w:rsidR="005D11DA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周雨婷；中国人寿养老保险股份有限公司 王靖予；宝</w:t>
            </w:r>
            <w:proofErr w:type="gramStart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盈基金</w:t>
            </w:r>
            <w:proofErr w:type="gramEnd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郑熊婧；平安基金 季清斌；</w:t>
            </w:r>
            <w:proofErr w:type="gramStart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创金合</w:t>
            </w:r>
            <w:proofErr w:type="gramEnd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信基金管理有限公司 张小郭；</w:t>
            </w:r>
            <w:proofErr w:type="gramStart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深圳市尚诚资产</w:t>
            </w:r>
            <w:proofErr w:type="gramEnd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管理有限责任公司</w:t>
            </w:r>
            <w:r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黄向前；江苏大正十方股权投资基金管理有限公司 程凯；深圳中天汇富基金管理有限公司 慕陶；鸿运私募基金管理(海南)有限公司 张弼臣；上海人寿保险股份有限公司 刘仁建；国都证券 文惠霞；东方证券自营</w:t>
            </w:r>
            <w:r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王光宇；博</w:t>
            </w:r>
            <w:proofErr w:type="gramStart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远基金</w:t>
            </w:r>
            <w:proofErr w:type="gramEnd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谭飞；北京成泉资本管理有限公司</w:t>
            </w:r>
            <w:r w:rsidR="008346E3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</w:t>
            </w:r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>王海斌；</w:t>
            </w:r>
            <w:proofErr w:type="gramStart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lastRenderedPageBreak/>
              <w:t>禧弘资产</w:t>
            </w:r>
            <w:proofErr w:type="gramEnd"/>
            <w:r w:rsidR="00145F92" w:rsidRPr="001E22C9">
              <w:rPr>
                <w:rFonts w:asciiTheme="minorEastAsia" w:hAnsiTheme="minorEastAsia" w:cs="Times New Roman" w:hint="eastAsia"/>
                <w:sz w:val="24"/>
                <w:szCs w:val="28"/>
              </w:rPr>
              <w:t xml:space="preserve"> 杨莹；北京永域资产管理有限公司 李凯（排名不分先后）</w:t>
            </w:r>
          </w:p>
        </w:tc>
      </w:tr>
      <w:tr w:rsidR="00615EA2" w:rsidRPr="00615EA2" w14:paraId="16B3EE2A" w14:textId="77777777" w:rsidTr="00DD05F1">
        <w:trPr>
          <w:trHeight w:val="7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85F" w14:textId="0EF8416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时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1F3" w14:textId="298AAB8D" w:rsidR="00092B98" w:rsidRPr="005730C5" w:rsidRDefault="006726BB" w:rsidP="00E03034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745F1E"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170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145F9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145F9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145F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:00-1</w:t>
            </w:r>
            <w:r w:rsidR="00145F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 w:rsidR="00505B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615EA2" w:rsidRPr="00615EA2" w14:paraId="79DF6DE2" w14:textId="77777777" w:rsidTr="00DD05F1">
        <w:trPr>
          <w:trHeight w:val="6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6E4B" w14:textId="2DBEE23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ED16" w14:textId="151925DE" w:rsidR="00615EA2" w:rsidRPr="005730C5" w:rsidRDefault="00145F92" w:rsidP="00DD05F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线上会议</w:t>
            </w:r>
          </w:p>
        </w:tc>
      </w:tr>
      <w:tr w:rsidR="00615EA2" w:rsidRPr="00615EA2" w14:paraId="6BACE6DB" w14:textId="77777777" w:rsidTr="00DD05F1">
        <w:trPr>
          <w:trHeight w:val="9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71EA" w14:textId="77777777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17E" w14:textId="77777777" w:rsidR="00145F92" w:rsidRPr="005730C5" w:rsidRDefault="00145F92" w:rsidP="00145F9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翟建中</w:t>
            </w:r>
          </w:p>
          <w:p w14:paraId="71FEE9F4" w14:textId="77777777" w:rsidR="00144424" w:rsidRPr="005730C5" w:rsidRDefault="00144424" w:rsidP="0014442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财务总监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赵锁富</w:t>
            </w:r>
            <w:proofErr w:type="gramEnd"/>
          </w:p>
          <w:p w14:paraId="7A191010" w14:textId="77777777" w:rsidR="0026136F" w:rsidRDefault="00145F92" w:rsidP="00145F9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F9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核心技术人员、研究所副所长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李海岛</w:t>
            </w:r>
          </w:p>
          <w:p w14:paraId="6629C664" w14:textId="515AD2CD" w:rsidR="00145F92" w:rsidRPr="005730C5" w:rsidRDefault="00145F92" w:rsidP="00145F9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r w:rsidR="009863E7" w:rsidRPr="009863E7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、证券投资</w:t>
            </w:r>
            <w:proofErr w:type="gramStart"/>
            <w:r w:rsidR="009863E7" w:rsidRPr="009863E7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部</w:t>
            </w:r>
            <w:proofErr w:type="gramEnd"/>
            <w:r w:rsidR="009863E7" w:rsidRPr="009863E7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部长</w:t>
            </w:r>
            <w:r w:rsidR="009863E7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成祥东</w:t>
            </w:r>
          </w:p>
        </w:tc>
      </w:tr>
      <w:tr w:rsidR="00615EA2" w:rsidRPr="00615EA2" w14:paraId="1959B08B" w14:textId="77777777" w:rsidTr="00877547">
        <w:trPr>
          <w:trHeight w:val="75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D517" w14:textId="25FAB6DA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1DBF" w14:textId="05C48821" w:rsidR="00F441E4" w:rsidRPr="006B428D" w:rsidRDefault="00F55959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一、公司基本情况介绍</w:t>
            </w:r>
          </w:p>
          <w:p w14:paraId="418DF33E" w14:textId="77777777" w:rsidR="00F55959" w:rsidRPr="006B428D" w:rsidRDefault="00F55959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二、交流互动环节</w:t>
            </w:r>
          </w:p>
          <w:p w14:paraId="4E07F891" w14:textId="79DF792C" w:rsidR="00F55959" w:rsidRPr="006B428D" w:rsidRDefault="00474AB7" w:rsidP="006B428D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、抗抑郁新药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="008346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8346E3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proofErr w:type="gramStart"/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期数据</w:t>
            </w:r>
            <w:proofErr w:type="gramEnd"/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展现出哪些优势，后续工作怎么安排？</w:t>
            </w:r>
          </w:p>
          <w:p w14:paraId="4985F8A8" w14:textId="64A73CC2" w:rsidR="00F55959" w:rsidRPr="006B428D" w:rsidRDefault="00474AB7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抗抑郁新药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是公司依托于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氘代药物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研发技术平台正在研发的新型多受体作用机制的抗抑郁一类新药，具有明显的抗抑郁作用，目前已完成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期临床试验。</w:t>
            </w:r>
          </w:p>
          <w:p w14:paraId="7839642D" w14:textId="77777777" w:rsidR="00474AB7" w:rsidRPr="006B428D" w:rsidRDefault="00474AB7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根据《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期临床研究总结报告》，研究结果显示，试验药物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10mg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组和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15mg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组连续服用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周后，治疗抑郁症患者的临床疗效均显著优于安慰剂组，具有统计学意义，且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JH201501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10mg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组和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15mg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组疗效与氢溴酸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伏硫西汀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20mg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组相当。</w:t>
            </w:r>
          </w:p>
          <w:p w14:paraId="4CC5116D" w14:textId="77777777" w:rsidR="00474AB7" w:rsidRPr="006B428D" w:rsidRDefault="00474AB7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片的安全性和耐受性良好，其中大部分常见不良反应发生率，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10mg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组低于氢溴酸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伏硫西汀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20mg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组，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15mg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组低于或与氢溴酸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伏硫西汀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20mg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组相当；导致受试者脱落和永久停药的不良反应发生率，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10mg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组和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15mg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组与安慰剂组相当，均低于氢溴酸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伏硫西汀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20mg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组。</w:t>
            </w:r>
          </w:p>
          <w:p w14:paraId="3F3A5ED6" w14:textId="77777777" w:rsidR="00474AB7" w:rsidRPr="006B428D" w:rsidRDefault="00474AB7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每日一次口服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10mg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或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15mg JJH201501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片可有效治疗成人抑郁症，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片的安全性和耐受性良好且较氢溴酸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伏硫西汀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片具有一定优势。因此，本品初始剂量和推荐剂量均为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10mg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，每日一次。临床使用中可以根据患者个体反应进行调整，剂量可增加至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15mg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，每日一次。</w:t>
            </w:r>
          </w:p>
          <w:p w14:paraId="17076D28" w14:textId="40B13640" w:rsidR="00474AB7" w:rsidRPr="006B428D" w:rsidRDefault="00474AB7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公司将在抗抑郁新药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完成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期临床试验后，按照有关规定申报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NDA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（新药上市申请），积极推进抗抑郁新药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后续进程，并按照有关规定及时履行信息披露义务，有关信息以公司在指定信息披露媒体上披露的信息为准。</w:t>
            </w:r>
          </w:p>
          <w:p w14:paraId="33127F1A" w14:textId="0D388519" w:rsidR="00474AB7" w:rsidRPr="006B428D" w:rsidRDefault="00474AB7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、尼群</w:t>
            </w:r>
            <w:proofErr w:type="gramStart"/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洛</w:t>
            </w:r>
            <w:proofErr w:type="gramEnd"/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尔入院拓展进度？后续放量节奏预期</w:t>
            </w:r>
            <w:r w:rsidR="008346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如何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49545C69" w14:textId="10477454" w:rsidR="00474AB7" w:rsidRPr="006B428D" w:rsidRDefault="00474AB7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公司尼群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尔片是国内首个一类复方抗高血压新药，用于治疗轻中度原发性高血压，更适用于轻中度高血压合并心率快患者，治疗效果显著，获得专家一致好评和推荐。近年来，公司通过组建专门事业部、构建专家网络，加快推进尼群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尔片在高血压伴高心率细分领域</w:t>
            </w:r>
            <w:r w:rsidR="009863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推广与运用，加快扩大尼群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尔片销售规模，产品销售收入实现了持续较快增长。</w:t>
            </w:r>
          </w:p>
          <w:p w14:paraId="3E673A93" w14:textId="56FE1DB6" w:rsidR="00474AB7" w:rsidRPr="006B428D" w:rsidRDefault="00474AB7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截至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月底，尼群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尔片覆盖医院总数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3740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000</w:t>
            </w:r>
            <w:r w:rsidR="00DF37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余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家，最近一年新增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3740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 w:rsidR="00DF37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余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家；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年前三季度，尼群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尔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片实现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销售收入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13,528.65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万元</w:t>
            </w:r>
            <w:r w:rsidR="003740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（未经审计）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，同比增长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47.09%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，呈现出较快的增长态势。</w:t>
            </w:r>
          </w:p>
          <w:p w14:paraId="3D62E0BA" w14:textId="7A8C5D1E" w:rsidR="00F55959" w:rsidRPr="006B428D" w:rsidRDefault="00844377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7754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87754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抗肿瘤新药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JJH201601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的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instrText xml:space="preserve"> = 2 \* ROMAN </w:instrTex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proofErr w:type="spellStart"/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II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期临床适应症</w:t>
            </w:r>
            <w:r w:rsidR="005E22EA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入组进度</w:t>
            </w:r>
            <w:r w:rsidR="005E22EA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及数据读出预计节点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？后续计划开展的适应症？</w:t>
            </w:r>
            <w:r w:rsidR="005E22EA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22EA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5E22EA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instrText xml:space="preserve"> = 1 \* ROMAN </w:instrText>
            </w:r>
            <w:r w:rsidR="005E22EA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E22EA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I</w:t>
            </w:r>
            <w:r w:rsidR="005E22EA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期临床</w:t>
            </w:r>
            <w:r w:rsidR="005E22EA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试验结果怎么样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0830BABD" w14:textId="532B76B3" w:rsidR="00844377" w:rsidRPr="006B428D" w:rsidRDefault="00844377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公司在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研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抗肿瘤新药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JJH201601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是公司依托脂质体药物研发技术平台开发的一类抗肿瘤新药。</w:t>
            </w:r>
            <w:r w:rsidR="009650C6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目前</w:t>
            </w:r>
            <w:r w:rsid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8346E3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JJH201601</w:t>
            </w:r>
            <w:r w:rsidR="009650C6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正在开展单药</w:t>
            </w:r>
            <w:proofErr w:type="spellStart"/>
            <w:r w:rsidR="009650C6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IIa</w:t>
            </w:r>
            <w:proofErr w:type="spellEnd"/>
            <w:r w:rsidR="009650C6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期临床试验，</w:t>
            </w:r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根据产品优势特性，</w:t>
            </w:r>
            <w:r w:rsidR="009650C6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主要入组胆管癌患者，</w:t>
            </w:r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患者</w:t>
            </w:r>
            <w:r w:rsidR="009650C6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入组</w:t>
            </w:r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数量为</w:t>
            </w:r>
            <w:r w:rsidR="009650C6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  <w:r w:rsidR="009650C6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例</w:t>
            </w:r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，预计</w:t>
            </w:r>
            <w:r w:rsidR="008346E3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明年上半年</w:t>
            </w:r>
            <w:r w:rsid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读出</w:t>
            </w:r>
            <w:proofErr w:type="spellStart"/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IIa</w:t>
            </w:r>
            <w:proofErr w:type="spellEnd"/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期临床试验数据（实际读出时间以</w:t>
            </w:r>
            <w:proofErr w:type="spellStart"/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IIa</w:t>
            </w:r>
            <w:proofErr w:type="spellEnd"/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期临床试验开展情况及后续披露的信息为准）</w:t>
            </w:r>
            <w:r w:rsidR="003E7E55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同时，公司正在准备</w:t>
            </w:r>
            <w:r w:rsidR="008346E3" w:rsidRPr="008346E3">
              <w:rPr>
                <w:rFonts w:ascii="Times New Roman" w:eastAsia="宋体" w:hAnsi="Times New Roman" w:cs="Times New Roman"/>
                <w:sz w:val="24"/>
                <w:szCs w:val="24"/>
              </w:rPr>
              <w:t>JJH201601</w:t>
            </w:r>
            <w:r w:rsidR="008346E3" w:rsidRP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联合</w:t>
            </w:r>
            <w:proofErr w:type="gramStart"/>
            <w:r w:rsidR="008346E3" w:rsidRP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西妥昔单</w:t>
            </w:r>
            <w:proofErr w:type="gramEnd"/>
            <w:r w:rsidR="008346E3" w:rsidRP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抗</w:t>
            </w:r>
            <w:r w:rsidR="008346E3" w:rsidRP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8346E3" w:rsidRPr="008346E3">
              <w:rPr>
                <w:rFonts w:ascii="Times New Roman" w:eastAsia="宋体" w:hAnsi="Times New Roman" w:cs="Times New Roman"/>
                <w:sz w:val="24"/>
                <w:szCs w:val="24"/>
              </w:rPr>
              <w:t>β</w:t>
            </w:r>
            <w:r w:rsidR="008346E3" w:rsidRP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="008346E3" w:rsidRP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="008346E3" w:rsidRP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="008346E3" w:rsidRP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或特瑞普利</w:t>
            </w:r>
            <w:proofErr w:type="gramStart"/>
            <w:r w:rsidR="008346E3" w:rsidRP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单抗在晚期</w:t>
            </w:r>
            <w:proofErr w:type="gramEnd"/>
            <w:r w:rsidR="008346E3" w:rsidRP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头颈部鳞癌中开展临床试验。</w:t>
            </w:r>
            <w:r w:rsidR="003E7E55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JJH201601</w:t>
            </w:r>
            <w:r w:rsidR="00877547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begin"/>
            </w:r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instrText xml:space="preserve"> = 1 \* ROMAN </w:instrText>
            </w:r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separate"/>
            </w:r>
            <w:r w:rsidR="005E22EA" w:rsidRPr="006B428D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w:t>I</w:t>
            </w:r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end"/>
            </w:r>
            <w:r w:rsidR="005E22EA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期临床试验结果显示安全性良好。</w:t>
            </w:r>
          </w:p>
          <w:p w14:paraId="1278802B" w14:textId="1AEAE5C0" w:rsidR="005E22EA" w:rsidRPr="006B428D" w:rsidRDefault="005E22EA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4</w:t>
            </w:r>
            <w:r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、公司今年前三季度分产品销售收入可以简单的拆分一下吗？</w:t>
            </w:r>
          </w:p>
          <w:p w14:paraId="4C1C389B" w14:textId="53D9A7DA" w:rsidR="00844377" w:rsidRPr="006B428D" w:rsidRDefault="005E22EA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年前三季度，公司实现销售收入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70</w:t>
            </w:r>
            <w:r w:rsid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443.23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万元，</w:t>
            </w:r>
            <w:r w:rsidR="00DF37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同比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增长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9.52%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，其中利可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君片实现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销售收入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48,545.78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万元，同比增长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4.17%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；尼群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尔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片实现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销售收入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13,528.65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万元，同比增长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47.09%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，两个核心产品均实现了</w:t>
            </w:r>
            <w:r w:rsidR="008346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收入增长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其中尼群洛尔片保持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了较快的增长趋势</w:t>
            </w:r>
            <w:r w:rsidR="00DF37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9469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合计</w:t>
            </w:r>
            <w:r w:rsidR="00946997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实现销售收入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8,368.80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万元，</w:t>
            </w:r>
            <w:r w:rsidR="009469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同比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基本持平</w:t>
            </w:r>
            <w:r w:rsidR="00C566CC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（以上财务数据未经审计）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FA19B62" w14:textId="0E2B728D" w:rsidR="005E22EA" w:rsidRPr="006B428D" w:rsidRDefault="007128F8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="00CE016B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、利</w:t>
            </w:r>
            <w:proofErr w:type="gramStart"/>
            <w:r w:rsidR="00CE016B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可君片在</w:t>
            </w:r>
            <w:proofErr w:type="gramEnd"/>
            <w:r w:rsidR="00CE016B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肿瘤科推广情况和销售情况？</w:t>
            </w:r>
          </w:p>
          <w:p w14:paraId="6F217D26" w14:textId="20BFAEFF" w:rsidR="005E22EA" w:rsidRPr="006B428D" w:rsidRDefault="00CE016B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利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可君片作为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升白化药的代表性药品，对白细胞有促进增生作用，可广泛用于预防、治疗白血球减少症及血小板减少症、再生障碍性贫血等，特别是放射治疗和化学治疗引起的白细胞减少症具有显著疗效。《临床路径释义肿瘤疾病分册（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2022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年版）》将利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可君片作为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治疗恶性肿瘤疾病的推荐用药，研究表明，利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可君片对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预防及治疗恶性肿瘤患者在放疗、化疗过程中发生的骨髓抑制现象具有显著效果。公司正积极拓展利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可君片在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肿瘤领域的应用场景，目前，利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可君片已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单独或联合其他药物用于临床上白细胞减少症的治疗，取得良好的效果。</w:t>
            </w:r>
          </w:p>
          <w:p w14:paraId="1B43FC0A" w14:textId="3E0D80BE" w:rsidR="00CE016B" w:rsidRPr="006B428D" w:rsidRDefault="007128F8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6</w:t>
            </w:r>
            <w:r w:rsidR="00CE016B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、今年研发投入情况，明年研发费用及销售费用变化趋势是怎样的？</w:t>
            </w:r>
          </w:p>
          <w:p w14:paraId="57E2FA9D" w14:textId="2A3299FB" w:rsidR="00CE016B" w:rsidRPr="006B428D" w:rsidRDefault="00CE016B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年前三季度，公司研发投入合计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94699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232.76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万元，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其中费用化部分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3,021.22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万元，主要是抗肿瘤新药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JJH201601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及部分临床前新药的研发投入；资本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化部分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2,211.54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万元，主要是抗抑郁新药</w:t>
            </w:r>
            <w:r w:rsidR="007128F8" w:rsidRPr="007128F8">
              <w:rPr>
                <w:rFonts w:ascii="Times New Roman" w:eastAsia="宋体" w:hAnsi="Times New Roman" w:cs="Times New Roman"/>
                <w:sz w:val="24"/>
                <w:szCs w:val="24"/>
              </w:rPr>
              <w:t>JJH201</w:t>
            </w:r>
            <w:r w:rsidR="007128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7128F8" w:rsidRPr="007128F8">
              <w:rPr>
                <w:rFonts w:ascii="Times New Roman" w:eastAsia="宋体" w:hAnsi="Times New Roman" w:cs="Times New Roman"/>
                <w:sz w:val="24"/>
                <w:szCs w:val="24"/>
              </w:rPr>
              <w:t>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的研发投入</w:t>
            </w:r>
            <w:r w:rsidR="00C566CC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（以上财务数据未经审计）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4A6A0898" w14:textId="3F955226" w:rsidR="00CE016B" w:rsidRPr="006B428D" w:rsidRDefault="00CE016B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随着抗肿瘤新药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JJH201601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临床试验的推进，预计明年研发费用</w:t>
            </w:r>
            <w:r w:rsidR="00C566CC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（费用化）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会有所增加，但由于抗抑郁新药</w:t>
            </w:r>
            <w:r w:rsidR="007128F8" w:rsidRPr="007128F8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="00653B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完成临床阶段，总体的研发投入不会有太大的增加。</w:t>
            </w:r>
          </w:p>
          <w:p w14:paraId="722BCC40" w14:textId="27C9DBFB" w:rsidR="00CE016B" w:rsidRPr="006B428D" w:rsidRDefault="00CE016B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销售费用方面，由于近年来公司加快尼群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洛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尔片、利</w:t>
            </w:r>
            <w:proofErr w:type="gramStart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可君片等</w:t>
            </w:r>
            <w:proofErr w:type="gramEnd"/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产品推广，产品推广费用有所增加，随着后续销售规模的</w:t>
            </w:r>
            <w:r w:rsidR="00C566CC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扩大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，预计总体</w:t>
            </w:r>
            <w:r w:rsidR="00C566CC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费用率会</w:t>
            </w:r>
            <w:r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趋于平稳。</w:t>
            </w:r>
          </w:p>
          <w:p w14:paraId="793B0C37" w14:textId="0FCBCCBC" w:rsidR="00CE016B" w:rsidRPr="006B428D" w:rsidRDefault="007128F8" w:rsidP="006B428D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7</w:t>
            </w:r>
            <w:r w:rsidR="00C566CC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、公司</w:t>
            </w:r>
            <w:r w:rsidR="00C566CC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OTC</w:t>
            </w:r>
            <w:r w:rsidR="0028225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团队</w:t>
            </w:r>
            <w:r w:rsidR="00C566CC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的</w:t>
            </w:r>
            <w:r w:rsidR="006B428D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建设</w:t>
            </w:r>
            <w:r w:rsidR="00C566CC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情况，对</w:t>
            </w:r>
            <w:r w:rsidR="00C566CC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OTC</w:t>
            </w:r>
            <w:r w:rsidR="00C566CC" w:rsidRPr="006B428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渠道未来的发展规划？</w:t>
            </w:r>
          </w:p>
          <w:p w14:paraId="14479632" w14:textId="542628F5" w:rsidR="00CE016B" w:rsidRPr="006B428D" w:rsidRDefault="009863E7" w:rsidP="006B428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63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近年来，公司持续强化</w:t>
            </w:r>
            <w:r w:rsidRPr="009863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OTC</w:t>
            </w:r>
            <w:r w:rsidRPr="009863E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事业部建设，制定相应政策，积极布局零售药店、电商平台等院外市场，未来院外市场将成为公司营业收入增长的重要组成部分</w:t>
            </w:r>
            <w:r w:rsidR="006B428D" w:rsidRPr="006B428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615EA2" w:rsidRPr="00615EA2" w14:paraId="01E58C3E" w14:textId="77777777" w:rsidTr="00DD05F1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6B3" w14:textId="77777777" w:rsidR="00615EA2" w:rsidRPr="00615EA2" w:rsidRDefault="00615EA2" w:rsidP="00615EA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F53" w14:textId="59D01398" w:rsidR="00615EA2" w:rsidRPr="00615EA2" w:rsidRDefault="00BB5D0E" w:rsidP="00E03034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3F6C32" w:rsidRPr="00615EA2" w14:paraId="27232155" w14:textId="77777777" w:rsidTr="00DD05F1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F1DF" w14:textId="6E263DA7" w:rsidR="003F6C32" w:rsidRPr="00615EA2" w:rsidRDefault="003F6C32" w:rsidP="003F6C3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6CC" w14:textId="066A93CF" w:rsidR="003F6C32" w:rsidRDefault="003F6C32" w:rsidP="003F6C32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23232">
              <w:rPr>
                <w:rFonts w:ascii="宋体" w:hAnsi="宋体" w:cs="Times New Roman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3F6C32" w:rsidRPr="00615EA2" w14:paraId="3977881E" w14:textId="77777777" w:rsidTr="00DD05F1">
        <w:trPr>
          <w:trHeight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804" w14:textId="371AAA25" w:rsidR="003F6C32" w:rsidRPr="00615EA2" w:rsidRDefault="003F6C32" w:rsidP="003F6C3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22B7" w14:textId="3757C0CC" w:rsidR="003F6C32" w:rsidRPr="005B10AE" w:rsidRDefault="003F6C32" w:rsidP="003F6C32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1735C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D1380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946997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946997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336EBA9" w14:textId="1EE16D93" w:rsidR="00EA6D08" w:rsidRPr="00615EA2" w:rsidRDefault="00EA6D08" w:rsidP="00946997">
      <w:pPr>
        <w:rPr>
          <w:rFonts w:ascii="Times New Roman" w:eastAsia="宋体" w:hAnsi="Times New Roman" w:cs="Times New Roman"/>
          <w:szCs w:val="24"/>
        </w:rPr>
      </w:pPr>
    </w:p>
    <w:sectPr w:rsidR="00EA6D08" w:rsidRPr="00615EA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CF8E" w14:textId="77777777" w:rsidR="002E4151" w:rsidRDefault="002E4151" w:rsidP="000B0145">
      <w:r>
        <w:separator/>
      </w:r>
    </w:p>
  </w:endnote>
  <w:endnote w:type="continuationSeparator" w:id="0">
    <w:p w14:paraId="29C49262" w14:textId="77777777" w:rsidR="002E4151" w:rsidRDefault="002E4151" w:rsidP="000B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773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970C2A" w14:textId="08F431F5" w:rsidR="001E303E" w:rsidRPr="001E303E" w:rsidRDefault="001E303E" w:rsidP="001E303E">
        <w:pPr>
          <w:pStyle w:val="a5"/>
          <w:jc w:val="center"/>
          <w:rPr>
            <w:rFonts w:ascii="Times New Roman" w:hAnsi="Times New Roman" w:cs="Times New Roman"/>
          </w:rPr>
        </w:pPr>
        <w:r w:rsidRPr="001E303E">
          <w:rPr>
            <w:rFonts w:ascii="Times New Roman" w:hAnsi="Times New Roman" w:cs="Times New Roman"/>
          </w:rPr>
          <w:fldChar w:fldCharType="begin"/>
        </w:r>
        <w:r w:rsidRPr="001E303E">
          <w:rPr>
            <w:rFonts w:ascii="Times New Roman" w:hAnsi="Times New Roman" w:cs="Times New Roman"/>
          </w:rPr>
          <w:instrText>PAGE   \* MERGEFORMAT</w:instrText>
        </w:r>
        <w:r w:rsidRPr="001E303E">
          <w:rPr>
            <w:rFonts w:ascii="Times New Roman" w:hAnsi="Times New Roman" w:cs="Times New Roman"/>
          </w:rPr>
          <w:fldChar w:fldCharType="separate"/>
        </w:r>
        <w:r w:rsidRPr="001E303E">
          <w:rPr>
            <w:rFonts w:ascii="Times New Roman" w:hAnsi="Times New Roman" w:cs="Times New Roman"/>
            <w:lang w:val="zh-CN"/>
          </w:rPr>
          <w:t>2</w:t>
        </w:r>
        <w:r w:rsidRPr="001E30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CC87" w14:textId="77777777" w:rsidR="002E4151" w:rsidRDefault="002E4151" w:rsidP="000B0145">
      <w:r>
        <w:separator/>
      </w:r>
    </w:p>
  </w:footnote>
  <w:footnote w:type="continuationSeparator" w:id="0">
    <w:p w14:paraId="40372E6E" w14:textId="77777777" w:rsidR="002E4151" w:rsidRDefault="002E4151" w:rsidP="000B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1548" w14:textId="6834042C" w:rsidR="000546D4" w:rsidRPr="000546D4" w:rsidRDefault="000546D4" w:rsidP="00E25D5E">
    <w:pPr>
      <w:pStyle w:val="a3"/>
      <w:pBdr>
        <w:bottom w:val="none" w:sz="0" w:space="0" w:color="auto"/>
      </w:pBdr>
      <w:ind w:righ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79C"/>
    <w:multiLevelType w:val="hybridMultilevel"/>
    <w:tmpl w:val="0570DCD4"/>
    <w:lvl w:ilvl="0" w:tplc="35A449C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C2E344E"/>
    <w:multiLevelType w:val="hybridMultilevel"/>
    <w:tmpl w:val="06EC06A0"/>
    <w:lvl w:ilvl="0" w:tplc="2B5A7EDA">
      <w:start w:val="1"/>
      <w:numFmt w:val="japaneseCounting"/>
      <w:lvlText w:val="%1、"/>
      <w:lvlJc w:val="left"/>
      <w:pPr>
        <w:ind w:left="977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290B4934"/>
    <w:multiLevelType w:val="hybridMultilevel"/>
    <w:tmpl w:val="159C7C60"/>
    <w:lvl w:ilvl="0" w:tplc="2F0422BE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2A4B41F5"/>
    <w:multiLevelType w:val="hybridMultilevel"/>
    <w:tmpl w:val="0C72AC82"/>
    <w:lvl w:ilvl="0" w:tplc="AD88EF62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4" w15:restartNumberingAfterBreak="0">
    <w:nsid w:val="53966B2E"/>
    <w:multiLevelType w:val="hybridMultilevel"/>
    <w:tmpl w:val="8AE293C6"/>
    <w:lvl w:ilvl="0" w:tplc="E8AEE89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992828882">
    <w:abstractNumId w:val="4"/>
  </w:num>
  <w:num w:numId="2" w16cid:durableId="1385520923">
    <w:abstractNumId w:val="3"/>
  </w:num>
  <w:num w:numId="3" w16cid:durableId="822936289">
    <w:abstractNumId w:val="2"/>
  </w:num>
  <w:num w:numId="4" w16cid:durableId="1274483336">
    <w:abstractNumId w:val="1"/>
  </w:num>
  <w:num w:numId="5" w16cid:durableId="10488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AF"/>
    <w:rsid w:val="000546D4"/>
    <w:rsid w:val="000565A9"/>
    <w:rsid w:val="00085015"/>
    <w:rsid w:val="0008554E"/>
    <w:rsid w:val="00092B98"/>
    <w:rsid w:val="000A267F"/>
    <w:rsid w:val="000B0145"/>
    <w:rsid w:val="000C22D1"/>
    <w:rsid w:val="000C34B3"/>
    <w:rsid w:val="000C65F5"/>
    <w:rsid w:val="000E35E1"/>
    <w:rsid w:val="000E51C6"/>
    <w:rsid w:val="00106F7C"/>
    <w:rsid w:val="001114F6"/>
    <w:rsid w:val="001245B5"/>
    <w:rsid w:val="00132C40"/>
    <w:rsid w:val="00144424"/>
    <w:rsid w:val="00145F92"/>
    <w:rsid w:val="0015778C"/>
    <w:rsid w:val="001735C9"/>
    <w:rsid w:val="001856AC"/>
    <w:rsid w:val="001870EE"/>
    <w:rsid w:val="00191A6F"/>
    <w:rsid w:val="001A260A"/>
    <w:rsid w:val="001B271F"/>
    <w:rsid w:val="001B5524"/>
    <w:rsid w:val="001E22C9"/>
    <w:rsid w:val="001E303E"/>
    <w:rsid w:val="001F1095"/>
    <w:rsid w:val="001F78F0"/>
    <w:rsid w:val="001F7B9B"/>
    <w:rsid w:val="00201FA4"/>
    <w:rsid w:val="002078AB"/>
    <w:rsid w:val="00212AFB"/>
    <w:rsid w:val="00212F3D"/>
    <w:rsid w:val="0021415D"/>
    <w:rsid w:val="00227531"/>
    <w:rsid w:val="0022781E"/>
    <w:rsid w:val="00245C21"/>
    <w:rsid w:val="00255E0D"/>
    <w:rsid w:val="0026136F"/>
    <w:rsid w:val="002646EB"/>
    <w:rsid w:val="0027758C"/>
    <w:rsid w:val="00282255"/>
    <w:rsid w:val="00290A0A"/>
    <w:rsid w:val="0029442C"/>
    <w:rsid w:val="00295DBA"/>
    <w:rsid w:val="002A56ED"/>
    <w:rsid w:val="002B1CAD"/>
    <w:rsid w:val="002B4310"/>
    <w:rsid w:val="002B75BA"/>
    <w:rsid w:val="002C056B"/>
    <w:rsid w:val="002D082B"/>
    <w:rsid w:val="002D4AE8"/>
    <w:rsid w:val="002D724C"/>
    <w:rsid w:val="002E4151"/>
    <w:rsid w:val="002F09FD"/>
    <w:rsid w:val="00307435"/>
    <w:rsid w:val="003116CA"/>
    <w:rsid w:val="003155FC"/>
    <w:rsid w:val="00316D1E"/>
    <w:rsid w:val="0034080D"/>
    <w:rsid w:val="00345AD5"/>
    <w:rsid w:val="00352682"/>
    <w:rsid w:val="003564BC"/>
    <w:rsid w:val="003624A6"/>
    <w:rsid w:val="0037409B"/>
    <w:rsid w:val="00386162"/>
    <w:rsid w:val="00395A5D"/>
    <w:rsid w:val="003A46C0"/>
    <w:rsid w:val="003A5307"/>
    <w:rsid w:val="003B173D"/>
    <w:rsid w:val="003B4824"/>
    <w:rsid w:val="003C53C3"/>
    <w:rsid w:val="003C5F4C"/>
    <w:rsid w:val="003D12D1"/>
    <w:rsid w:val="003D165D"/>
    <w:rsid w:val="003E7E55"/>
    <w:rsid w:val="003F0870"/>
    <w:rsid w:val="003F599E"/>
    <w:rsid w:val="003F6C32"/>
    <w:rsid w:val="00403019"/>
    <w:rsid w:val="004447AA"/>
    <w:rsid w:val="00464A27"/>
    <w:rsid w:val="00474AB7"/>
    <w:rsid w:val="00475F34"/>
    <w:rsid w:val="004910C6"/>
    <w:rsid w:val="004912C1"/>
    <w:rsid w:val="004B0C0B"/>
    <w:rsid w:val="004C49B3"/>
    <w:rsid w:val="005025EA"/>
    <w:rsid w:val="00505B09"/>
    <w:rsid w:val="00510EEC"/>
    <w:rsid w:val="00533828"/>
    <w:rsid w:val="00536E38"/>
    <w:rsid w:val="0054052E"/>
    <w:rsid w:val="00562F83"/>
    <w:rsid w:val="005730C5"/>
    <w:rsid w:val="00585FA4"/>
    <w:rsid w:val="005875A4"/>
    <w:rsid w:val="00593E92"/>
    <w:rsid w:val="005A1D59"/>
    <w:rsid w:val="005B10AE"/>
    <w:rsid w:val="005D11DA"/>
    <w:rsid w:val="005D3E1E"/>
    <w:rsid w:val="005E22EA"/>
    <w:rsid w:val="005F5834"/>
    <w:rsid w:val="0060709F"/>
    <w:rsid w:val="00615EA2"/>
    <w:rsid w:val="00620298"/>
    <w:rsid w:val="00636B75"/>
    <w:rsid w:val="00653B05"/>
    <w:rsid w:val="006726BB"/>
    <w:rsid w:val="00672BAE"/>
    <w:rsid w:val="006854B6"/>
    <w:rsid w:val="006B2C78"/>
    <w:rsid w:val="006B428D"/>
    <w:rsid w:val="006B7D59"/>
    <w:rsid w:val="006E3AD9"/>
    <w:rsid w:val="006F0F91"/>
    <w:rsid w:val="006F4286"/>
    <w:rsid w:val="007128F8"/>
    <w:rsid w:val="00717671"/>
    <w:rsid w:val="00721943"/>
    <w:rsid w:val="00732886"/>
    <w:rsid w:val="007372CF"/>
    <w:rsid w:val="0074060A"/>
    <w:rsid w:val="00745F1E"/>
    <w:rsid w:val="00746623"/>
    <w:rsid w:val="00746EEC"/>
    <w:rsid w:val="007711DF"/>
    <w:rsid w:val="00773D3A"/>
    <w:rsid w:val="007750F7"/>
    <w:rsid w:val="007806B7"/>
    <w:rsid w:val="00791BC9"/>
    <w:rsid w:val="00794C05"/>
    <w:rsid w:val="00794C8B"/>
    <w:rsid w:val="007B6860"/>
    <w:rsid w:val="007B6AB8"/>
    <w:rsid w:val="007C21F9"/>
    <w:rsid w:val="007D513E"/>
    <w:rsid w:val="007E707F"/>
    <w:rsid w:val="00800532"/>
    <w:rsid w:val="00807414"/>
    <w:rsid w:val="008221C8"/>
    <w:rsid w:val="008346E3"/>
    <w:rsid w:val="00842E7F"/>
    <w:rsid w:val="00843637"/>
    <w:rsid w:val="00844377"/>
    <w:rsid w:val="00844D8F"/>
    <w:rsid w:val="00851B5B"/>
    <w:rsid w:val="0085571F"/>
    <w:rsid w:val="00867876"/>
    <w:rsid w:val="00872F17"/>
    <w:rsid w:val="00876A4C"/>
    <w:rsid w:val="00877547"/>
    <w:rsid w:val="00884BAE"/>
    <w:rsid w:val="00891DD7"/>
    <w:rsid w:val="00892D71"/>
    <w:rsid w:val="0089629C"/>
    <w:rsid w:val="00896E17"/>
    <w:rsid w:val="008A1F25"/>
    <w:rsid w:val="008B3635"/>
    <w:rsid w:val="008B482A"/>
    <w:rsid w:val="008B5048"/>
    <w:rsid w:val="008D06E8"/>
    <w:rsid w:val="008D582C"/>
    <w:rsid w:val="008F40EE"/>
    <w:rsid w:val="00914692"/>
    <w:rsid w:val="00917026"/>
    <w:rsid w:val="0092158C"/>
    <w:rsid w:val="00924B1E"/>
    <w:rsid w:val="00946997"/>
    <w:rsid w:val="0095342E"/>
    <w:rsid w:val="009650C6"/>
    <w:rsid w:val="00980C55"/>
    <w:rsid w:val="009863E7"/>
    <w:rsid w:val="009B0EC4"/>
    <w:rsid w:val="009B7D1A"/>
    <w:rsid w:val="009E273D"/>
    <w:rsid w:val="009E76CC"/>
    <w:rsid w:val="009E7EB2"/>
    <w:rsid w:val="009F7E3D"/>
    <w:rsid w:val="00A00A9D"/>
    <w:rsid w:val="00A07FC3"/>
    <w:rsid w:val="00A12E33"/>
    <w:rsid w:val="00A13A36"/>
    <w:rsid w:val="00A216EC"/>
    <w:rsid w:val="00A25B97"/>
    <w:rsid w:val="00A271C0"/>
    <w:rsid w:val="00A5326B"/>
    <w:rsid w:val="00A55706"/>
    <w:rsid w:val="00A65BE5"/>
    <w:rsid w:val="00A81C88"/>
    <w:rsid w:val="00A84C20"/>
    <w:rsid w:val="00AB34B5"/>
    <w:rsid w:val="00AC6454"/>
    <w:rsid w:val="00AC7F61"/>
    <w:rsid w:val="00AD4D7B"/>
    <w:rsid w:val="00AF04AD"/>
    <w:rsid w:val="00B115E0"/>
    <w:rsid w:val="00B41B89"/>
    <w:rsid w:val="00B43302"/>
    <w:rsid w:val="00B55948"/>
    <w:rsid w:val="00B64DCA"/>
    <w:rsid w:val="00BB0582"/>
    <w:rsid w:val="00BB5D0E"/>
    <w:rsid w:val="00BC292B"/>
    <w:rsid w:val="00BC62BF"/>
    <w:rsid w:val="00BE7A09"/>
    <w:rsid w:val="00BF700A"/>
    <w:rsid w:val="00C0021E"/>
    <w:rsid w:val="00C00C77"/>
    <w:rsid w:val="00C03550"/>
    <w:rsid w:val="00C077D8"/>
    <w:rsid w:val="00C113C7"/>
    <w:rsid w:val="00C231B2"/>
    <w:rsid w:val="00C30377"/>
    <w:rsid w:val="00C362C7"/>
    <w:rsid w:val="00C40EB3"/>
    <w:rsid w:val="00C566CC"/>
    <w:rsid w:val="00C56742"/>
    <w:rsid w:val="00C8046B"/>
    <w:rsid w:val="00C844E9"/>
    <w:rsid w:val="00C968F9"/>
    <w:rsid w:val="00CB5D96"/>
    <w:rsid w:val="00CC6309"/>
    <w:rsid w:val="00CD754C"/>
    <w:rsid w:val="00CE016B"/>
    <w:rsid w:val="00CF2040"/>
    <w:rsid w:val="00D10B61"/>
    <w:rsid w:val="00D13806"/>
    <w:rsid w:val="00D34C2D"/>
    <w:rsid w:val="00D43AED"/>
    <w:rsid w:val="00D551D7"/>
    <w:rsid w:val="00D629BB"/>
    <w:rsid w:val="00D667F6"/>
    <w:rsid w:val="00D755DD"/>
    <w:rsid w:val="00D759F5"/>
    <w:rsid w:val="00D93247"/>
    <w:rsid w:val="00D95833"/>
    <w:rsid w:val="00DB4472"/>
    <w:rsid w:val="00DC5F51"/>
    <w:rsid w:val="00DC70B5"/>
    <w:rsid w:val="00DD05F1"/>
    <w:rsid w:val="00DE0C3D"/>
    <w:rsid w:val="00DE55BC"/>
    <w:rsid w:val="00DF37DC"/>
    <w:rsid w:val="00DF6B32"/>
    <w:rsid w:val="00DF6EF0"/>
    <w:rsid w:val="00E03034"/>
    <w:rsid w:val="00E179ED"/>
    <w:rsid w:val="00E25D5E"/>
    <w:rsid w:val="00E3501C"/>
    <w:rsid w:val="00E35565"/>
    <w:rsid w:val="00E4550D"/>
    <w:rsid w:val="00E612B4"/>
    <w:rsid w:val="00E64192"/>
    <w:rsid w:val="00E6711E"/>
    <w:rsid w:val="00E7037D"/>
    <w:rsid w:val="00E71763"/>
    <w:rsid w:val="00E809EC"/>
    <w:rsid w:val="00E83082"/>
    <w:rsid w:val="00E8552A"/>
    <w:rsid w:val="00E969EF"/>
    <w:rsid w:val="00EA1B37"/>
    <w:rsid w:val="00EA6D08"/>
    <w:rsid w:val="00EC1486"/>
    <w:rsid w:val="00EC3D22"/>
    <w:rsid w:val="00EC7DEA"/>
    <w:rsid w:val="00ED5A30"/>
    <w:rsid w:val="00ED5ED1"/>
    <w:rsid w:val="00EE0BF5"/>
    <w:rsid w:val="00F026DB"/>
    <w:rsid w:val="00F12BD8"/>
    <w:rsid w:val="00F141A7"/>
    <w:rsid w:val="00F15AAF"/>
    <w:rsid w:val="00F441E4"/>
    <w:rsid w:val="00F46550"/>
    <w:rsid w:val="00F52AF6"/>
    <w:rsid w:val="00F55959"/>
    <w:rsid w:val="00F77D6A"/>
    <w:rsid w:val="00F92760"/>
    <w:rsid w:val="00F9402D"/>
    <w:rsid w:val="00FB43F9"/>
    <w:rsid w:val="00FB44E1"/>
    <w:rsid w:val="00FC48C2"/>
    <w:rsid w:val="00FC498C"/>
    <w:rsid w:val="00FE6A47"/>
    <w:rsid w:val="00FF110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EAD03"/>
  <w15:chartTrackingRefBased/>
  <w15:docId w15:val="{4234AED2-3C17-455F-A84F-661D0BA4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145"/>
    <w:rPr>
      <w:sz w:val="18"/>
      <w:szCs w:val="18"/>
    </w:rPr>
  </w:style>
  <w:style w:type="paragraph" w:styleId="a7">
    <w:name w:val="List Paragraph"/>
    <w:basedOn w:val="a"/>
    <w:uiPriority w:val="34"/>
    <w:qFormat/>
    <w:rsid w:val="00B43302"/>
    <w:pPr>
      <w:ind w:firstLineChars="200" w:firstLine="420"/>
    </w:pPr>
  </w:style>
  <w:style w:type="table" w:styleId="a8">
    <w:name w:val="Table Grid"/>
    <w:basedOn w:val="a1"/>
    <w:uiPriority w:val="59"/>
    <w:rsid w:val="00E0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612B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612B4"/>
    <w:rPr>
      <w:sz w:val="18"/>
      <w:szCs w:val="18"/>
    </w:rPr>
  </w:style>
  <w:style w:type="character" w:customStyle="1" w:styleId="fontstyle01">
    <w:name w:val="fontstyle01"/>
    <w:basedOn w:val="a0"/>
    <w:rsid w:val="006726B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8308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E83082"/>
    <w:rPr>
      <w:rFonts w:ascii="Courier New" w:hAnsi="Courier New" w:cs="Courier New"/>
      <w:sz w:val="20"/>
      <w:szCs w:val="20"/>
    </w:rPr>
  </w:style>
  <w:style w:type="paragraph" w:styleId="ab">
    <w:name w:val="Revision"/>
    <w:hidden/>
    <w:uiPriority w:val="99"/>
    <w:semiHidden/>
    <w:rsid w:val="00A8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42C1-9B3E-41BA-9539-6701C837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1499</Words>
  <Characters>1695</Characters>
  <Application>Microsoft Office Word</Application>
  <DocSecurity>0</DocSecurity>
  <Lines>84</Lines>
  <Paragraphs>55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 祥东</dc:creator>
  <cp:keywords/>
  <dc:description/>
  <cp:lastModifiedBy>祥东 成</cp:lastModifiedBy>
  <cp:revision>64</cp:revision>
  <cp:lastPrinted>2025-07-23T01:03:00Z</cp:lastPrinted>
  <dcterms:created xsi:type="dcterms:W3CDTF">2025-07-22T08:57:00Z</dcterms:created>
  <dcterms:modified xsi:type="dcterms:W3CDTF">2025-11-04T07:53:00Z</dcterms:modified>
</cp:coreProperties>
</file>