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A74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证券代码：688435                                   证券简称：英方软件</w:t>
      </w:r>
    </w:p>
    <w:p w14:paraId="48502E2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上海英方软件股份有限公司</w:t>
      </w:r>
    </w:p>
    <w:p w14:paraId="30209EF3">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03B5AB4B">
      <w:pPr>
        <w:spacing w:line="400" w:lineRule="exact"/>
        <w:rPr>
          <w:rFonts w:hint="default" w:ascii="宋体" w:hAnsi="宋体" w:eastAsiaTheme="minorEastAsia"/>
          <w:bCs/>
          <w:iCs/>
          <w:color w:val="000000"/>
          <w:sz w:val="24"/>
          <w:lang w:val="en-US" w:eastAsia="zh-CN"/>
        </w:rPr>
      </w:pPr>
      <w:r>
        <w:rPr>
          <w:rFonts w:hint="eastAsia" w:ascii="宋体" w:hAnsi="宋体"/>
          <w:bCs/>
          <w:iCs/>
          <w:color w:val="000000"/>
          <w:sz w:val="24"/>
        </w:rPr>
        <w:t xml:space="preserve">                                                      编号：202</w:t>
      </w:r>
      <w:r>
        <w:rPr>
          <w:rFonts w:hint="eastAsia" w:ascii="宋体" w:hAnsi="宋体"/>
          <w:bCs/>
          <w:iCs/>
          <w:color w:val="000000"/>
          <w:sz w:val="24"/>
          <w:lang w:val="en-US" w:eastAsia="zh-CN"/>
        </w:rPr>
        <w:t>5</w:t>
      </w:r>
      <w:r>
        <w:rPr>
          <w:rFonts w:hint="eastAsia" w:ascii="宋体" w:hAnsi="宋体"/>
          <w:bCs/>
          <w:iCs/>
          <w:color w:val="000000"/>
          <w:sz w:val="24"/>
        </w:rPr>
        <w:t>-</w:t>
      </w:r>
      <w:r>
        <w:rPr>
          <w:rFonts w:ascii="宋体" w:hAnsi="宋体"/>
          <w:bCs/>
          <w:iCs/>
          <w:color w:val="000000"/>
          <w:sz w:val="24"/>
        </w:rPr>
        <w:t>0</w:t>
      </w:r>
      <w:r>
        <w:rPr>
          <w:rFonts w:hint="eastAsia" w:ascii="宋体" w:hAnsi="宋体"/>
          <w:bCs/>
          <w:iCs/>
          <w:color w:val="000000"/>
          <w:sz w:val="24"/>
          <w:lang w:val="en-US" w:eastAsia="zh-CN"/>
        </w:rPr>
        <w:t>07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9D4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3D3D700">
            <w:pPr>
              <w:spacing w:line="480" w:lineRule="atLeast"/>
              <w:jc w:val="center"/>
              <w:rPr>
                <w:rFonts w:ascii="宋体" w:hAnsi="宋体"/>
                <w:bCs/>
                <w:iCs/>
                <w:color w:val="000000"/>
                <w:sz w:val="24"/>
              </w:rPr>
            </w:pPr>
            <w:r>
              <w:rPr>
                <w:rFonts w:hint="eastAsia" w:ascii="宋体" w:hAnsi="宋体"/>
                <w:bCs/>
                <w:iCs/>
                <w:color w:val="000000"/>
                <w:sz w:val="24"/>
              </w:rPr>
              <w:t>投资者关系活动类别</w:t>
            </w:r>
          </w:p>
        </w:tc>
        <w:tc>
          <w:tcPr>
            <w:tcW w:w="6614" w:type="dxa"/>
          </w:tcPr>
          <w:p w14:paraId="68359F05">
            <w:pPr>
              <w:spacing w:line="360" w:lineRule="auto"/>
              <w:ind w:firstLine="480"/>
              <w:rPr>
                <w:rFonts w:ascii="宋体" w:hAnsi="宋体" w:eastAsia="宋体"/>
                <w:bCs/>
                <w:iCs/>
                <w:sz w:val="24"/>
                <w:szCs w:val="24"/>
              </w:rPr>
            </w:pPr>
            <w:r>
              <w:rPr>
                <w:rFonts w:hint="eastAsia" w:ascii="宋体" w:hAnsi="宋体" w:eastAsia="宋体"/>
                <w:bCs/>
                <w:iCs/>
                <w:sz w:val="24"/>
                <w:szCs w:val="24"/>
              </w:rPr>
              <w:sym w:font="Wingdings 2" w:char="0052"/>
            </w:r>
            <w:r>
              <w:rPr>
                <w:rFonts w:hint="eastAsia" w:ascii="宋体" w:hAnsi="宋体" w:eastAsia="宋体"/>
                <w:sz w:val="24"/>
                <w:szCs w:val="24"/>
              </w:rPr>
              <w:t xml:space="preserve">特定对象调研        </w:t>
            </w:r>
            <w:r>
              <w:rPr>
                <w:rFonts w:hint="eastAsia" w:ascii="宋体" w:hAnsi="宋体" w:eastAsia="宋体"/>
                <w:bCs/>
                <w:iCs/>
                <w:sz w:val="24"/>
                <w:szCs w:val="24"/>
              </w:rPr>
              <w:t>□</w:t>
            </w:r>
            <w:r>
              <w:rPr>
                <w:rFonts w:hint="eastAsia" w:ascii="宋体" w:hAnsi="宋体" w:eastAsia="宋体"/>
                <w:sz w:val="24"/>
                <w:szCs w:val="24"/>
              </w:rPr>
              <w:t>分析师会议</w:t>
            </w:r>
          </w:p>
          <w:p w14:paraId="45C4EA77">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媒体采访            </w:t>
            </w:r>
            <w:r>
              <w:rPr>
                <w:rFonts w:hint="eastAsia" w:ascii="宋体" w:hAnsi="宋体" w:eastAsia="宋体"/>
                <w:bCs/>
                <w:iCs/>
                <w:sz w:val="24"/>
                <w:szCs w:val="24"/>
              </w:rPr>
              <w:t>□</w:t>
            </w:r>
            <w:r>
              <w:rPr>
                <w:rFonts w:hint="eastAsia" w:ascii="宋体" w:hAnsi="宋体" w:eastAsia="宋体"/>
                <w:sz w:val="24"/>
                <w:szCs w:val="24"/>
              </w:rPr>
              <w:t>业绩说明会</w:t>
            </w:r>
          </w:p>
          <w:p w14:paraId="7B28BAF6">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新闻发布会          </w:t>
            </w:r>
            <w:r>
              <w:rPr>
                <w:rFonts w:hint="eastAsia" w:ascii="宋体" w:hAnsi="宋体" w:eastAsia="宋体"/>
                <w:bCs/>
                <w:iCs/>
                <w:sz w:val="24"/>
                <w:szCs w:val="24"/>
              </w:rPr>
              <w:t>□</w:t>
            </w:r>
            <w:r>
              <w:rPr>
                <w:rFonts w:hint="eastAsia" w:ascii="宋体" w:hAnsi="宋体" w:eastAsia="宋体"/>
                <w:sz w:val="24"/>
                <w:szCs w:val="24"/>
              </w:rPr>
              <w:t>路演活动</w:t>
            </w:r>
          </w:p>
          <w:p w14:paraId="729F69FB">
            <w:pPr>
              <w:tabs>
                <w:tab w:val="left" w:pos="2690"/>
                <w:tab w:val="center" w:pos="3199"/>
              </w:tabs>
              <w:spacing w:line="360" w:lineRule="auto"/>
              <w:ind w:firstLine="480"/>
              <w:rPr>
                <w:rFonts w:ascii="宋体" w:hAnsi="宋体" w:eastAsia="宋体"/>
                <w:bCs/>
                <w:iCs/>
                <w:sz w:val="24"/>
                <w:szCs w:val="24"/>
              </w:rPr>
            </w:pPr>
            <w:r>
              <w:rPr>
                <w:rFonts w:hint="eastAsia" w:ascii="宋体" w:hAnsi="宋体" w:eastAsia="宋体"/>
                <w:bCs/>
                <w:iCs/>
                <w:sz w:val="24"/>
                <w:szCs w:val="24"/>
                <w:lang w:eastAsia="zh-CN"/>
              </w:rPr>
              <w:t>□</w:t>
            </w:r>
            <w:r>
              <w:rPr>
                <w:rFonts w:hint="eastAsia" w:ascii="宋体" w:hAnsi="宋体" w:eastAsia="宋体"/>
                <w:sz w:val="24"/>
                <w:szCs w:val="24"/>
              </w:rPr>
              <w:t xml:space="preserve">现场参观            </w:t>
            </w:r>
            <w:r>
              <w:rPr>
                <w:rFonts w:hint="eastAsia" w:ascii="宋体" w:hAnsi="宋体" w:eastAsia="宋体"/>
                <w:bCs/>
                <w:iCs/>
                <w:sz w:val="24"/>
                <w:szCs w:val="24"/>
                <w:lang w:eastAsia="zh-CN"/>
              </w:rPr>
              <w:t>□</w:t>
            </w:r>
            <w:r>
              <w:rPr>
                <w:rFonts w:hint="eastAsia" w:ascii="宋体" w:hAnsi="宋体" w:eastAsia="宋体"/>
                <w:sz w:val="24"/>
                <w:szCs w:val="24"/>
              </w:rPr>
              <w:t>电话会议</w:t>
            </w:r>
          </w:p>
          <w:p w14:paraId="79462C84">
            <w:pPr>
              <w:tabs>
                <w:tab w:val="center" w:pos="3199"/>
              </w:tabs>
              <w:spacing w:line="480" w:lineRule="atLeast"/>
              <w:ind w:firstLine="480" w:firstLineChars="200"/>
              <w:rPr>
                <w:rFonts w:ascii="宋体" w:hAnsi="宋体"/>
                <w:bCs/>
                <w:iCs/>
                <w:color w:val="000000"/>
                <w:sz w:val="24"/>
              </w:rPr>
            </w:pPr>
            <w:r>
              <w:rPr>
                <w:rFonts w:hint="eastAsia" w:ascii="宋体" w:hAnsi="宋体" w:eastAsia="宋体"/>
                <w:bCs/>
                <w:iCs/>
                <w:sz w:val="24"/>
                <w:szCs w:val="24"/>
              </w:rPr>
              <w:t>□</w:t>
            </w:r>
            <w:r>
              <w:rPr>
                <w:rFonts w:hint="eastAsia" w:ascii="宋体" w:hAnsi="宋体" w:eastAsia="宋体"/>
                <w:sz w:val="24"/>
                <w:szCs w:val="24"/>
              </w:rPr>
              <w:t>其他 （</w:t>
            </w:r>
            <w:r>
              <w:rPr>
                <w:rFonts w:hint="eastAsia" w:ascii="宋体" w:hAnsi="宋体" w:eastAsia="宋体"/>
                <w:sz w:val="24"/>
                <w:szCs w:val="24"/>
                <w:u w:val="single"/>
              </w:rPr>
              <w:t>请文字说明其他活动内容）</w:t>
            </w:r>
          </w:p>
        </w:tc>
      </w:tr>
      <w:tr w14:paraId="432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8" w:type="dxa"/>
            <w:vAlign w:val="center"/>
          </w:tcPr>
          <w:p w14:paraId="4C96BB0D">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6614" w:type="dxa"/>
            <w:vAlign w:val="center"/>
          </w:tcPr>
          <w:p w14:paraId="2B118980">
            <w:pPr>
              <w:spacing w:line="360" w:lineRule="auto"/>
              <w:rPr>
                <w:rFonts w:hint="default" w:ascii="宋体" w:hAnsi="宋体" w:eastAsiaTheme="minorEastAsia"/>
                <w:sz w:val="24"/>
                <w:szCs w:val="21"/>
                <w:lang w:val="en-US" w:eastAsia="zh-CN"/>
              </w:rPr>
            </w:pPr>
            <w:r>
              <w:rPr>
                <w:rFonts w:hint="eastAsia" w:ascii="宋体" w:hAnsi="宋体"/>
                <w:sz w:val="24"/>
                <w:szCs w:val="21"/>
                <w:lang w:val="en-US" w:eastAsia="zh-CN"/>
              </w:rPr>
              <w:t>银河证券、华福证券、国信弘盛、华安基金、东亚前海证券、瑞壹投资、稳信投资、紫杰投资、景林资产、紫杰投资、速硕投资、汇丰晋信等</w:t>
            </w:r>
          </w:p>
        </w:tc>
      </w:tr>
      <w:tr w14:paraId="00A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08" w:type="dxa"/>
            <w:vAlign w:val="center"/>
          </w:tcPr>
          <w:p w14:paraId="5E291A71">
            <w:pPr>
              <w:spacing w:line="480" w:lineRule="atLeast"/>
              <w:jc w:val="center"/>
              <w:rPr>
                <w:rFonts w:ascii="宋体" w:hAnsi="宋体"/>
                <w:bCs/>
                <w:iCs/>
                <w:color w:val="000000"/>
                <w:sz w:val="24"/>
              </w:rPr>
            </w:pPr>
            <w:r>
              <w:rPr>
                <w:rFonts w:hint="eastAsia" w:ascii="宋体" w:hAnsi="宋体"/>
                <w:bCs/>
                <w:iCs/>
                <w:color w:val="000000"/>
                <w:sz w:val="24"/>
              </w:rPr>
              <w:t>时间</w:t>
            </w:r>
          </w:p>
        </w:tc>
        <w:tc>
          <w:tcPr>
            <w:tcW w:w="6614" w:type="dxa"/>
          </w:tcPr>
          <w:p w14:paraId="077631A4">
            <w:pPr>
              <w:spacing w:line="480" w:lineRule="atLeast"/>
              <w:rPr>
                <w:rFonts w:hint="default" w:ascii="宋体" w:hAnsi="宋体"/>
                <w:bCs/>
                <w:iCs/>
                <w:color w:val="000000"/>
                <w:sz w:val="24"/>
                <w:lang w:val="en-US"/>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11月5日</w:t>
            </w:r>
          </w:p>
        </w:tc>
      </w:tr>
      <w:tr w14:paraId="17AE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08" w:type="dxa"/>
            <w:vAlign w:val="center"/>
          </w:tcPr>
          <w:p w14:paraId="45F95B89">
            <w:pPr>
              <w:spacing w:line="360" w:lineRule="auto"/>
              <w:jc w:val="center"/>
              <w:rPr>
                <w:rFonts w:ascii="宋体" w:hAnsi="宋体"/>
                <w:bCs/>
                <w:iCs/>
                <w:color w:val="000000"/>
                <w:sz w:val="24"/>
              </w:rPr>
            </w:pPr>
            <w:r>
              <w:rPr>
                <w:rFonts w:hint="eastAsia" w:ascii="宋体" w:hAnsi="宋体"/>
                <w:bCs/>
                <w:iCs/>
                <w:color w:val="000000"/>
                <w:sz w:val="24"/>
              </w:rPr>
              <w:t>地点</w:t>
            </w:r>
          </w:p>
        </w:tc>
        <w:tc>
          <w:tcPr>
            <w:tcW w:w="6614" w:type="dxa"/>
            <w:vAlign w:val="center"/>
          </w:tcPr>
          <w:p w14:paraId="12E3D125">
            <w:pPr>
              <w:spacing w:line="360" w:lineRule="auto"/>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公司会议室</w:t>
            </w:r>
          </w:p>
        </w:tc>
      </w:tr>
      <w:tr w14:paraId="4311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F6F6C0D">
            <w:pPr>
              <w:spacing w:line="276" w:lineRule="auto"/>
              <w:jc w:val="center"/>
              <w:rPr>
                <w:rFonts w:ascii="宋体" w:hAnsi="宋体"/>
                <w:bCs/>
                <w:iCs/>
                <w:color w:val="000000"/>
                <w:sz w:val="24"/>
              </w:rPr>
            </w:pPr>
            <w:r>
              <w:rPr>
                <w:rFonts w:hint="eastAsia" w:ascii="宋体" w:hAnsi="宋体"/>
                <w:bCs/>
                <w:iCs/>
                <w:color w:val="000000"/>
                <w:sz w:val="24"/>
              </w:rPr>
              <w:t>上市公司接待</w:t>
            </w:r>
          </w:p>
          <w:p w14:paraId="14B7CEA5">
            <w:pPr>
              <w:spacing w:line="276" w:lineRule="auto"/>
              <w:jc w:val="center"/>
              <w:rPr>
                <w:rFonts w:ascii="宋体" w:hAnsi="宋体"/>
                <w:bCs/>
                <w:iCs/>
                <w:color w:val="000000"/>
                <w:sz w:val="24"/>
              </w:rPr>
            </w:pPr>
            <w:r>
              <w:rPr>
                <w:rFonts w:hint="eastAsia" w:ascii="宋体" w:hAnsi="宋体"/>
                <w:bCs/>
                <w:iCs/>
                <w:color w:val="000000"/>
                <w:sz w:val="24"/>
              </w:rPr>
              <w:t>人员姓名</w:t>
            </w:r>
          </w:p>
        </w:tc>
        <w:tc>
          <w:tcPr>
            <w:tcW w:w="6614" w:type="dxa"/>
            <w:vAlign w:val="center"/>
          </w:tcPr>
          <w:p w14:paraId="351AB942">
            <w:pPr>
              <w:spacing w:line="276" w:lineRule="auto"/>
              <w:jc w:val="left"/>
              <w:rPr>
                <w:rFonts w:hint="default" w:ascii="宋体" w:hAnsi="宋体" w:eastAsiaTheme="minorEastAsia"/>
                <w:bCs/>
                <w:iCs/>
                <w:color w:val="000000"/>
                <w:sz w:val="24"/>
                <w:lang w:val="en-US" w:eastAsia="zh-CN"/>
              </w:rPr>
            </w:pPr>
            <w:r>
              <w:rPr>
                <w:rFonts w:hint="eastAsia" w:ascii="宋体" w:hAnsi="宋体"/>
                <w:sz w:val="24"/>
                <w:szCs w:val="21"/>
                <w:lang w:val="en-US" w:eastAsia="zh-CN"/>
              </w:rPr>
              <w:t>副总经理/CTO-周华、</w:t>
            </w:r>
            <w:r>
              <w:rPr>
                <w:rFonts w:hint="eastAsia" w:ascii="宋体" w:hAnsi="宋体"/>
                <w:sz w:val="24"/>
                <w:szCs w:val="21"/>
              </w:rPr>
              <w:t>董事会秘书</w:t>
            </w:r>
            <w:r>
              <w:rPr>
                <w:rFonts w:hint="eastAsia" w:ascii="宋体" w:hAnsi="宋体"/>
                <w:sz w:val="24"/>
                <w:szCs w:val="21"/>
                <w:lang w:val="en-US" w:eastAsia="zh-CN"/>
              </w:rPr>
              <w:t>-</w:t>
            </w:r>
            <w:r>
              <w:rPr>
                <w:rFonts w:hint="eastAsia" w:ascii="宋体" w:hAnsi="宋体"/>
                <w:sz w:val="24"/>
                <w:szCs w:val="21"/>
              </w:rPr>
              <w:t>沈蔡娟</w:t>
            </w:r>
          </w:p>
        </w:tc>
      </w:tr>
      <w:tr w14:paraId="30D1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0F1FF8C">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30877126">
            <w:pPr>
              <w:spacing w:line="360" w:lineRule="auto"/>
              <w:rPr>
                <w:rFonts w:ascii="宋体" w:hAnsi="宋体"/>
                <w:bCs/>
                <w:iCs/>
                <w:color w:val="000000"/>
                <w:sz w:val="24"/>
              </w:rPr>
            </w:pPr>
          </w:p>
        </w:tc>
        <w:tc>
          <w:tcPr>
            <w:tcW w:w="6614" w:type="dxa"/>
          </w:tcPr>
          <w:p w14:paraId="1625B011">
            <w:pPr>
              <w:spacing w:before="156" w:line="360" w:lineRule="auto"/>
              <w:ind w:left="0" w:leftChars="0" w:firstLine="482" w:firstLineChars="200"/>
              <w:rPr>
                <w:rFonts w:hint="eastAsia" w:ascii="宋体" w:hAnsi="宋体"/>
                <w:b/>
                <w:bCs/>
                <w:sz w:val="24"/>
                <w:szCs w:val="21"/>
                <w:lang w:val="en-US" w:eastAsia="zh-CN"/>
              </w:rPr>
            </w:pPr>
            <w:r>
              <w:rPr>
                <w:rFonts w:hint="eastAsia" w:ascii="宋体" w:hAnsi="宋体"/>
                <w:b/>
                <w:bCs/>
                <w:sz w:val="24"/>
                <w:szCs w:val="21"/>
                <w:lang w:val="en-US" w:eastAsia="zh-CN"/>
              </w:rPr>
              <w:t>公司介绍：</w:t>
            </w:r>
          </w:p>
          <w:p w14:paraId="3E031049">
            <w:pPr>
              <w:spacing w:line="360" w:lineRule="auto"/>
              <w:ind w:firstLine="42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公司经过长达数年的潜心钻研和技术攻关，相继掌握了多个数据复制行业核心技术。公司通过持续的研发投入，构造了“容灾</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备份</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大数据</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云数据管理”四大数据复制产品系列，适配了操作系统、数据库、芯片、云平台、存储系统、虚拟化平台、文件系统、大数据平台、容器等国内外三百多种的型号产品，并积极参与新一代信息技术和国产基础软件生态产业的发展，探索人工智能、大数据模型应用、向量数据库、国产替代等不同领域的数据复制应用场景，确保公司的技术更新迭代满足客户日益变化的应用需求。</w:t>
            </w:r>
          </w:p>
          <w:p w14:paraId="1ABE9425">
            <w:pPr>
              <w:spacing w:line="360" w:lineRule="auto"/>
              <w:ind w:firstLine="42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在备份产品系列中：行情数据分发系统i2Distributor通过信创适配升级，率先在证券领域帮助客户实现行情软件的信创化改造升级。2025年上半年，公司发布新一代备份产品i2Backup V9，不仅解决了客户新环境新应用下的海量系统和海量数据的多域多中心的备份，还在数据备份速率、数据重删和压缩，以及数据归档管理等方面，实现弯道追赶，并在国产化适配、磁带库归档等方面突破行业诸多挑战。</w:t>
            </w:r>
          </w:p>
          <w:p w14:paraId="78814FB8">
            <w:pPr>
              <w:spacing w:line="360" w:lineRule="auto"/>
              <w:ind w:firstLine="42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在容灾产品系列中，公司的高可用灾备管理软件i2Availability可跨平台、跨系统、跨存储使用，远距离传输时对网络带宽要求低，广泛支持各类应用和数据库的容灾高可用保护，如证券公司的交易系统、医院的LIS系统、制造企业的MES系统等，确保企业的核心业务的连续性；持续数据保护与恢复软件i2CDP可在任意时间点恢复，恢复颗粒度达到微秒级，能够实时保护企业的业务数据，确保数据丢失或被勒索软件加密时，能够将数据恢复回来。</w:t>
            </w:r>
          </w:p>
          <w:p w14:paraId="081F325A">
            <w:pPr>
              <w:spacing w:line="360" w:lineRule="auto"/>
              <w:ind w:firstLine="42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在大数据产品系列中，产品组合i2Active、i2Stream同步效率高、一致性好、数据保护颗粒度细、软件兼容性强，能够帮助企业实现数据的实时汇聚和分发，助力企业在不同的数据库和大数据平台互联互通，广泛应用于数据库容灾备份、数据库信创替代、业务查询分担等场景。</w:t>
            </w:r>
          </w:p>
          <w:p w14:paraId="3A9909E5">
            <w:pPr>
              <w:spacing w:before="156" w:line="360" w:lineRule="auto"/>
              <w:ind w:left="0" w:leftChars="0" w:firstLine="480" w:firstLineChars="200"/>
              <w:rPr>
                <w:rFonts w:hint="eastAsia" w:ascii="宋体" w:hAnsi="宋体"/>
                <w:b/>
                <w:bCs/>
                <w:sz w:val="24"/>
                <w:szCs w:val="21"/>
              </w:rPr>
            </w:pPr>
            <w:r>
              <w:rPr>
                <w:rFonts w:hint="eastAsia" w:ascii="宋体" w:hAnsi="宋体" w:cs="宋体"/>
                <w:color w:val="auto"/>
                <w:sz w:val="24"/>
                <w:szCs w:val="24"/>
                <w:lang w:val="en-US" w:eastAsia="zh-CN"/>
              </w:rPr>
              <w:t>云数据管理类产品i2Share在结合AI数据库方面，也迎来了新的发展契机，能够为企业提供私有化部署策略，实现企业文档高效协作和共享管理，通过AI功能的升级，极大提升了企业在文件检索、智能问答等方面的效率，助力企业的各类文档更高效安全地流通和分享。</w:t>
            </w:r>
          </w:p>
          <w:p w14:paraId="3990B7C4">
            <w:pPr>
              <w:spacing w:before="156" w:line="360" w:lineRule="auto"/>
              <w:ind w:left="0" w:leftChars="0" w:firstLine="482" w:firstLineChars="200"/>
              <w:rPr>
                <w:rFonts w:ascii="宋体" w:hAnsi="宋体"/>
                <w:sz w:val="24"/>
                <w:szCs w:val="21"/>
              </w:rPr>
            </w:pPr>
            <w:r>
              <w:rPr>
                <w:rFonts w:hint="eastAsia" w:ascii="宋体" w:hAnsi="宋体"/>
                <w:b/>
                <w:bCs/>
                <w:sz w:val="24"/>
                <w:szCs w:val="21"/>
              </w:rPr>
              <w:t>互动交流</w:t>
            </w:r>
            <w:r>
              <w:rPr>
                <w:rFonts w:hint="eastAsia" w:ascii="宋体" w:hAnsi="宋体"/>
                <w:b/>
                <w:bCs/>
                <w:sz w:val="24"/>
                <w:szCs w:val="21"/>
                <w:lang w:val="en-US" w:eastAsia="zh-CN"/>
              </w:rPr>
              <w:t>环节：</w:t>
            </w:r>
          </w:p>
          <w:p w14:paraId="495386E9">
            <w:pPr>
              <w:pStyle w:val="22"/>
              <w:numPr>
                <w:ilvl w:val="0"/>
                <w:numId w:val="0"/>
              </w:numPr>
              <w:spacing w:line="360" w:lineRule="auto"/>
              <w:ind w:leftChars="0"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1、公司在上半年推出的备份新产品有哪些落地项目</w:t>
            </w:r>
            <w:r>
              <w:rPr>
                <w:rFonts w:hint="eastAsia" w:ascii="宋体" w:hAnsi="宋体" w:eastAsia="宋体" w:cs="宋体"/>
                <w:b/>
                <w:bCs/>
                <w:color w:val="auto"/>
                <w:sz w:val="24"/>
                <w:szCs w:val="24"/>
              </w:rPr>
              <w:t>？</w:t>
            </w:r>
          </w:p>
          <w:p w14:paraId="0BCB7682">
            <w:pPr>
              <w:spacing w:line="360" w:lineRule="auto"/>
              <w:ind w:firstLine="42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备份产品i2BackupV9是公司面向复杂IT环境推出的全新一代备份系统，集“统一管理、智能调度、全平台兼容、高可扩展、安全可信”于一体，旨在打造覆盖全场景的数据保护解决方案，已在中国工商银行成功部署，实现了PB级别核心金融数据的稳定保护。系统通过多地部署的i2UP平台，构建了跨域复制、多站点冗余、LAN-Free高速备份等能力，不仅大幅提升了备份效率，更标志着国产基础软件在金融核心业务系统中的成熟应用。英方软件在中国工商银行项目中，正在逐步全面替换Veritas NetBackup（NBU）的产品。</w:t>
            </w:r>
          </w:p>
          <w:p w14:paraId="05592EF8">
            <w:pPr>
              <w:spacing w:line="360" w:lineRule="auto"/>
              <w:ind w:firstLine="42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另外，在信创适配方面，i2BackupV9已全面兼容飞腾、鲲鹏、龙芯等主流国产硬件平台，适配主流信创数据库与操作系统，达到国际先进水平，为行业提供“数据安全+自主可控”的信创灾备新路径。</w:t>
            </w:r>
          </w:p>
          <w:p w14:paraId="4728D727">
            <w:pPr>
              <w:spacing w:line="360" w:lineRule="auto"/>
              <w:ind w:firstLine="420"/>
              <w:rPr>
                <w:rFonts w:hint="eastAsia" w:ascii="宋体" w:hAnsi="宋体" w:cs="宋体"/>
                <w:color w:val="auto"/>
                <w:sz w:val="24"/>
                <w:szCs w:val="24"/>
                <w:lang w:val="en-US" w:eastAsia="zh-CN"/>
              </w:rPr>
            </w:pPr>
          </w:p>
          <w:p w14:paraId="321095A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kern w:val="2"/>
                <w:sz w:val="24"/>
                <w:szCs w:val="24"/>
                <w:lang w:val="en-US" w:eastAsia="zh-CN" w:bidi="ar-SA"/>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、公司的产品或者是需求在客户端在AI的影响下有</w:t>
            </w:r>
            <w:r>
              <w:rPr>
                <w:rFonts w:hint="eastAsia" w:ascii="宋体" w:hAnsi="宋体" w:cs="宋体"/>
                <w:b/>
                <w:bCs/>
                <w:color w:val="auto"/>
                <w:kern w:val="2"/>
                <w:sz w:val="24"/>
                <w:szCs w:val="24"/>
                <w:lang w:val="en-US" w:eastAsia="zh-CN" w:bidi="ar-SA"/>
              </w:rPr>
              <w:t>哪些受益点</w:t>
            </w:r>
            <w:r>
              <w:rPr>
                <w:rFonts w:hint="eastAsia" w:ascii="宋体" w:hAnsi="宋体" w:cs="宋体"/>
                <w:color w:val="auto"/>
                <w:kern w:val="2"/>
                <w:sz w:val="24"/>
                <w:szCs w:val="24"/>
                <w:lang w:val="en-US" w:eastAsia="zh-CN" w:bidi="ar-SA"/>
              </w:rPr>
              <w:t>？</w:t>
            </w:r>
          </w:p>
          <w:p w14:paraId="6AC885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针对数据量大爆发-宕机风险：公司基于业内领先的数据复制技术，可提供更贴合大模型特性的灾备解决方案，涵盖从数据备份、灾难恢复到系统故障切换的全流程，不仅能应对大模型应用中面临的各种挑战，还能确保数据的安全性，训练过程的持续性、高可用性。随着大模型技术的快速发展，企业对灾备的需求日益增加。英方软件凭借先进的数据复制技术和智能灾备平台，帮助企业应对数据保护、训练连续性和云原生灾备等挑战，确保大模型的高可用性与稳定性。</w:t>
            </w:r>
          </w:p>
          <w:p w14:paraId="730659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本地化部署方面：随着AI模型资源消耗的小型化,越来越多的客户选择本地化、私有化部署，既能实现智能化应用，也能更好地保护数据安全和隐私。</w:t>
            </w:r>
          </w:p>
          <w:p w14:paraId="56D5B7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产品整合与迭代：AI与公司现有产品的整合(如文档管理)已初见成效，不仅提升了数据检索能力，还增强了数据管理和灾备功能，帮助客户更高效地管理数据，确保数据安全，未来将进一步优化数据管理和灾备场景，提升产品竞争力。</w:t>
            </w:r>
          </w:p>
          <w:p w14:paraId="6767555F">
            <w:pPr>
              <w:pStyle w:val="22"/>
              <w:numPr>
                <w:ilvl w:val="0"/>
                <w:numId w:val="0"/>
              </w:numPr>
              <w:spacing w:line="360" w:lineRule="auto"/>
              <w:ind w:left="210" w:leftChars="0" w:firstLine="241" w:firstLineChars="100"/>
              <w:rPr>
                <w:rFonts w:hint="eastAsia" w:ascii="宋体" w:hAnsi="宋体" w:eastAsia="宋体" w:cs="宋体"/>
                <w:b/>
                <w:bCs/>
                <w:color w:val="auto"/>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w:t>
            </w:r>
            <w:r>
              <w:rPr>
                <w:rFonts w:hint="eastAsia" w:ascii="宋体" w:hAnsi="宋体" w:cs="宋体"/>
                <w:b/>
                <w:bCs/>
                <w:color w:val="auto"/>
                <w:sz w:val="24"/>
                <w:szCs w:val="24"/>
                <w:lang w:val="en-US" w:eastAsia="zh-CN"/>
              </w:rPr>
              <w:t>公司在海外拓展方面进展如何？</w:t>
            </w:r>
          </w:p>
          <w:p w14:paraId="50D4C91D">
            <w:pPr>
              <w:pStyle w:val="26"/>
              <w:keepNext w:val="0"/>
              <w:keepLines w:val="0"/>
              <w:pageBreakBefore w:val="0"/>
              <w:widowControl w:val="0"/>
              <w:kinsoku/>
              <w:wordWrap/>
              <w:overflowPunct/>
              <w:topLinePunct w:val="0"/>
              <w:autoSpaceDE/>
              <w:autoSpaceDN/>
              <w:bidi w:val="0"/>
              <w:adjustRightInd/>
              <w:snapToGrid/>
              <w:spacing w:before="120"/>
              <w:ind w:firstLine="48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公司在24年设立了香港全资子公司，作为英方软件在亚太地区的重要支点，香港子公司将依托母公司在数据复制技术领域的深厚积累和丰富实践，将帮助公司进一步拓展国际市场，加强与全球客户、伙伴的联系。目前，英方软件的产品和技术已经成功应用于多个海外大型项目中，为客户的数字化转型和业务发展提供了坚实保障。未来，公司将积极参与全球化的竞争，通过引进经验丰富的国际专业人才，打造国际化运营团队；通过优化与国际接轨的知识产权管理机制和数据保护条例方案，推动中国数据复制产品方案走向东南亚、中东、欧美海外市场。</w:t>
            </w:r>
          </w:p>
          <w:p w14:paraId="790D3535">
            <w:pPr>
              <w:pStyle w:val="26"/>
              <w:keepNext w:val="0"/>
              <w:keepLines w:val="0"/>
              <w:pageBreakBefore w:val="0"/>
              <w:widowControl w:val="0"/>
              <w:numPr>
                <w:ilvl w:val="0"/>
                <w:numId w:val="1"/>
              </w:numPr>
              <w:kinsoku/>
              <w:wordWrap/>
              <w:overflowPunct/>
              <w:topLinePunct w:val="0"/>
              <w:autoSpaceDE/>
              <w:autoSpaceDN/>
              <w:bidi w:val="0"/>
              <w:adjustRightInd/>
              <w:snapToGrid/>
              <w:spacing w:before="120"/>
              <w:ind w:firstLine="480"/>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数据库厂商有没有相关的数据迁移的产品？他们自己不做这一块吗？</w:t>
            </w:r>
          </w:p>
          <w:p w14:paraId="4ADDBE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trike w:val="0"/>
                <w:sz w:val="22"/>
                <w:szCs w:val="22"/>
                <w:lang w:val="en-US" w:eastAsia="zh-CN"/>
              </w:rPr>
            </w:pPr>
            <w:r>
              <w:rPr>
                <w:rFonts w:hint="default" w:ascii="宋体" w:hAnsi="宋体" w:cs="宋体"/>
                <w:color w:val="auto"/>
                <w:kern w:val="2"/>
                <w:sz w:val="24"/>
                <w:szCs w:val="24"/>
                <w:lang w:val="en-US" w:eastAsia="zh-CN" w:bidi="ar-SA"/>
              </w:rPr>
              <w:t>关于数据库厂商的数据迁移产品，当前国内个别数据库厂商虽有相关产品，但主要专注于其自身数据库生态内的迁移，难以覆盖复杂的异构数据库迁移场景。</w:t>
            </w:r>
            <w:r>
              <w:rPr>
                <w:rFonts w:hint="eastAsia" w:ascii="宋体" w:hAnsi="宋体" w:cs="宋体"/>
                <w:color w:val="auto"/>
                <w:kern w:val="2"/>
                <w:sz w:val="24"/>
                <w:szCs w:val="24"/>
                <w:lang w:val="en-US" w:eastAsia="zh-CN" w:bidi="ar-SA"/>
              </w:rPr>
              <w:t>由于</w:t>
            </w:r>
            <w:r>
              <w:rPr>
                <w:rFonts w:hint="default" w:ascii="宋体" w:hAnsi="宋体" w:cs="宋体"/>
                <w:color w:val="auto"/>
                <w:kern w:val="2"/>
                <w:sz w:val="24"/>
                <w:szCs w:val="24"/>
                <w:lang w:val="en-US" w:eastAsia="zh-CN" w:bidi="ar-SA"/>
              </w:rPr>
              <w:t>数据库迁移</w:t>
            </w:r>
            <w:r>
              <w:rPr>
                <w:rFonts w:hint="eastAsia" w:ascii="宋体" w:hAnsi="宋体" w:cs="宋体"/>
                <w:color w:val="auto"/>
                <w:kern w:val="2"/>
                <w:sz w:val="24"/>
                <w:szCs w:val="24"/>
                <w:lang w:val="en-US" w:eastAsia="zh-CN" w:bidi="ar-SA"/>
              </w:rPr>
              <w:t>对</w:t>
            </w:r>
            <w:r>
              <w:rPr>
                <w:rFonts w:hint="default" w:ascii="宋体" w:hAnsi="宋体" w:cs="宋体"/>
                <w:color w:val="auto"/>
                <w:kern w:val="2"/>
                <w:sz w:val="24"/>
                <w:szCs w:val="24"/>
                <w:lang w:val="en-US" w:eastAsia="zh-CN" w:bidi="ar-SA"/>
              </w:rPr>
              <w:t>技术要求</w:t>
            </w:r>
            <w:r>
              <w:rPr>
                <w:rFonts w:hint="eastAsia" w:ascii="宋体" w:hAnsi="宋体" w:cs="宋体"/>
                <w:color w:val="auto"/>
                <w:kern w:val="2"/>
                <w:sz w:val="24"/>
                <w:szCs w:val="24"/>
                <w:lang w:val="en-US" w:eastAsia="zh-CN" w:bidi="ar-SA"/>
              </w:rPr>
              <w:t>极</w:t>
            </w:r>
            <w:r>
              <w:rPr>
                <w:rFonts w:hint="default" w:ascii="宋体" w:hAnsi="宋体" w:cs="宋体"/>
                <w:color w:val="auto"/>
                <w:kern w:val="2"/>
                <w:sz w:val="24"/>
                <w:szCs w:val="24"/>
                <w:lang w:val="en-US" w:eastAsia="zh-CN" w:bidi="ar-SA"/>
              </w:rPr>
              <w:t>高，数据迁移一致性、实时性严苛，需要投入大量技术研发资源，通常在异构库迁移方面，市场更青睐第三方商业迁移工具。英方</w:t>
            </w:r>
            <w:r>
              <w:rPr>
                <w:rFonts w:hint="eastAsia" w:ascii="宋体" w:hAnsi="宋体" w:cs="宋体"/>
                <w:color w:val="auto"/>
                <w:kern w:val="2"/>
                <w:sz w:val="24"/>
                <w:szCs w:val="24"/>
                <w:lang w:val="en-US" w:eastAsia="zh-CN" w:bidi="ar-SA"/>
              </w:rPr>
              <w:t>已</w:t>
            </w:r>
            <w:r>
              <w:rPr>
                <w:rFonts w:hint="default" w:ascii="宋体" w:hAnsi="宋体" w:cs="宋体"/>
                <w:color w:val="auto"/>
                <w:kern w:val="2"/>
                <w:sz w:val="24"/>
                <w:szCs w:val="24"/>
                <w:lang w:val="en-US" w:eastAsia="zh-CN" w:bidi="ar-SA"/>
              </w:rPr>
              <w:t>与国内众多数据库厂商</w:t>
            </w:r>
            <w:r>
              <w:rPr>
                <w:rFonts w:hint="eastAsia" w:ascii="宋体" w:hAnsi="宋体" w:cs="宋体"/>
                <w:color w:val="auto"/>
                <w:kern w:val="2"/>
                <w:sz w:val="24"/>
                <w:szCs w:val="24"/>
                <w:lang w:val="en-US" w:eastAsia="zh-CN" w:bidi="ar-SA"/>
              </w:rPr>
              <w:t>完成了</w:t>
            </w:r>
            <w:r>
              <w:rPr>
                <w:rFonts w:hint="default" w:ascii="宋体" w:hAnsi="宋体" w:cs="宋体"/>
                <w:color w:val="auto"/>
                <w:kern w:val="2"/>
                <w:sz w:val="24"/>
                <w:szCs w:val="24"/>
                <w:lang w:val="en-US" w:eastAsia="zh-CN" w:bidi="ar-SA"/>
              </w:rPr>
              <w:t>产品适配，在银行、政企等领域也有相关的迁移案例</w:t>
            </w:r>
            <w:r>
              <w:rPr>
                <w:rFonts w:hint="eastAsia" w:ascii="宋体" w:hAnsi="宋体" w:cs="宋体"/>
                <w:color w:val="auto"/>
                <w:kern w:val="2"/>
                <w:sz w:val="24"/>
                <w:szCs w:val="24"/>
                <w:lang w:val="en-US" w:eastAsia="zh-CN" w:bidi="ar-SA"/>
              </w:rPr>
              <w:t>，能够为客户提供可靠的数据库迁移解决方案</w:t>
            </w:r>
            <w:r>
              <w:rPr>
                <w:rFonts w:hint="default" w:ascii="宋体" w:hAnsi="宋体" w:cs="宋体"/>
                <w:color w:val="auto"/>
                <w:kern w:val="2"/>
                <w:sz w:val="24"/>
                <w:szCs w:val="24"/>
                <w:lang w:val="en-US" w:eastAsia="zh-CN" w:bidi="ar-SA"/>
              </w:rPr>
              <w:t>。</w:t>
            </w:r>
          </w:p>
        </w:tc>
      </w:tr>
      <w:tr w14:paraId="39D1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43DC75A">
            <w:pPr>
              <w:spacing w:line="360" w:lineRule="auto"/>
              <w:rPr>
                <w:rFonts w:ascii="宋体" w:hAnsi="宋体"/>
                <w:bCs/>
                <w:iCs/>
                <w:color w:val="000000"/>
                <w:sz w:val="24"/>
              </w:rPr>
            </w:pPr>
            <w:r>
              <w:rPr>
                <w:rFonts w:ascii="宋体" w:hAnsi="宋体"/>
                <w:bCs/>
                <w:iCs/>
                <w:color w:val="000000"/>
                <w:sz w:val="24"/>
              </w:rPr>
              <w:t xml:space="preserve">附件清单（如有） </w:t>
            </w:r>
          </w:p>
        </w:tc>
        <w:tc>
          <w:tcPr>
            <w:tcW w:w="6614" w:type="dxa"/>
            <w:vAlign w:val="center"/>
          </w:tcPr>
          <w:p w14:paraId="3D669216">
            <w:pPr>
              <w:spacing w:line="360" w:lineRule="auto"/>
              <w:rPr>
                <w:rFonts w:ascii="宋体" w:hAnsi="宋体"/>
                <w:bCs/>
                <w:iCs/>
                <w:color w:val="000000"/>
                <w:sz w:val="24"/>
              </w:rPr>
            </w:pPr>
            <w:r>
              <w:rPr>
                <w:rFonts w:hint="eastAsia" w:ascii="宋体" w:hAnsi="宋体"/>
                <w:bCs/>
                <w:iCs/>
                <w:color w:val="000000"/>
                <w:sz w:val="24"/>
              </w:rPr>
              <w:t>无</w:t>
            </w:r>
          </w:p>
        </w:tc>
      </w:tr>
      <w:tr w14:paraId="08E2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19025B8">
            <w:pPr>
              <w:spacing w:line="360" w:lineRule="auto"/>
              <w:jc w:val="center"/>
              <w:rPr>
                <w:rFonts w:ascii="宋体" w:hAnsi="宋体"/>
                <w:bCs/>
                <w:iCs/>
                <w:color w:val="000000"/>
                <w:sz w:val="24"/>
              </w:rPr>
            </w:pPr>
            <w:r>
              <w:rPr>
                <w:rFonts w:hint="eastAsia" w:ascii="宋体" w:hAnsi="宋体"/>
                <w:bCs/>
                <w:iCs/>
                <w:color w:val="000000"/>
                <w:sz w:val="24"/>
              </w:rPr>
              <w:t>日期</w:t>
            </w:r>
          </w:p>
        </w:tc>
        <w:tc>
          <w:tcPr>
            <w:tcW w:w="6614" w:type="dxa"/>
            <w:vAlign w:val="center"/>
          </w:tcPr>
          <w:p w14:paraId="22CF52C0">
            <w:pPr>
              <w:spacing w:line="360" w:lineRule="auto"/>
              <w:rPr>
                <w:rFonts w:hint="default" w:ascii="宋体" w:hAnsi="宋体" w:eastAsiaTheme="minorEastAsia"/>
                <w:bCs/>
                <w:iCs/>
                <w:color w:val="000000"/>
                <w:sz w:val="24"/>
                <w:lang w:val="en-US" w:eastAsia="zh-CN"/>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11</w:t>
            </w:r>
            <w:r>
              <w:rPr>
                <w:rFonts w:hint="eastAsia" w:ascii="宋体" w:hAnsi="宋体"/>
                <w:bCs/>
                <w:iCs/>
                <w:color w:val="000000"/>
                <w:sz w:val="24"/>
              </w:rPr>
              <w:t>月</w:t>
            </w:r>
            <w:r>
              <w:rPr>
                <w:rFonts w:hint="eastAsia" w:ascii="宋体" w:hAnsi="宋体"/>
                <w:bCs/>
                <w:iCs/>
                <w:color w:val="000000"/>
                <w:sz w:val="24"/>
                <w:lang w:val="en-US" w:eastAsia="zh-CN"/>
              </w:rPr>
              <w:t>5日</w:t>
            </w:r>
          </w:p>
        </w:tc>
      </w:tr>
    </w:tbl>
    <w:p w14:paraId="441A357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F05A7"/>
    <w:multiLevelType w:val="singleLevel"/>
    <w:tmpl w:val="3F1F05A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3A33"/>
    <w:rsid w:val="001057DB"/>
    <w:rsid w:val="00112B54"/>
    <w:rsid w:val="00124C9C"/>
    <w:rsid w:val="00131F47"/>
    <w:rsid w:val="00153D01"/>
    <w:rsid w:val="0016141B"/>
    <w:rsid w:val="0016246C"/>
    <w:rsid w:val="0016659B"/>
    <w:rsid w:val="001871D6"/>
    <w:rsid w:val="001940DF"/>
    <w:rsid w:val="001C1FFD"/>
    <w:rsid w:val="001C6D89"/>
    <w:rsid w:val="001D1897"/>
    <w:rsid w:val="001F2FDC"/>
    <w:rsid w:val="001F6A53"/>
    <w:rsid w:val="00230EE5"/>
    <w:rsid w:val="0023557C"/>
    <w:rsid w:val="0024568A"/>
    <w:rsid w:val="0025174B"/>
    <w:rsid w:val="002660F3"/>
    <w:rsid w:val="00270394"/>
    <w:rsid w:val="002A1899"/>
    <w:rsid w:val="002A4B9A"/>
    <w:rsid w:val="002C08C9"/>
    <w:rsid w:val="003039FA"/>
    <w:rsid w:val="00320313"/>
    <w:rsid w:val="0037673B"/>
    <w:rsid w:val="00383F8C"/>
    <w:rsid w:val="00397ABA"/>
    <w:rsid w:val="003A2691"/>
    <w:rsid w:val="003B1531"/>
    <w:rsid w:val="003B4E38"/>
    <w:rsid w:val="003D7149"/>
    <w:rsid w:val="003E3A99"/>
    <w:rsid w:val="00400BEE"/>
    <w:rsid w:val="00443C87"/>
    <w:rsid w:val="00444C44"/>
    <w:rsid w:val="00452CDD"/>
    <w:rsid w:val="00453980"/>
    <w:rsid w:val="00456F4C"/>
    <w:rsid w:val="00473824"/>
    <w:rsid w:val="00494439"/>
    <w:rsid w:val="004A48F7"/>
    <w:rsid w:val="004C0C6E"/>
    <w:rsid w:val="004D3744"/>
    <w:rsid w:val="004E18E4"/>
    <w:rsid w:val="00506587"/>
    <w:rsid w:val="00513FDB"/>
    <w:rsid w:val="00521F29"/>
    <w:rsid w:val="005457B4"/>
    <w:rsid w:val="00547A95"/>
    <w:rsid w:val="005562E9"/>
    <w:rsid w:val="00565CBB"/>
    <w:rsid w:val="0056752E"/>
    <w:rsid w:val="00587CDD"/>
    <w:rsid w:val="005A0F28"/>
    <w:rsid w:val="005C3B58"/>
    <w:rsid w:val="005D14B5"/>
    <w:rsid w:val="005D3623"/>
    <w:rsid w:val="005E7811"/>
    <w:rsid w:val="005F1972"/>
    <w:rsid w:val="00615EC7"/>
    <w:rsid w:val="006274D0"/>
    <w:rsid w:val="00634127"/>
    <w:rsid w:val="0064264E"/>
    <w:rsid w:val="00655619"/>
    <w:rsid w:val="00693040"/>
    <w:rsid w:val="00694A61"/>
    <w:rsid w:val="006A3D9A"/>
    <w:rsid w:val="006F2BE0"/>
    <w:rsid w:val="00752478"/>
    <w:rsid w:val="0078554E"/>
    <w:rsid w:val="0079056C"/>
    <w:rsid w:val="007906EC"/>
    <w:rsid w:val="007922E7"/>
    <w:rsid w:val="00793F45"/>
    <w:rsid w:val="007C279C"/>
    <w:rsid w:val="007C3675"/>
    <w:rsid w:val="007C770C"/>
    <w:rsid w:val="007E3A9B"/>
    <w:rsid w:val="00803617"/>
    <w:rsid w:val="00804C00"/>
    <w:rsid w:val="0081771C"/>
    <w:rsid w:val="00825818"/>
    <w:rsid w:val="00861607"/>
    <w:rsid w:val="00884602"/>
    <w:rsid w:val="0089311C"/>
    <w:rsid w:val="008A04D2"/>
    <w:rsid w:val="00907AA5"/>
    <w:rsid w:val="00914677"/>
    <w:rsid w:val="0092359A"/>
    <w:rsid w:val="009647B7"/>
    <w:rsid w:val="00982B5B"/>
    <w:rsid w:val="009A24D2"/>
    <w:rsid w:val="009D66DC"/>
    <w:rsid w:val="009E612F"/>
    <w:rsid w:val="009F4B8F"/>
    <w:rsid w:val="00A2072F"/>
    <w:rsid w:val="00A23E71"/>
    <w:rsid w:val="00A4497E"/>
    <w:rsid w:val="00A65C79"/>
    <w:rsid w:val="00AD31A0"/>
    <w:rsid w:val="00B03471"/>
    <w:rsid w:val="00B05289"/>
    <w:rsid w:val="00B428D4"/>
    <w:rsid w:val="00B4496D"/>
    <w:rsid w:val="00B457BA"/>
    <w:rsid w:val="00B50874"/>
    <w:rsid w:val="00B869F3"/>
    <w:rsid w:val="00B901D7"/>
    <w:rsid w:val="00B945FD"/>
    <w:rsid w:val="00B95355"/>
    <w:rsid w:val="00BA5388"/>
    <w:rsid w:val="00BA56F4"/>
    <w:rsid w:val="00BA680C"/>
    <w:rsid w:val="00BB4088"/>
    <w:rsid w:val="00BB6B7D"/>
    <w:rsid w:val="00BC23C1"/>
    <w:rsid w:val="00BC50A6"/>
    <w:rsid w:val="00BE0DA7"/>
    <w:rsid w:val="00BF3B19"/>
    <w:rsid w:val="00BF7123"/>
    <w:rsid w:val="00C1132F"/>
    <w:rsid w:val="00C115FB"/>
    <w:rsid w:val="00C14879"/>
    <w:rsid w:val="00C60B00"/>
    <w:rsid w:val="00C87D0F"/>
    <w:rsid w:val="00C94D1E"/>
    <w:rsid w:val="00C95D38"/>
    <w:rsid w:val="00CB5B0F"/>
    <w:rsid w:val="00CB628D"/>
    <w:rsid w:val="00CC5F19"/>
    <w:rsid w:val="00CD4F4D"/>
    <w:rsid w:val="00CE7CDB"/>
    <w:rsid w:val="00D109BC"/>
    <w:rsid w:val="00D11273"/>
    <w:rsid w:val="00D13893"/>
    <w:rsid w:val="00D14267"/>
    <w:rsid w:val="00D17B26"/>
    <w:rsid w:val="00D24D2C"/>
    <w:rsid w:val="00D2667B"/>
    <w:rsid w:val="00D304E2"/>
    <w:rsid w:val="00D30929"/>
    <w:rsid w:val="00D43E8B"/>
    <w:rsid w:val="00D51945"/>
    <w:rsid w:val="00D75783"/>
    <w:rsid w:val="00D902F5"/>
    <w:rsid w:val="00DB385E"/>
    <w:rsid w:val="00DC39B0"/>
    <w:rsid w:val="00DF0083"/>
    <w:rsid w:val="00E00B7F"/>
    <w:rsid w:val="00E02931"/>
    <w:rsid w:val="00E0671B"/>
    <w:rsid w:val="00E22EA9"/>
    <w:rsid w:val="00E35D51"/>
    <w:rsid w:val="00E41004"/>
    <w:rsid w:val="00E41A04"/>
    <w:rsid w:val="00E51509"/>
    <w:rsid w:val="00E55598"/>
    <w:rsid w:val="00EA2D7D"/>
    <w:rsid w:val="00EB1594"/>
    <w:rsid w:val="00EC6259"/>
    <w:rsid w:val="00ED0943"/>
    <w:rsid w:val="00ED17BA"/>
    <w:rsid w:val="00ED6D17"/>
    <w:rsid w:val="00F01E74"/>
    <w:rsid w:val="00F31D0F"/>
    <w:rsid w:val="00F34116"/>
    <w:rsid w:val="00F34D15"/>
    <w:rsid w:val="00F94B3D"/>
    <w:rsid w:val="00FA61D1"/>
    <w:rsid w:val="00FC69E5"/>
    <w:rsid w:val="00FF279D"/>
    <w:rsid w:val="013C726E"/>
    <w:rsid w:val="01B979D0"/>
    <w:rsid w:val="027B6D79"/>
    <w:rsid w:val="04477832"/>
    <w:rsid w:val="04545A49"/>
    <w:rsid w:val="04C87066"/>
    <w:rsid w:val="05DE1F43"/>
    <w:rsid w:val="0711457E"/>
    <w:rsid w:val="07D3249B"/>
    <w:rsid w:val="09480B76"/>
    <w:rsid w:val="0A4056A9"/>
    <w:rsid w:val="0AB02BCD"/>
    <w:rsid w:val="0AEB20D2"/>
    <w:rsid w:val="0D046532"/>
    <w:rsid w:val="0F5645BD"/>
    <w:rsid w:val="10552CBA"/>
    <w:rsid w:val="10797AFB"/>
    <w:rsid w:val="10E7193C"/>
    <w:rsid w:val="11337CBF"/>
    <w:rsid w:val="117457FA"/>
    <w:rsid w:val="12C71168"/>
    <w:rsid w:val="13112B05"/>
    <w:rsid w:val="14147227"/>
    <w:rsid w:val="143F6845"/>
    <w:rsid w:val="15284D87"/>
    <w:rsid w:val="166A2EB1"/>
    <w:rsid w:val="16924E7A"/>
    <w:rsid w:val="16E235F1"/>
    <w:rsid w:val="18402039"/>
    <w:rsid w:val="18807433"/>
    <w:rsid w:val="190B3727"/>
    <w:rsid w:val="197C1B46"/>
    <w:rsid w:val="19B250D3"/>
    <w:rsid w:val="19EA5B60"/>
    <w:rsid w:val="1A935832"/>
    <w:rsid w:val="1A986F4F"/>
    <w:rsid w:val="1AE479A2"/>
    <w:rsid w:val="1B3F4F1E"/>
    <w:rsid w:val="1D074E56"/>
    <w:rsid w:val="1DE826EC"/>
    <w:rsid w:val="1E517B84"/>
    <w:rsid w:val="1F5B6C81"/>
    <w:rsid w:val="20781FB5"/>
    <w:rsid w:val="22B70B00"/>
    <w:rsid w:val="23775F59"/>
    <w:rsid w:val="24E23D7C"/>
    <w:rsid w:val="25416D14"/>
    <w:rsid w:val="25A621C9"/>
    <w:rsid w:val="25C01E7E"/>
    <w:rsid w:val="25DC0129"/>
    <w:rsid w:val="26DF7048"/>
    <w:rsid w:val="26F57EA0"/>
    <w:rsid w:val="270C409F"/>
    <w:rsid w:val="276500BD"/>
    <w:rsid w:val="27C7486A"/>
    <w:rsid w:val="27E06986"/>
    <w:rsid w:val="28700AC7"/>
    <w:rsid w:val="2AB51407"/>
    <w:rsid w:val="2B2C4EA1"/>
    <w:rsid w:val="2B601F23"/>
    <w:rsid w:val="2DF97051"/>
    <w:rsid w:val="2E2B4943"/>
    <w:rsid w:val="2E6E0AF3"/>
    <w:rsid w:val="2E921798"/>
    <w:rsid w:val="2F3839FD"/>
    <w:rsid w:val="2F437013"/>
    <w:rsid w:val="2F5922B5"/>
    <w:rsid w:val="2F835A02"/>
    <w:rsid w:val="2FB3218F"/>
    <w:rsid w:val="30AF2411"/>
    <w:rsid w:val="316E496E"/>
    <w:rsid w:val="323D6710"/>
    <w:rsid w:val="346C0F8D"/>
    <w:rsid w:val="34E24AFB"/>
    <w:rsid w:val="34E50FB5"/>
    <w:rsid w:val="35074582"/>
    <w:rsid w:val="351C559D"/>
    <w:rsid w:val="35ED5885"/>
    <w:rsid w:val="396A0841"/>
    <w:rsid w:val="3AC64E24"/>
    <w:rsid w:val="3B484A96"/>
    <w:rsid w:val="3B966657"/>
    <w:rsid w:val="3C6B7986"/>
    <w:rsid w:val="3CC1465B"/>
    <w:rsid w:val="3E0F64B4"/>
    <w:rsid w:val="3F204B9F"/>
    <w:rsid w:val="401873FE"/>
    <w:rsid w:val="40221ED0"/>
    <w:rsid w:val="40624D42"/>
    <w:rsid w:val="40EC58C2"/>
    <w:rsid w:val="41432BAE"/>
    <w:rsid w:val="41744D2D"/>
    <w:rsid w:val="42487538"/>
    <w:rsid w:val="42A259EE"/>
    <w:rsid w:val="438F3899"/>
    <w:rsid w:val="43A74AE6"/>
    <w:rsid w:val="44141138"/>
    <w:rsid w:val="448E592F"/>
    <w:rsid w:val="456D41C6"/>
    <w:rsid w:val="469519CD"/>
    <w:rsid w:val="4818486A"/>
    <w:rsid w:val="48332818"/>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1E065E0"/>
    <w:rsid w:val="532D300E"/>
    <w:rsid w:val="553D46AE"/>
    <w:rsid w:val="5587376C"/>
    <w:rsid w:val="56A018BD"/>
    <w:rsid w:val="575A48A4"/>
    <w:rsid w:val="588C69A8"/>
    <w:rsid w:val="58E9591E"/>
    <w:rsid w:val="58E95FEA"/>
    <w:rsid w:val="59061BEA"/>
    <w:rsid w:val="5B8449DB"/>
    <w:rsid w:val="5C3E620B"/>
    <w:rsid w:val="5D35762A"/>
    <w:rsid w:val="5DAB1F64"/>
    <w:rsid w:val="5E582369"/>
    <w:rsid w:val="5FF23595"/>
    <w:rsid w:val="60055849"/>
    <w:rsid w:val="6039453D"/>
    <w:rsid w:val="606C2A77"/>
    <w:rsid w:val="60F45BE7"/>
    <w:rsid w:val="62335416"/>
    <w:rsid w:val="627D6C42"/>
    <w:rsid w:val="62A156F1"/>
    <w:rsid w:val="6305308B"/>
    <w:rsid w:val="63AF3EC4"/>
    <w:rsid w:val="641E0D86"/>
    <w:rsid w:val="648A23AF"/>
    <w:rsid w:val="65C321BE"/>
    <w:rsid w:val="6636380E"/>
    <w:rsid w:val="66966E85"/>
    <w:rsid w:val="66DD46B5"/>
    <w:rsid w:val="671906C0"/>
    <w:rsid w:val="67DA1E86"/>
    <w:rsid w:val="6874112A"/>
    <w:rsid w:val="69224EEB"/>
    <w:rsid w:val="6A1D41BC"/>
    <w:rsid w:val="6A7B723E"/>
    <w:rsid w:val="6C051DF1"/>
    <w:rsid w:val="6C7B752A"/>
    <w:rsid w:val="6C820012"/>
    <w:rsid w:val="6CD773CF"/>
    <w:rsid w:val="6DB6585E"/>
    <w:rsid w:val="6DD86BE4"/>
    <w:rsid w:val="6E4A4335"/>
    <w:rsid w:val="6ED83A73"/>
    <w:rsid w:val="6F8E06AB"/>
    <w:rsid w:val="6FCD6B1F"/>
    <w:rsid w:val="6FDF6EFE"/>
    <w:rsid w:val="70375F8D"/>
    <w:rsid w:val="70514F72"/>
    <w:rsid w:val="71136A90"/>
    <w:rsid w:val="711A0B9D"/>
    <w:rsid w:val="72AB307B"/>
    <w:rsid w:val="739972EB"/>
    <w:rsid w:val="73DF15F2"/>
    <w:rsid w:val="745B7F7E"/>
    <w:rsid w:val="748E002A"/>
    <w:rsid w:val="74AE1D28"/>
    <w:rsid w:val="78206C22"/>
    <w:rsid w:val="78FF3133"/>
    <w:rsid w:val="792D3904"/>
    <w:rsid w:val="798D4BFB"/>
    <w:rsid w:val="7A9274BD"/>
    <w:rsid w:val="7D540579"/>
    <w:rsid w:val="7DA82479"/>
    <w:rsid w:val="7E2F525B"/>
    <w:rsid w:val="7E5B5B46"/>
    <w:rsid w:val="7E747B3F"/>
    <w:rsid w:val="7E870032"/>
    <w:rsid w:val="7F610FB3"/>
    <w:rsid w:val="BFAEA729"/>
    <w:rsid w:val="EFF58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left="100" w:leftChars="100" w:right="100" w:rightChars="100"/>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24"/>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semiHidden/>
    <w:unhideWhenUsed/>
    <w:qFormat/>
    <w:uiPriority w:val="99"/>
    <w:pPr>
      <w:snapToGrid w:val="0"/>
      <w:jc w:val="left"/>
    </w:pPr>
    <w:rPr>
      <w:rFonts w:eastAsia="华文楷体"/>
      <w:sz w:val="18"/>
      <w:szCs w:val="18"/>
    </w:rPr>
  </w:style>
  <w:style w:type="paragraph" w:styleId="9">
    <w:name w:val="annotation subject"/>
    <w:basedOn w:val="4"/>
    <w:next w:val="4"/>
    <w:link w:val="25"/>
    <w:semiHidden/>
    <w:unhideWhenUsed/>
    <w:qFormat/>
    <w:uiPriority w:val="99"/>
    <w:rPr>
      <w:b/>
      <w:bCs/>
    </w:r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styleId="14">
    <w:name w:val="footnote reference"/>
    <w:semiHidden/>
    <w:unhideWhenUsed/>
    <w:qFormat/>
    <w:uiPriority w:val="99"/>
    <w:rPr>
      <w:vertAlign w:val="superscript"/>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文档结构图 字符"/>
    <w:basedOn w:val="11"/>
    <w:link w:val="3"/>
    <w:semiHidden/>
    <w:qFormat/>
    <w:uiPriority w:val="99"/>
    <w:rPr>
      <w:rFonts w:ascii="宋体" w:eastAsia="宋体"/>
      <w:sz w:val="18"/>
      <w:szCs w:val="18"/>
    </w:rPr>
  </w:style>
  <w:style w:type="character" w:customStyle="1" w:styleId="18">
    <w:name w:val="批注框文本 字符"/>
    <w:basedOn w:val="11"/>
    <w:link w:val="5"/>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Char"/>
    <w:semiHidden/>
    <w:qFormat/>
    <w:uiPriority w:val="99"/>
    <w:rPr>
      <w:rFonts w:eastAsia="华文楷体"/>
      <w:sz w:val="18"/>
      <w:szCs w:val="18"/>
    </w:rPr>
  </w:style>
  <w:style w:type="character" w:customStyle="1" w:styleId="21">
    <w:name w:val="脚注文本 字符"/>
    <w:basedOn w:val="11"/>
    <w:link w:val="8"/>
    <w:semiHidden/>
    <w:qFormat/>
    <w:uiPriority w:val="99"/>
    <w:rPr>
      <w:sz w:val="18"/>
      <w:szCs w:val="18"/>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9"/>
    <w:semiHidden/>
    <w:qFormat/>
    <w:uiPriority w:val="99"/>
    <w:rPr>
      <w:rFonts w:asciiTheme="minorHAnsi" w:hAnsiTheme="minorHAnsi" w:eastAsiaTheme="minorEastAsia" w:cstheme="minorBidi"/>
      <w:b/>
      <w:bCs/>
      <w:kern w:val="2"/>
      <w:sz w:val="21"/>
      <w:szCs w:val="22"/>
    </w:rPr>
  </w:style>
  <w:style w:type="paragraph" w:customStyle="1" w:styleId="26">
    <w:name w:val="005正文"/>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2271</Words>
  <Characters>2421</Characters>
  <Lines>12</Lines>
  <Paragraphs>3</Paragraphs>
  <TotalTime>4</TotalTime>
  <ScaleCrop>false</ScaleCrop>
  <LinksUpToDate>false</LinksUpToDate>
  <CharactersWithSpaces>2556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2023-02-07T01:53:00Z</dcterms:created>
  <dc:creator>fangz</dc:creator>
  <cp:lastModifiedBy>沈蔡娟</cp:lastModifiedBy>
  <dcterms:modified xsi:type="dcterms:W3CDTF">2025-11-06T06:43:13Z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27C737B601FFE83BDDEEAA670B5DFF54_43</vt:lpwstr>
  </property>
  <property fmtid="{D5CDD505-2E9C-101B-9397-08002B2CF9AE}" pid="4" name="KSOTemplateDocerSaveRecord">
    <vt:lpwstr>eyJoZGlkIjoiODhjMzM2YzNmOTE2ZjViMDYxNDA0OGY2ZmJjNjZjOWEiLCJ1c2VySWQiOiIyMTc3MDAzOTkifQ==</vt:lpwstr>
  </property>
</Properties>
</file>