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3CD3" w14:textId="77777777" w:rsidR="005578A5" w:rsidRDefault="00000000">
      <w:pPr>
        <w:spacing w:beforeLines="50" w:before="156"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14:paraId="616C39C6" w14:textId="77777777" w:rsidR="005578A5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14:paraId="0FF159F1" w14:textId="77777777" w:rsidR="005578A5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14:paraId="39143370" w14:textId="77777777" w:rsidR="005578A5" w:rsidRDefault="00000000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-IR-0</w:t>
      </w:r>
      <w:r>
        <w:rPr>
          <w:rFonts w:ascii="Times New Roman" w:hAnsi="Times New Roman" w:hint="eastAsia"/>
        </w:rPr>
        <w:t>18</w:t>
      </w:r>
    </w:p>
    <w:tbl>
      <w:tblPr>
        <w:tblStyle w:val="af0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6494"/>
      </w:tblGrid>
      <w:tr w:rsidR="005578A5" w14:paraId="02D5CA95" w14:textId="77777777">
        <w:trPr>
          <w:jc w:val="center"/>
        </w:trPr>
        <w:tc>
          <w:tcPr>
            <w:tcW w:w="1865" w:type="dxa"/>
          </w:tcPr>
          <w:p w14:paraId="57063510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94" w:type="dxa"/>
          </w:tcPr>
          <w:p w14:paraId="242E9DCD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14:paraId="2B688609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14:paraId="63EAC276" w14:textId="77777777" w:rsidR="005578A5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14:paraId="403315BD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现场参观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578A5" w14:paraId="4CC61E32" w14:textId="77777777">
        <w:trPr>
          <w:jc w:val="center"/>
        </w:trPr>
        <w:tc>
          <w:tcPr>
            <w:tcW w:w="1865" w:type="dxa"/>
          </w:tcPr>
          <w:p w14:paraId="5EC95E37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94" w:type="dxa"/>
          </w:tcPr>
          <w:p w14:paraId="6E3044A3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国泰海通、信泰人寿、中邮资管、中信资管</w:t>
            </w:r>
          </w:p>
        </w:tc>
      </w:tr>
      <w:tr w:rsidR="005578A5" w14:paraId="218701F9" w14:textId="77777777">
        <w:trPr>
          <w:jc w:val="center"/>
        </w:trPr>
        <w:tc>
          <w:tcPr>
            <w:tcW w:w="1865" w:type="dxa"/>
          </w:tcPr>
          <w:p w14:paraId="67813D1A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94" w:type="dxa"/>
          </w:tcPr>
          <w:p w14:paraId="6411FF96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04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5578A5" w14:paraId="1A6DF50E" w14:textId="77777777">
        <w:trPr>
          <w:trHeight w:val="727"/>
          <w:jc w:val="center"/>
        </w:trPr>
        <w:tc>
          <w:tcPr>
            <w:tcW w:w="1865" w:type="dxa"/>
          </w:tcPr>
          <w:p w14:paraId="53637730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94" w:type="dxa"/>
          </w:tcPr>
          <w:p w14:paraId="29E03C17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北京</w:t>
            </w:r>
          </w:p>
        </w:tc>
      </w:tr>
      <w:tr w:rsidR="005578A5" w14:paraId="2A879D76" w14:textId="77777777">
        <w:trPr>
          <w:jc w:val="center"/>
        </w:trPr>
        <w:tc>
          <w:tcPr>
            <w:tcW w:w="1865" w:type="dxa"/>
          </w:tcPr>
          <w:p w14:paraId="075EE47E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6494" w:type="dxa"/>
          </w:tcPr>
          <w:p w14:paraId="5E707769" w14:textId="77777777" w:rsidR="005578A5" w:rsidRDefault="00000000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副总经理、董事会秘书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李瑾懿</w:t>
            </w:r>
          </w:p>
          <w:p w14:paraId="1BA1D57B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、证券事务部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葛淳</w:t>
            </w:r>
          </w:p>
        </w:tc>
      </w:tr>
      <w:tr w:rsidR="005578A5" w14:paraId="00BC722B" w14:textId="77777777">
        <w:trPr>
          <w:trHeight w:val="2816"/>
          <w:jc w:val="center"/>
        </w:trPr>
        <w:tc>
          <w:tcPr>
            <w:tcW w:w="1865" w:type="dxa"/>
          </w:tcPr>
          <w:p w14:paraId="2FB0802D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94" w:type="dxa"/>
          </w:tcPr>
          <w:p w14:paraId="2131FCB1" w14:textId="77777777" w:rsidR="005578A5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投资者提出的问题与公司的回复情况</w:t>
            </w:r>
            <w:r>
              <w:rPr>
                <w:rFonts w:ascii="Times New Roman" w:hAnsi="Times New Roman" w:hint="eastAsia"/>
              </w:rPr>
              <w:t>。</w:t>
            </w:r>
          </w:p>
          <w:p w14:paraId="15B7CA93" w14:textId="77777777" w:rsidR="005578A5" w:rsidRDefault="00000000">
            <w:pPr>
              <w:spacing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Q1</w:t>
            </w:r>
            <w:r>
              <w:rPr>
                <w:rFonts w:ascii="Times New Roman" w:hAnsi="Times New Roman" w:hint="eastAsia"/>
                <w:b/>
                <w:bCs/>
              </w:rPr>
              <w:t>：在</w:t>
            </w:r>
            <w:r>
              <w:rPr>
                <w:rFonts w:ascii="Times New Roman" w:hAnsi="Times New Roman" w:hint="eastAsia"/>
                <w:b/>
                <w:bCs/>
              </w:rPr>
              <w:t>AI</w:t>
            </w:r>
            <w:r>
              <w:rPr>
                <w:rFonts w:ascii="Times New Roman" w:hAnsi="Times New Roman" w:hint="eastAsia"/>
                <w:b/>
                <w:bCs/>
              </w:rPr>
              <w:t>眼镜产品中公司的芯片是负责哪些功能？公司的</w:t>
            </w:r>
            <w:r>
              <w:rPr>
                <w:rFonts w:ascii="Times New Roman" w:hAnsi="Times New Roman" w:hint="eastAsia"/>
                <w:b/>
                <w:bCs/>
              </w:rPr>
              <w:t>AI</w:t>
            </w:r>
            <w:r>
              <w:rPr>
                <w:rFonts w:ascii="Times New Roman" w:hAnsi="Times New Roman" w:hint="eastAsia"/>
                <w:b/>
                <w:bCs/>
              </w:rPr>
              <w:t>眼镜方案支持做哪些品类？</w:t>
            </w:r>
            <w:r>
              <w:rPr>
                <w:rFonts w:ascii="Times New Roman" w:hAnsi="Times New Roman" w:hint="eastAsia"/>
                <w:b/>
                <w:bCs/>
              </w:rPr>
              <w:t>AI</w:t>
            </w:r>
            <w:r>
              <w:rPr>
                <w:rFonts w:ascii="Times New Roman" w:hAnsi="Times New Roman" w:hint="eastAsia"/>
                <w:b/>
                <w:bCs/>
              </w:rPr>
              <w:t>眼镜领域的合作情况？</w:t>
            </w:r>
          </w:p>
          <w:p w14:paraId="46E32CB0" w14:textId="77777777" w:rsidR="005578A5" w:rsidRDefault="00000000">
            <w:pPr>
              <w:spacing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A1</w:t>
            </w:r>
            <w:r>
              <w:rPr>
                <w:rFonts w:ascii="Times New Roman" w:hAnsi="Times New Roman" w:hint="eastAsia"/>
              </w:rPr>
              <w:t>：目前公司可以用于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智能眼镜的芯片有包含</w:t>
            </w:r>
            <w:r>
              <w:rPr>
                <w:rFonts w:ascii="Times New Roman" w:hAnsi="Times New Roman" w:hint="eastAsia"/>
              </w:rPr>
              <w:t>ISP</w:t>
            </w:r>
            <w:r>
              <w:rPr>
                <w:rFonts w:ascii="Times New Roman" w:hAnsi="Times New Roman" w:hint="eastAsia"/>
              </w:rPr>
              <w:t>（图像信号处理）的视觉芯片，如</w:t>
            </w:r>
            <w:r>
              <w:rPr>
                <w:rFonts w:ascii="Times New Roman" w:hAnsi="Times New Roman" w:hint="eastAsia"/>
              </w:rPr>
              <w:t>KM02G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KM01W</w:t>
            </w:r>
            <w:r>
              <w:rPr>
                <w:rFonts w:ascii="Times New Roman" w:hAnsi="Times New Roman" w:hint="eastAsia"/>
              </w:rPr>
              <w:t>等，也有处理音频、支持连接的低功耗蓝牙芯片，如</w:t>
            </w:r>
            <w:r>
              <w:rPr>
                <w:rFonts w:ascii="Times New Roman" w:hAnsi="Times New Roman" w:hint="eastAsia"/>
              </w:rPr>
              <w:t>AK1080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AK1090</w:t>
            </w:r>
            <w:r>
              <w:rPr>
                <w:rFonts w:ascii="Times New Roman" w:hAnsi="Times New Roman" w:hint="eastAsia"/>
              </w:rPr>
              <w:t>等。公司的芯片和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眼镜解决方案覆盖了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音频眼镜、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拍摄眼镜和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显示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投影眼镜等几类主流品类，可支持视频、音频、无线连接等核心功能，尺寸、功耗等属于业界领先水平。目前，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眼镜相关产品及解决方案在大规模推广和客户产品开发阶段。在上月公司召开的开发者技术论坛上，第四范式集团微克发布了基于公司芯片方案的</w:t>
            </w:r>
            <w:r>
              <w:rPr>
                <w:rFonts w:ascii="Times New Roman" w:hAnsi="Times New Roman" w:hint="eastAsia"/>
              </w:rPr>
              <w:t>1300</w:t>
            </w:r>
            <w:r>
              <w:rPr>
                <w:rFonts w:ascii="Times New Roman" w:hAnsi="Times New Roman" w:hint="eastAsia"/>
              </w:rPr>
              <w:t>万像素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智能眼镜，浩声科技发布了采用公司方案的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骑行眼镜，后续预计还会有更多客户的相关产品推出，具体上市进度取决于客户决策。</w:t>
            </w:r>
          </w:p>
          <w:p w14:paraId="14363A20" w14:textId="77777777" w:rsidR="005578A5" w:rsidRDefault="00000000">
            <w:pPr>
              <w:spacing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Q2</w:t>
            </w:r>
            <w:r>
              <w:rPr>
                <w:rFonts w:ascii="Times New Roman" w:hAnsi="Times New Roman" w:hint="eastAsia"/>
                <w:b/>
                <w:bCs/>
              </w:rPr>
              <w:t>：公司的摄像机芯片下游客户主要有哪些</w:t>
            </w:r>
            <w:r>
              <w:rPr>
                <w:rFonts w:ascii="Times New Roman" w:hAnsi="Times New Roman" w:hint="eastAsia"/>
                <w:b/>
                <w:bCs/>
              </w:rPr>
              <w:t>AI</w:t>
            </w:r>
            <w:r>
              <w:rPr>
                <w:rFonts w:ascii="Times New Roman" w:hAnsi="Times New Roman" w:hint="eastAsia"/>
                <w:b/>
                <w:bCs/>
              </w:rPr>
              <w:t>需求？背后是哪些场</w:t>
            </w:r>
            <w:r>
              <w:rPr>
                <w:rFonts w:ascii="Times New Roman" w:hAnsi="Times New Roman" w:hint="eastAsia"/>
                <w:b/>
                <w:bCs/>
              </w:rPr>
              <w:lastRenderedPageBreak/>
              <w:t>景驱动？</w:t>
            </w:r>
          </w:p>
          <w:p w14:paraId="7F609D76" w14:textId="580C55DC" w:rsidR="005578A5" w:rsidRDefault="00000000">
            <w:pPr>
              <w:spacing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A2</w:t>
            </w:r>
            <w:r>
              <w:rPr>
                <w:rFonts w:ascii="Times New Roman" w:hAnsi="Times New Roman" w:hint="eastAsia"/>
              </w:rPr>
              <w:t>：随着安防、养老、智能家居等领域智能化需求增长，以及各种行业（如工业、交通、电力）等场景下人工智能技术的推广和普及，智能摄像机的需求增长迅速。用户</w:t>
            </w:r>
            <w:proofErr w:type="gramStart"/>
            <w:r>
              <w:rPr>
                <w:rFonts w:ascii="Times New Roman" w:hAnsi="Times New Roman" w:hint="eastAsia"/>
              </w:rPr>
              <w:t>在端侧对</w:t>
            </w:r>
            <w:proofErr w:type="gramEnd"/>
            <w:r>
              <w:rPr>
                <w:rFonts w:ascii="Times New Roman" w:hAnsi="Times New Roman" w:hint="eastAsia"/>
              </w:rPr>
              <w:t>视频、图像进行智能视觉处理的诉求强烈，包括对人、车、宠物、火焰的检测，以及基于检测结果进行识别、预判断、异常报警，实现对异常事件的分析处理及告警；与此同时，一些新型的智能终端如云台、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相机，智能眼镜，机器人等兴起，物联网摄像机芯片面对的应用市场越来越丰富，其可应用和发挥价值的整体市场规模还将逐渐扩大。</w:t>
            </w:r>
          </w:p>
          <w:p w14:paraId="3885AEC7" w14:textId="77777777" w:rsidR="005578A5" w:rsidRDefault="00000000">
            <w:pPr>
              <w:spacing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Q3</w:t>
            </w:r>
            <w:r>
              <w:rPr>
                <w:rFonts w:ascii="Times New Roman" w:hAnsi="Times New Roman" w:hint="eastAsia"/>
                <w:b/>
                <w:bCs/>
              </w:rPr>
              <w:t>：视觉类业务有哪些新的行业应用？</w:t>
            </w:r>
          </w:p>
          <w:p w14:paraId="7B8EEC52" w14:textId="05800308" w:rsidR="005578A5" w:rsidRDefault="00000000">
            <w:pPr>
              <w:spacing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A3</w:t>
            </w:r>
            <w:r>
              <w:rPr>
                <w:rFonts w:ascii="Times New Roman" w:hAnsi="Times New Roman" w:hint="eastAsia"/>
              </w:rPr>
              <w:t>：如</w:t>
            </w:r>
            <w:r>
              <w:rPr>
                <w:rFonts w:ascii="Times New Roman" w:hAnsi="Times New Roman" w:hint="eastAsia"/>
              </w:rPr>
              <w:t>Q2</w:t>
            </w:r>
            <w:r>
              <w:rPr>
                <w:rFonts w:ascii="Times New Roman" w:hAnsi="Times New Roman" w:hint="eastAsia"/>
              </w:rPr>
              <w:t>回复中提及，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眼镜、运动相机、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相机、智驾</w:t>
            </w:r>
            <w:r>
              <w:rPr>
                <w:rFonts w:ascii="Times New Roman" w:hAnsi="Times New Roman" w:hint="eastAsia"/>
              </w:rPr>
              <w:t>、桌面机器人、玩具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陪伴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服务机器人等等。</w:t>
            </w:r>
            <w:r>
              <w:rPr>
                <w:rFonts w:ascii="Times New Roman" w:hAnsi="Times New Roman" w:hint="eastAsia"/>
              </w:rPr>
              <w:t xml:space="preserve"> </w:t>
            </w:r>
          </w:p>
          <w:p w14:paraId="350CF270" w14:textId="77777777" w:rsidR="005578A5" w:rsidRDefault="00000000">
            <w:pPr>
              <w:spacing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Q4</w:t>
            </w:r>
            <w:r>
              <w:rPr>
                <w:rFonts w:ascii="Times New Roman" w:hAnsi="Times New Roman" w:hint="eastAsia"/>
                <w:b/>
                <w:bCs/>
              </w:rPr>
              <w:t>：当前行业普遍都在关注低功耗，公司采取了什么措施？</w:t>
            </w:r>
          </w:p>
          <w:p w14:paraId="4CBD74D9" w14:textId="77777777" w:rsidR="005578A5" w:rsidRDefault="00000000">
            <w:pPr>
              <w:spacing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：</w:t>
            </w:r>
            <w:r>
              <w:rPr>
                <w:rFonts w:ascii="Times New Roman" w:hAnsi="Times New Roman" w:hint="eastAsia"/>
              </w:rPr>
              <w:t>公司一直致力于通过芯片对无线终端赋能，所以在低功耗相关有长期技术积累，通过架构、算法的优化和创新不断演进低功耗技术，同时也致力于合理利用工艺制程的提升降低功耗。今年至今发布的多颗芯片产品在功耗指标方面都有比较亮眼的表现。</w:t>
            </w:r>
          </w:p>
          <w:p w14:paraId="1B389196" w14:textId="77777777" w:rsidR="005578A5" w:rsidRDefault="00000000">
            <w:pPr>
              <w:spacing w:afterLines="50" w:after="15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Q5</w:t>
            </w:r>
            <w:r>
              <w:rPr>
                <w:rFonts w:ascii="Times New Roman" w:hAnsi="Times New Roman" w:hint="eastAsia"/>
                <w:b/>
                <w:bCs/>
              </w:rPr>
              <w:t>：公司是否有做股权激励？</w:t>
            </w:r>
          </w:p>
          <w:p w14:paraId="6435D86B" w14:textId="77777777" w:rsidR="005578A5" w:rsidRDefault="00000000">
            <w:pPr>
              <w:spacing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A5</w:t>
            </w:r>
            <w:r>
              <w:rPr>
                <w:rFonts w:ascii="Times New Roman" w:hAnsi="Times New Roman" w:hint="eastAsia"/>
              </w:rPr>
              <w:t>：有的。公司已于</w:t>
            </w:r>
            <w:r>
              <w:rPr>
                <w:rFonts w:ascii="Times New Roman" w:hAnsi="Times New Roman" w:hint="eastAsia"/>
              </w:rPr>
              <w:t>2025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 w:hint="eastAsia"/>
              </w:rPr>
              <w:t>月临时股东大会审议通过《关于</w:t>
            </w:r>
            <w:r>
              <w:rPr>
                <w:rFonts w:ascii="Times New Roman" w:hAnsi="Times New Roman" w:hint="eastAsia"/>
              </w:rPr>
              <w:t>2025</w:t>
            </w:r>
            <w:r>
              <w:rPr>
                <w:rFonts w:ascii="Times New Roman" w:hAnsi="Times New Roman" w:hint="eastAsia"/>
              </w:rPr>
              <w:t>年限制性股票激励计划及其摘要的议案》，现正按照该计划在落实执行中。</w:t>
            </w:r>
          </w:p>
        </w:tc>
      </w:tr>
      <w:tr w:rsidR="005578A5" w14:paraId="55094C15" w14:textId="77777777">
        <w:trPr>
          <w:trHeight w:val="1362"/>
          <w:jc w:val="center"/>
        </w:trPr>
        <w:tc>
          <w:tcPr>
            <w:tcW w:w="1865" w:type="dxa"/>
          </w:tcPr>
          <w:p w14:paraId="5874814F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94" w:type="dxa"/>
          </w:tcPr>
          <w:p w14:paraId="08919B8E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本次交流活动期间，公司不存在透露任何未公开重大信息的情形。</w:t>
            </w:r>
          </w:p>
        </w:tc>
      </w:tr>
      <w:tr w:rsidR="005578A5" w14:paraId="6574A363" w14:textId="77777777">
        <w:trPr>
          <w:jc w:val="center"/>
        </w:trPr>
        <w:tc>
          <w:tcPr>
            <w:tcW w:w="1865" w:type="dxa"/>
          </w:tcPr>
          <w:p w14:paraId="60B8B5FE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94" w:type="dxa"/>
          </w:tcPr>
          <w:p w14:paraId="292AAE7C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04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5578A5" w14:paraId="7302544A" w14:textId="77777777">
        <w:trPr>
          <w:trHeight w:val="416"/>
          <w:jc w:val="center"/>
        </w:trPr>
        <w:tc>
          <w:tcPr>
            <w:tcW w:w="8359" w:type="dxa"/>
            <w:gridSpan w:val="2"/>
          </w:tcPr>
          <w:p w14:paraId="46ACECB9" w14:textId="77777777" w:rsidR="005578A5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11-04</w:t>
            </w:r>
          </w:p>
        </w:tc>
      </w:tr>
    </w:tbl>
    <w:p w14:paraId="3B6887FB" w14:textId="77777777" w:rsidR="005578A5" w:rsidRDefault="005578A5">
      <w:pPr>
        <w:spacing w:beforeLines="50" w:before="156" w:afterLines="50" w:after="156"/>
        <w:rPr>
          <w:rFonts w:ascii="Times New Roman" w:hAnsi="Times New Roman"/>
        </w:rPr>
      </w:pPr>
    </w:p>
    <w:sectPr w:rsidR="005578A5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6A13" w14:textId="77777777" w:rsidR="00971E63" w:rsidRDefault="00971E63" w:rsidP="00F11742">
      <w:pPr>
        <w:spacing w:after="0" w:line="240" w:lineRule="auto"/>
      </w:pPr>
      <w:r>
        <w:separator/>
      </w:r>
    </w:p>
  </w:endnote>
  <w:endnote w:type="continuationSeparator" w:id="0">
    <w:p w14:paraId="1A73931C" w14:textId="77777777" w:rsidR="00971E63" w:rsidRDefault="00971E63" w:rsidP="00F1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71E3" w14:textId="77777777" w:rsidR="00971E63" w:rsidRDefault="00971E63" w:rsidP="00F11742">
      <w:pPr>
        <w:spacing w:after="0" w:line="240" w:lineRule="auto"/>
      </w:pPr>
      <w:r>
        <w:separator/>
      </w:r>
    </w:p>
  </w:footnote>
  <w:footnote w:type="continuationSeparator" w:id="0">
    <w:p w14:paraId="2009E65F" w14:textId="77777777" w:rsidR="00971E63" w:rsidRDefault="00971E63" w:rsidP="00F1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2ED42CB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695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A5"/>
    <w:rsid w:val="003C6A21"/>
    <w:rsid w:val="005578A5"/>
    <w:rsid w:val="00971E63"/>
    <w:rsid w:val="00F1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EFA21A6-B888-44F4-B250-227CBBCB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2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0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0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customStyle="1" w:styleId="22">
    <w:name w:val="修订22"/>
    <w:uiPriority w:val="99"/>
    <w:rPr>
      <w:rFonts w:ascii="Calibri" w:hAnsi="Calibri" w:cs="宋体"/>
      <w:kern w:val="2"/>
      <w:sz w:val="21"/>
      <w:szCs w:val="22"/>
    </w:rPr>
  </w:style>
  <w:style w:type="paragraph" w:customStyle="1" w:styleId="23">
    <w:name w:val="修订23"/>
    <w:uiPriority w:val="99"/>
    <w:rPr>
      <w:rFonts w:ascii="Calibri" w:hAnsi="Calibri" w:cs="宋体"/>
      <w:kern w:val="2"/>
      <w:sz w:val="21"/>
      <w:szCs w:val="22"/>
    </w:rPr>
  </w:style>
  <w:style w:type="paragraph" w:customStyle="1" w:styleId="24">
    <w:name w:val="修订2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5">
    <w:name w:val="修订2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rFonts w:ascii="Calibri" w:hAnsi="Calibri" w:cs="宋体"/>
      <w:b/>
      <w:bCs/>
      <w:kern w:val="44"/>
      <w:sz w:val="44"/>
      <w:szCs w:val="44"/>
    </w:rPr>
  </w:style>
  <w:style w:type="paragraph" w:customStyle="1" w:styleId="26">
    <w:name w:val="修订2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7">
    <w:name w:val="修订2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8">
    <w:name w:val="修订28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9">
    <w:name w:val="修订29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1">
    <w:name w:val="Revision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38A962D1-DFAA-424A-AED7-EC29291D6E7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F32CB596-4263-4231-A410-1B2CE11DB3BB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89169576-47DA-4741-BE0F-80DD601D422C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742F435C-DD89-4F4B-8DF5-37D40B13025C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BA4C95B9-7A57-4403-8431-4E6C23E07E15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9885B50F-5779-41FD-B60B-638F7B7A0D4D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8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1116</Characters>
  <Application>Microsoft Office Word</Application>
  <DocSecurity>0</DocSecurity>
  <Lines>9</Lines>
  <Paragraphs>2</Paragraphs>
  <ScaleCrop>false</ScaleCrop>
  <Company>微软用户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218</cp:revision>
  <cp:lastPrinted>2024-12-20T06:21:00Z</cp:lastPrinted>
  <dcterms:created xsi:type="dcterms:W3CDTF">2025-11-06T06:06:00Z</dcterms:created>
  <dcterms:modified xsi:type="dcterms:W3CDTF">2025-11-06T06:11:00Z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67c7a44386c54ddcb285ab813148eb06_23</vt:lpwstr>
  </property>
</Properties>
</file>