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
    <w:p w:rsidR="0051181D" w:rsidRPr="007D3383" w:rsidRDefault="007D3383" w:rsidP="0051181D">
      <w:pPr>
        <w:rPr>
          <w:rFonts w:ascii="Times New Roman" w:eastAsia="宋体" w:hAnsi="Times New Roman" w:cs="Times New Roman"/>
          <w:sz w:val="24"/>
          <w:szCs w:val="24"/>
          <w:lang w:val="en-US"/>
        </w:rPr>
      </w:pPr>
      <w:r w:rsidRPr="007D3383">
        <w:rPr>
          <w:rFonts w:ascii="Times New Roman" w:eastAsia="宋体" w:hAnsi="Times New Roman" w:cs="Times New Roman"/>
          <w:sz w:val="24"/>
          <w:szCs w:val="24"/>
          <w:lang w:val="en-US"/>
        </w:rPr>
        <w:t>转债代码：</w:t>
      </w:r>
      <w:r w:rsidRPr="007D3383">
        <w:rPr>
          <w:rFonts w:ascii="Times New Roman" w:eastAsia="宋体" w:hAnsi="Times New Roman" w:cs="Times New Roman" w:hint="eastAsia"/>
          <w:sz w:val="24"/>
          <w:szCs w:val="24"/>
          <w:lang w:val="en-US"/>
        </w:rPr>
        <w:t>118055</w:t>
      </w:r>
      <w:r>
        <w:rPr>
          <w:rFonts w:ascii="Times New Roman" w:eastAsia="宋体" w:hAnsi="Times New Roman" w:cs="Times New Roman" w:hint="eastAsia"/>
          <w:sz w:val="24"/>
          <w:szCs w:val="24"/>
          <w:lang w:val="en-US"/>
        </w:rPr>
        <w:t xml:space="preserve">                               </w:t>
      </w:r>
      <w:r w:rsidRPr="007D3383">
        <w:rPr>
          <w:rFonts w:ascii="Times New Roman" w:eastAsia="宋体" w:hAnsi="Times New Roman" w:cs="Times New Roman" w:hint="eastAsia"/>
          <w:sz w:val="24"/>
          <w:szCs w:val="24"/>
          <w:lang w:val="en-US"/>
        </w:rPr>
        <w:t xml:space="preserve">     </w:t>
      </w:r>
      <w:r w:rsidRPr="007D3383">
        <w:rPr>
          <w:rFonts w:ascii="Times New Roman" w:eastAsia="宋体" w:hAnsi="Times New Roman" w:cs="Times New Roman" w:hint="eastAsia"/>
          <w:sz w:val="24"/>
          <w:szCs w:val="24"/>
          <w:lang w:val="en-US"/>
        </w:rPr>
        <w:t>转债简称：</w:t>
      </w:r>
      <w:proofErr w:type="gramStart"/>
      <w:r w:rsidRPr="007D3383">
        <w:rPr>
          <w:rFonts w:ascii="Times New Roman" w:eastAsia="宋体" w:hAnsi="Times New Roman" w:cs="Times New Roman" w:hint="eastAsia"/>
          <w:sz w:val="24"/>
          <w:szCs w:val="24"/>
          <w:lang w:val="en-US"/>
        </w:rPr>
        <w:t>伟测转</w:t>
      </w:r>
      <w:proofErr w:type="gramEnd"/>
      <w:r w:rsidRPr="007D3383">
        <w:rPr>
          <w:rFonts w:ascii="Times New Roman" w:eastAsia="宋体" w:hAnsi="Times New Roman" w:cs="Times New Roman" w:hint="eastAsia"/>
          <w:sz w:val="24"/>
          <w:szCs w:val="24"/>
          <w:lang w:val="en-US"/>
        </w:rPr>
        <w:t>债</w:t>
      </w:r>
    </w:p>
    <w:p w:rsidR="00D67CC9" w:rsidRPr="006F672A" w:rsidRDefault="00D67CC9" w:rsidP="0051181D">
      <w:pPr>
        <w:rPr>
          <w:rFonts w:ascii="Times New Roman" w:eastAsia="宋体" w:hAnsi="Times New Roman"/>
          <w:lang w:val="en-US"/>
        </w:rPr>
      </w:pPr>
    </w:p>
    <w:p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p>
    <w:p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rsidR="00611393" w:rsidRPr="00A955CE"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7D3383">
        <w:rPr>
          <w:rFonts w:ascii="Times New Roman" w:eastAsia="宋体" w:hAnsi="Times New Roman" w:cs="宋体" w:hint="eastAsia"/>
          <w:sz w:val="24"/>
          <w:szCs w:val="24"/>
          <w:lang w:val="en-US"/>
        </w:rPr>
        <w:t>5</w:t>
      </w:r>
      <w:r w:rsidRPr="00A955CE">
        <w:rPr>
          <w:rFonts w:ascii="Times New Roman" w:eastAsia="宋体" w:hAnsi="Times New Roman" w:cs="宋体" w:hint="eastAsia"/>
          <w:sz w:val="24"/>
          <w:szCs w:val="24"/>
        </w:rPr>
        <w:t>-</w:t>
      </w:r>
      <w:r w:rsidR="00675B49" w:rsidRPr="00A955CE">
        <w:rPr>
          <w:rFonts w:ascii="Times New Roman" w:eastAsia="宋体" w:hAnsi="Times New Roman" w:cs="宋体" w:hint="eastAsia"/>
          <w:sz w:val="24"/>
          <w:szCs w:val="24"/>
        </w:rPr>
        <w:t>00</w:t>
      </w:r>
      <w:r w:rsidR="00B128B4">
        <w:rPr>
          <w:rFonts w:ascii="Times New Roman" w:eastAsia="宋体" w:hAnsi="Times New Roman" w:cs="宋体" w:hint="eastAsia"/>
          <w:sz w:val="24"/>
          <w:szCs w:val="24"/>
          <w:lang w:val="en-US"/>
        </w:rPr>
        <w:t>6</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rsidTr="0013206B">
        <w:trPr>
          <w:trHeight w:val="280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rsidR="00611393" w:rsidRPr="00E24110" w:rsidRDefault="00611393">
            <w:pPr>
              <w:pStyle w:val="TableParagraph"/>
              <w:spacing w:before="7"/>
              <w:rPr>
                <w:rFonts w:ascii="宋体" w:eastAsia="宋体" w:hAnsi="宋体" w:cs="宋体"/>
                <w:sz w:val="24"/>
                <w:szCs w:val="24"/>
              </w:rPr>
            </w:pPr>
          </w:p>
          <w:p w:rsidR="00611393" w:rsidRPr="00E24110" w:rsidRDefault="00532704">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rsidR="00611393" w:rsidRPr="00E24110" w:rsidRDefault="00611393">
            <w:pPr>
              <w:pStyle w:val="TableParagraph"/>
              <w:spacing w:before="11"/>
              <w:rPr>
                <w:rFonts w:ascii="宋体" w:eastAsia="宋体" w:hAnsi="宋体" w:cs="宋体"/>
                <w:sz w:val="24"/>
                <w:szCs w:val="24"/>
              </w:rPr>
            </w:pPr>
          </w:p>
          <w:p w:rsidR="00611393" w:rsidRPr="00E24110" w:rsidRDefault="0053270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7026D5">
                  <w:rPr>
                    <w:rFonts w:ascii="宋体" w:eastAsia="宋体" w:hAnsi="宋体" w:cs="宋体" w:hint="eastAsia"/>
                    <w:sz w:val="24"/>
                    <w:szCs w:val="24"/>
                  </w:rPr>
                  <w:sym w:font="Wingdings 2" w:char="F052"/>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rsidR="00611393" w:rsidRPr="00E24110" w:rsidRDefault="00611393">
            <w:pPr>
              <w:pStyle w:val="TableParagraph"/>
              <w:spacing w:before="8"/>
              <w:rPr>
                <w:rFonts w:ascii="宋体" w:eastAsia="宋体" w:hAnsi="宋体" w:cs="宋体"/>
                <w:sz w:val="24"/>
                <w:szCs w:val="24"/>
              </w:rPr>
            </w:pPr>
          </w:p>
          <w:p w:rsidR="00611393" w:rsidRPr="00E24110" w:rsidRDefault="0053270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rsidR="00611393" w:rsidRPr="00E24110" w:rsidRDefault="00611393">
            <w:pPr>
              <w:pStyle w:val="TableParagraph"/>
              <w:spacing w:before="8"/>
              <w:rPr>
                <w:rFonts w:ascii="宋体" w:eastAsia="宋体" w:hAnsi="宋体" w:cs="宋体"/>
                <w:sz w:val="24"/>
                <w:szCs w:val="24"/>
              </w:rPr>
            </w:pPr>
          </w:p>
          <w:p w:rsidR="00611393" w:rsidRPr="00E24110" w:rsidRDefault="00532704">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2F63BE" w:rsidRPr="00E24110">
                  <w:rPr>
                    <w:rFonts w:ascii="MS Gothic" w:eastAsia="MS Gothic" w:hAnsi="MS Gothic" w:cs="MS Gothic" w:hint="eastAsia"/>
                    <w:sz w:val="24"/>
                    <w:szCs w:val="24"/>
                  </w:rPr>
                  <w:t>☐</w:t>
                </w:r>
              </w:sdtContent>
            </w:sdt>
            <w:r w:rsidR="00812425" w:rsidRPr="00E24110">
              <w:rPr>
                <w:rFonts w:ascii="宋体" w:eastAsia="宋体" w:hAnsi="宋体" w:cs="宋体" w:hint="eastAsia"/>
                <w:sz w:val="24"/>
                <w:szCs w:val="24"/>
              </w:rPr>
              <w:t>现场访谈</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7026D5">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rsidR="00611393" w:rsidRPr="00E24110" w:rsidRDefault="00611393">
            <w:pPr>
              <w:pStyle w:val="TableParagraph"/>
              <w:spacing w:before="11"/>
              <w:rPr>
                <w:rFonts w:ascii="宋体" w:eastAsia="宋体" w:hAnsi="宋体" w:cs="宋体"/>
                <w:sz w:val="24"/>
                <w:szCs w:val="24"/>
              </w:rPr>
            </w:pPr>
          </w:p>
          <w:p w:rsidR="00611393" w:rsidRPr="00A955CE" w:rsidRDefault="00532704"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rsidTr="0013206B">
        <w:trPr>
          <w:trHeight w:val="485"/>
          <w:jc w:val="center"/>
        </w:trPr>
        <w:tc>
          <w:tcPr>
            <w:tcW w:w="1603" w:type="dxa"/>
            <w:vAlign w:val="center"/>
          </w:tcPr>
          <w:p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rsidR="00611393" w:rsidRPr="00A955CE" w:rsidRDefault="003D434E" w:rsidP="00B128B4">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线上</w:t>
            </w:r>
            <w:r w:rsidR="0060321B" w:rsidRPr="0060321B">
              <w:rPr>
                <w:rFonts w:ascii="Times New Roman" w:eastAsia="宋体" w:hAnsi="Times New Roman" w:cs="宋体" w:hint="eastAsia"/>
                <w:sz w:val="24"/>
                <w:szCs w:val="24"/>
              </w:rPr>
              <w:t>参与</w:t>
            </w:r>
            <w:r w:rsidR="009E06E2" w:rsidRPr="009E06E2">
              <w:rPr>
                <w:rFonts w:ascii="Times New Roman" w:eastAsia="宋体" w:hAnsi="Times New Roman" w:cs="宋体"/>
                <w:sz w:val="24"/>
                <w:szCs w:val="24"/>
              </w:rPr>
              <w:t>2025</w:t>
            </w:r>
            <w:r w:rsidR="009E06E2" w:rsidRPr="009E06E2">
              <w:rPr>
                <w:rFonts w:ascii="Times New Roman" w:eastAsia="宋体" w:hAnsi="Times New Roman" w:cs="宋体"/>
                <w:sz w:val="24"/>
                <w:szCs w:val="24"/>
              </w:rPr>
              <w:t>年</w:t>
            </w:r>
            <w:r w:rsidR="00B128B4">
              <w:rPr>
                <w:rFonts w:ascii="Times New Roman" w:eastAsia="宋体" w:hAnsi="Times New Roman" w:cs="宋体" w:hint="eastAsia"/>
                <w:sz w:val="24"/>
                <w:szCs w:val="24"/>
              </w:rPr>
              <w:t>第三季</w:t>
            </w:r>
            <w:r w:rsidR="009E06E2" w:rsidRPr="009E06E2">
              <w:rPr>
                <w:rFonts w:ascii="Times New Roman" w:eastAsia="宋体" w:hAnsi="Times New Roman" w:cs="宋体"/>
                <w:sz w:val="24"/>
                <w:szCs w:val="24"/>
              </w:rPr>
              <w:t>度业绩说明会</w:t>
            </w:r>
            <w:r w:rsidR="0060321B" w:rsidRPr="0060321B">
              <w:rPr>
                <w:rFonts w:ascii="Times New Roman" w:eastAsia="宋体" w:hAnsi="Times New Roman" w:cs="宋体"/>
                <w:sz w:val="24"/>
                <w:szCs w:val="24"/>
              </w:rPr>
              <w:t>的投资者</w:t>
            </w:r>
          </w:p>
        </w:tc>
      </w:tr>
      <w:tr w:rsidR="00611393" w:rsidRPr="00A955CE" w:rsidTr="0013206B">
        <w:trPr>
          <w:trHeight w:val="558"/>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rsidR="00611393" w:rsidRPr="00A955CE" w:rsidRDefault="006159E3" w:rsidP="00B128B4">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sidR="007D3383">
              <w:rPr>
                <w:rFonts w:ascii="Times New Roman" w:eastAsia="宋体" w:hAnsi="Times New Roman" w:cs="宋体" w:hint="eastAsia"/>
                <w:sz w:val="24"/>
                <w:szCs w:val="24"/>
              </w:rPr>
              <w:t>5</w:t>
            </w:r>
            <w:r w:rsidR="00CF18F2" w:rsidRPr="00A955CE">
              <w:rPr>
                <w:rFonts w:ascii="Times New Roman" w:eastAsia="宋体" w:hAnsi="Times New Roman" w:cs="宋体" w:hint="eastAsia"/>
                <w:sz w:val="24"/>
                <w:szCs w:val="24"/>
              </w:rPr>
              <w:t>年</w:t>
            </w:r>
            <w:r w:rsidR="00B128B4">
              <w:rPr>
                <w:rFonts w:ascii="Times New Roman" w:eastAsia="宋体" w:hAnsi="Times New Roman" w:cs="宋体" w:hint="eastAsia"/>
                <w:sz w:val="24"/>
                <w:szCs w:val="24"/>
              </w:rPr>
              <w:t>11</w:t>
            </w:r>
            <w:r w:rsidR="00CF18F2" w:rsidRPr="00A955CE">
              <w:rPr>
                <w:rFonts w:ascii="Times New Roman" w:eastAsia="宋体" w:hAnsi="Times New Roman" w:cs="宋体" w:hint="eastAsia"/>
                <w:sz w:val="24"/>
                <w:szCs w:val="24"/>
              </w:rPr>
              <w:t>月</w:t>
            </w:r>
            <w:r w:rsidR="00B128B4">
              <w:rPr>
                <w:rFonts w:ascii="Times New Roman" w:eastAsia="宋体" w:hAnsi="Times New Roman" w:cs="宋体" w:hint="eastAsia"/>
                <w:sz w:val="24"/>
                <w:szCs w:val="24"/>
              </w:rPr>
              <w:t>11</w:t>
            </w:r>
            <w:r w:rsidR="00CF18F2" w:rsidRPr="00A955CE">
              <w:rPr>
                <w:rFonts w:ascii="Times New Roman" w:eastAsia="宋体" w:hAnsi="Times New Roman" w:cs="宋体" w:hint="eastAsia"/>
                <w:sz w:val="24"/>
                <w:szCs w:val="24"/>
              </w:rPr>
              <w:t>日</w:t>
            </w:r>
            <w:r w:rsidR="00225C76">
              <w:rPr>
                <w:rFonts w:ascii="Times New Roman" w:eastAsia="宋体" w:hAnsi="Times New Roman" w:cs="宋体" w:hint="eastAsia"/>
                <w:sz w:val="24"/>
                <w:szCs w:val="24"/>
              </w:rPr>
              <w:t xml:space="preserve">  </w:t>
            </w:r>
            <w:r w:rsidR="00225C76">
              <w:rPr>
                <w:rFonts w:ascii="Times New Roman" w:eastAsia="宋体" w:hAnsi="Times New Roman" w:cs="宋体"/>
                <w:sz w:val="24"/>
                <w:szCs w:val="24"/>
              </w:rPr>
              <w:t>1</w:t>
            </w:r>
            <w:r w:rsidR="001367CC">
              <w:rPr>
                <w:rFonts w:ascii="Times New Roman" w:eastAsia="宋体" w:hAnsi="Times New Roman" w:cs="宋体" w:hint="eastAsia"/>
                <w:sz w:val="24"/>
                <w:szCs w:val="24"/>
              </w:rPr>
              <w:t>3</w:t>
            </w:r>
            <w:r w:rsidR="00225C76">
              <w:rPr>
                <w:rFonts w:ascii="Times New Roman" w:eastAsia="宋体" w:hAnsi="Times New Roman" w:cs="宋体"/>
                <w:sz w:val="24"/>
                <w:szCs w:val="24"/>
              </w:rPr>
              <w:t>:00-1</w:t>
            </w:r>
            <w:r w:rsidR="001367CC">
              <w:rPr>
                <w:rFonts w:ascii="Times New Roman" w:eastAsia="宋体" w:hAnsi="Times New Roman" w:cs="宋体" w:hint="eastAsia"/>
                <w:sz w:val="24"/>
                <w:szCs w:val="24"/>
              </w:rPr>
              <w:t>4</w:t>
            </w:r>
            <w:r w:rsidR="00225C76">
              <w:rPr>
                <w:rFonts w:ascii="Times New Roman" w:eastAsia="宋体" w:hAnsi="Times New Roman" w:cs="宋体"/>
                <w:sz w:val="24"/>
                <w:szCs w:val="24"/>
              </w:rPr>
              <w:t>:00</w:t>
            </w:r>
          </w:p>
        </w:tc>
      </w:tr>
      <w:tr w:rsidR="00611393" w:rsidRPr="00A955CE" w:rsidTr="0013206B">
        <w:trPr>
          <w:trHeight w:val="56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rsidR="00611393" w:rsidRPr="00A955CE" w:rsidRDefault="0060321B" w:rsidP="00A63B43">
            <w:pPr>
              <w:pStyle w:val="TableParagraph"/>
              <w:spacing w:line="360" w:lineRule="auto"/>
              <w:jc w:val="both"/>
              <w:rPr>
                <w:rFonts w:ascii="Times New Roman" w:eastAsia="宋体" w:hAnsi="Times New Roman" w:cs="宋体"/>
                <w:sz w:val="24"/>
                <w:szCs w:val="24"/>
              </w:rPr>
            </w:pPr>
            <w:r w:rsidRPr="0060321B">
              <w:rPr>
                <w:rFonts w:ascii="Times New Roman" w:eastAsia="宋体" w:hAnsi="Times New Roman" w:cs="宋体" w:hint="eastAsia"/>
                <w:sz w:val="24"/>
                <w:szCs w:val="24"/>
              </w:rPr>
              <w:t>上海证券交易所上证路演中心（</w:t>
            </w:r>
            <w:r w:rsidRPr="0060321B">
              <w:rPr>
                <w:rFonts w:ascii="Times New Roman" w:eastAsia="宋体" w:hAnsi="Times New Roman" w:cs="宋体"/>
                <w:sz w:val="24"/>
                <w:szCs w:val="24"/>
              </w:rPr>
              <w:t>https://roadshow.sseinfo.com/</w:t>
            </w:r>
            <w:r w:rsidRPr="0060321B">
              <w:rPr>
                <w:rFonts w:ascii="Times New Roman" w:eastAsia="宋体" w:hAnsi="Times New Roman" w:cs="宋体"/>
                <w:sz w:val="24"/>
                <w:szCs w:val="24"/>
              </w:rPr>
              <w:t>）</w:t>
            </w:r>
          </w:p>
        </w:tc>
      </w:tr>
      <w:tr w:rsidR="00611393" w:rsidRPr="00A955CE" w:rsidTr="001778F6">
        <w:trPr>
          <w:trHeight w:val="643"/>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rsidR="007026D5" w:rsidRDefault="007026D5"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w:t>
            </w:r>
            <w:r w:rsidR="00EC3478">
              <w:rPr>
                <w:rFonts w:ascii="Times New Roman" w:eastAsia="宋体" w:hAnsi="Times New Roman" w:cs="宋体" w:hint="eastAsia"/>
                <w:sz w:val="24"/>
                <w:szCs w:val="24"/>
              </w:rPr>
              <w:t>：</w:t>
            </w:r>
            <w:r>
              <w:rPr>
                <w:rFonts w:ascii="Times New Roman" w:eastAsia="宋体" w:hAnsi="Times New Roman" w:cs="宋体" w:hint="eastAsia"/>
                <w:sz w:val="24"/>
                <w:szCs w:val="24"/>
              </w:rPr>
              <w:t>骈文胜先生</w:t>
            </w:r>
          </w:p>
          <w:p w:rsidR="00611393" w:rsidRDefault="001778F6"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财务总监</w:t>
            </w:r>
            <w:r w:rsidR="00EC3478">
              <w:rPr>
                <w:rFonts w:ascii="Times New Roman" w:eastAsia="宋体" w:hAnsi="Times New Roman" w:cs="宋体"/>
                <w:sz w:val="24"/>
                <w:szCs w:val="24"/>
              </w:rPr>
              <w:t>：</w:t>
            </w:r>
            <w:r w:rsidR="004E286B" w:rsidRPr="00A955CE">
              <w:rPr>
                <w:rFonts w:ascii="Times New Roman" w:eastAsia="宋体" w:hAnsi="Times New Roman" w:cs="宋体"/>
                <w:sz w:val="24"/>
                <w:szCs w:val="24"/>
              </w:rPr>
              <w:t>王沛女士</w:t>
            </w:r>
          </w:p>
          <w:p w:rsidR="007026D5" w:rsidRPr="00A955CE" w:rsidRDefault="007026D5"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独立董事</w:t>
            </w:r>
            <w:r w:rsidR="00EC3478">
              <w:rPr>
                <w:rFonts w:ascii="Times New Roman" w:eastAsia="宋体" w:hAnsi="Times New Roman" w:cs="宋体" w:hint="eastAsia"/>
                <w:sz w:val="24"/>
                <w:szCs w:val="24"/>
              </w:rPr>
              <w:t>：</w:t>
            </w:r>
            <w:r w:rsidR="00B128B4">
              <w:rPr>
                <w:rFonts w:ascii="Times New Roman" w:eastAsia="宋体" w:hAnsi="Times New Roman" w:cs="宋体" w:hint="eastAsia"/>
                <w:sz w:val="24"/>
                <w:szCs w:val="24"/>
              </w:rPr>
              <w:t>宋海燕女士</w:t>
            </w:r>
          </w:p>
        </w:tc>
      </w:tr>
      <w:tr w:rsidR="00611393" w:rsidRPr="00A955CE" w:rsidTr="001406B7">
        <w:trPr>
          <w:trHeight w:val="1408"/>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投资者关系活动主要内容介绍</w:t>
            </w:r>
          </w:p>
        </w:tc>
        <w:tc>
          <w:tcPr>
            <w:tcW w:w="6999" w:type="dxa"/>
          </w:tcPr>
          <w:p w:rsidR="00BA0A2C" w:rsidRDefault="00BA0A2C" w:rsidP="00BA0A2C">
            <w:pPr>
              <w:pStyle w:val="TableParagraph"/>
              <w:spacing w:line="360" w:lineRule="auto"/>
              <w:ind w:firstLineChars="200" w:firstLine="480"/>
              <w:rPr>
                <w:rFonts w:ascii="Times New Roman" w:eastAsia="宋体" w:hAnsi="Times New Roman" w:cs="Times New Roman"/>
                <w:b/>
                <w:sz w:val="24"/>
                <w:szCs w:val="24"/>
              </w:rPr>
            </w:pPr>
            <w:r>
              <w:rPr>
                <w:rFonts w:ascii="Times New Roman" w:eastAsia="宋体" w:hAnsi="Times New Roman" w:cs="Times New Roman" w:hint="eastAsia"/>
                <w:sz w:val="24"/>
                <w:szCs w:val="24"/>
              </w:rPr>
              <w:t>为便于广大投资者更全面深入地了解公司</w:t>
            </w:r>
            <w:r>
              <w:rPr>
                <w:rFonts w:ascii="Times New Roman" w:eastAsia="宋体" w:hAnsi="Times New Roman" w:cs="Times New Roman" w:hint="eastAsia"/>
                <w:sz w:val="24"/>
                <w:szCs w:val="24"/>
              </w:rPr>
              <w:t>202</w:t>
            </w:r>
            <w:r w:rsidR="007D3383">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sidR="00B128B4">
              <w:rPr>
                <w:rFonts w:ascii="Times New Roman" w:eastAsia="宋体" w:hAnsi="Times New Roman" w:cs="Times New Roman" w:hint="eastAsia"/>
                <w:sz w:val="24"/>
                <w:szCs w:val="24"/>
              </w:rPr>
              <w:t>第三季度</w:t>
            </w:r>
            <w:r>
              <w:rPr>
                <w:rFonts w:ascii="Times New Roman" w:eastAsia="宋体" w:hAnsi="Times New Roman" w:cs="Times New Roman" w:hint="eastAsia"/>
                <w:sz w:val="24"/>
                <w:szCs w:val="24"/>
              </w:rPr>
              <w:t>经营成果、财务状况，公司在</w:t>
            </w:r>
            <w:r>
              <w:rPr>
                <w:rFonts w:ascii="Times New Roman" w:eastAsia="宋体" w:hAnsi="Times New Roman" w:cs="宋体" w:hint="eastAsia"/>
                <w:sz w:val="24"/>
                <w:szCs w:val="24"/>
              </w:rPr>
              <w:t>上海证券交易所上</w:t>
            </w:r>
            <w:proofErr w:type="gramStart"/>
            <w:r>
              <w:rPr>
                <w:rFonts w:ascii="Times New Roman" w:eastAsia="宋体" w:hAnsi="Times New Roman" w:cs="宋体" w:hint="eastAsia"/>
                <w:sz w:val="24"/>
                <w:szCs w:val="24"/>
              </w:rPr>
              <w:t>证路演中心</w:t>
            </w:r>
            <w:proofErr w:type="gramEnd"/>
            <w:r>
              <w:rPr>
                <w:rFonts w:ascii="Times New Roman" w:eastAsia="宋体" w:hAnsi="Times New Roman" w:cs="Times New Roman" w:hint="eastAsia"/>
                <w:sz w:val="24"/>
                <w:szCs w:val="24"/>
              </w:rPr>
              <w:t>举行了</w:t>
            </w:r>
            <w:r w:rsidR="001C0D83">
              <w:rPr>
                <w:rFonts w:ascii="Times New Roman" w:eastAsia="宋体" w:hAnsi="Times New Roman" w:cs="Times New Roman" w:hint="eastAsia"/>
                <w:sz w:val="24"/>
                <w:szCs w:val="24"/>
              </w:rPr>
              <w:t>2025</w:t>
            </w:r>
            <w:r w:rsidR="001C0D83">
              <w:rPr>
                <w:rFonts w:ascii="Times New Roman" w:eastAsia="宋体" w:hAnsi="Times New Roman" w:cs="Times New Roman" w:hint="eastAsia"/>
                <w:sz w:val="24"/>
                <w:szCs w:val="24"/>
              </w:rPr>
              <w:t>年</w:t>
            </w:r>
            <w:r w:rsidR="00B128B4">
              <w:rPr>
                <w:rFonts w:ascii="Times New Roman" w:eastAsia="宋体" w:hAnsi="Times New Roman" w:cs="Times New Roman" w:hint="eastAsia"/>
                <w:sz w:val="24"/>
                <w:szCs w:val="24"/>
              </w:rPr>
              <w:t>第三季度</w:t>
            </w:r>
            <w:r>
              <w:rPr>
                <w:rFonts w:ascii="Times New Roman" w:eastAsia="宋体" w:hAnsi="Times New Roman" w:cs="Times New Roman" w:hint="eastAsia"/>
                <w:sz w:val="24"/>
                <w:szCs w:val="24"/>
              </w:rPr>
              <w:t>业绩说明会，现将互动交流内容汇总如下：</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t>1</w:t>
            </w:r>
            <w:r w:rsidRPr="00810505">
              <w:rPr>
                <w:rFonts w:ascii="Times New Roman" w:eastAsia="宋体" w:hAnsi="Times New Roman" w:cs="Times New Roman"/>
                <w:b/>
                <w:sz w:val="24"/>
                <w:szCs w:val="24"/>
              </w:rPr>
              <w:t>、</w:t>
            </w:r>
            <w:r w:rsidR="00541B7D" w:rsidRPr="00541B7D">
              <w:rPr>
                <w:rFonts w:ascii="Times New Roman" w:eastAsia="宋体" w:hAnsi="Times New Roman" w:cs="Times New Roman" w:hint="eastAsia"/>
                <w:b/>
                <w:sz w:val="24"/>
                <w:szCs w:val="24"/>
              </w:rPr>
              <w:t>您好！请您讲讲国内第三方测试的行业趋势，以及</w:t>
            </w:r>
            <w:proofErr w:type="gramStart"/>
            <w:r w:rsidR="00541B7D" w:rsidRPr="00541B7D">
              <w:rPr>
                <w:rFonts w:ascii="Times New Roman" w:eastAsia="宋体" w:hAnsi="Times New Roman" w:cs="Times New Roman" w:hint="eastAsia"/>
                <w:b/>
                <w:sz w:val="24"/>
                <w:szCs w:val="24"/>
              </w:rPr>
              <w:t>伟测在</w:t>
            </w:r>
            <w:proofErr w:type="gramEnd"/>
            <w:r w:rsidR="00541B7D" w:rsidRPr="00541B7D">
              <w:rPr>
                <w:rFonts w:ascii="Times New Roman" w:eastAsia="宋体" w:hAnsi="Times New Roman" w:cs="Times New Roman" w:hint="eastAsia"/>
                <w:b/>
                <w:sz w:val="24"/>
                <w:szCs w:val="24"/>
              </w:rPr>
              <w:t>行业的核心竞争优势在哪些方面？另外公司未来</w:t>
            </w:r>
            <w:r w:rsidR="00541B7D" w:rsidRPr="00541B7D">
              <w:rPr>
                <w:rFonts w:ascii="Times New Roman" w:eastAsia="宋体" w:hAnsi="Times New Roman" w:cs="Times New Roman"/>
                <w:b/>
                <w:sz w:val="24"/>
                <w:szCs w:val="24"/>
              </w:rPr>
              <w:t>3</w:t>
            </w:r>
            <w:r w:rsidR="00541B7D" w:rsidRPr="00541B7D">
              <w:rPr>
                <w:rFonts w:ascii="Times New Roman" w:eastAsia="宋体" w:hAnsi="Times New Roman" w:cs="Times New Roman"/>
                <w:b/>
                <w:sz w:val="24"/>
                <w:szCs w:val="24"/>
              </w:rPr>
              <w:t>年的经营趋势展望？谢谢？</w:t>
            </w:r>
            <w:r w:rsidR="00541B7D" w:rsidRPr="00810505">
              <w:rPr>
                <w:rFonts w:ascii="Times New Roman" w:eastAsia="宋体" w:hAnsi="Times New Roman" w:cs="Times New Roman"/>
                <w:b/>
                <w:sz w:val="24"/>
                <w:szCs w:val="24"/>
              </w:rPr>
              <w:t xml:space="preserve"> </w:t>
            </w:r>
          </w:p>
          <w:p w:rsidR="001778F6" w:rsidRPr="001778F6" w:rsidRDefault="001778F6" w:rsidP="001778F6">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541B7D" w:rsidRPr="00541B7D">
              <w:rPr>
                <w:rFonts w:ascii="Times New Roman" w:eastAsia="宋体" w:hAnsi="Times New Roman" w:cs="Times New Roman" w:hint="eastAsia"/>
                <w:sz w:val="24"/>
                <w:szCs w:val="24"/>
              </w:rPr>
              <w:t>您好，“独立第三方测试服务”的商业模式符合行业的分工化、精细化的发展趋势，即设计、制造、封装、测试分工明确的发展趋势。公司依托其专业聚焦、服务灵活性和广泛的客户覆盖，加速产能建设和新技术研发，使得公司在集成电路测试市场的地位逐步提升，获得了客户的认可、信任和青睐。感谢您的关注</w:t>
            </w:r>
            <w:r w:rsidR="009E06E2" w:rsidRPr="009E06E2">
              <w:rPr>
                <w:rFonts w:ascii="Times New Roman" w:eastAsia="宋体" w:hAnsi="Times New Roman" w:cs="Times New Roman"/>
                <w:sz w:val="24"/>
                <w:szCs w:val="24"/>
              </w:rPr>
              <w:t>。</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lastRenderedPageBreak/>
              <w:t xml:space="preserve"> </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t>2</w:t>
            </w:r>
            <w:r w:rsidRPr="00810505">
              <w:rPr>
                <w:rFonts w:ascii="Times New Roman" w:eastAsia="宋体" w:hAnsi="Times New Roman" w:cs="Times New Roman"/>
                <w:b/>
                <w:sz w:val="24"/>
                <w:szCs w:val="24"/>
              </w:rPr>
              <w:t>、</w:t>
            </w:r>
            <w:r w:rsidR="00541B7D" w:rsidRPr="00541B7D">
              <w:rPr>
                <w:rFonts w:ascii="Times New Roman" w:eastAsia="宋体" w:hAnsi="Times New Roman" w:cs="Times New Roman" w:hint="eastAsia"/>
                <w:b/>
                <w:sz w:val="24"/>
                <w:szCs w:val="24"/>
              </w:rPr>
              <w:t>请问公司今年购买的设备，都是对应高端测试芯片吗</w:t>
            </w:r>
            <w:r w:rsidR="00541B7D" w:rsidRPr="00541B7D">
              <w:rPr>
                <w:rFonts w:ascii="Times New Roman" w:eastAsia="宋体" w:hAnsi="Times New Roman" w:cs="Times New Roman"/>
                <w:b/>
                <w:sz w:val="24"/>
                <w:szCs w:val="24"/>
              </w:rPr>
              <w:t>?</w:t>
            </w:r>
          </w:p>
          <w:p w:rsidR="00BC0C7F" w:rsidRDefault="001778F6" w:rsidP="001406B7">
            <w:pPr>
              <w:pStyle w:val="TableParagraph"/>
              <w:spacing w:line="360" w:lineRule="auto"/>
              <w:ind w:firstLineChars="200" w:firstLine="480"/>
              <w:rPr>
                <w:rFonts w:ascii="Times New Roman" w:eastAsia="宋体" w:hAnsi="Times New Roman" w:cs="Times New Roman"/>
                <w:sz w:val="24"/>
                <w:szCs w:val="24"/>
                <w:lang w:val="en-US"/>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您好，今年所购设备</w:t>
            </w:r>
            <w:r w:rsidR="000E3AF9">
              <w:rPr>
                <w:rFonts w:ascii="Times New Roman" w:eastAsia="宋体" w:hAnsi="Times New Roman" w:cs="Times New Roman" w:hint="eastAsia"/>
                <w:sz w:val="24"/>
                <w:szCs w:val="24"/>
              </w:rPr>
              <w:t>大部分</w:t>
            </w:r>
            <w:r w:rsidR="000E3AF9" w:rsidRPr="000E3AF9">
              <w:rPr>
                <w:rFonts w:ascii="Times New Roman" w:eastAsia="宋体" w:hAnsi="Times New Roman" w:cs="Times New Roman" w:hint="eastAsia"/>
                <w:sz w:val="24"/>
                <w:szCs w:val="24"/>
              </w:rPr>
              <w:t>是测试“高端芯片”和“高可靠性芯片”的。感谢您的关注</w:t>
            </w:r>
            <w:r w:rsidR="0094448B">
              <w:rPr>
                <w:rFonts w:ascii="Times New Roman" w:eastAsia="宋体" w:hAnsi="Times New Roman" w:cs="Times New Roman"/>
                <w:sz w:val="24"/>
                <w:szCs w:val="24"/>
              </w:rPr>
              <w:t>。</w:t>
            </w:r>
          </w:p>
          <w:p w:rsidR="009E06E2" w:rsidRPr="009E06E2" w:rsidRDefault="009E06E2" w:rsidP="001406B7">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3</w:t>
            </w:r>
            <w:r w:rsidRPr="009E06E2">
              <w:rPr>
                <w:rFonts w:ascii="Times New Roman" w:eastAsia="宋体" w:hAnsi="Times New Roman" w:cs="Times New Roman"/>
                <w:b/>
                <w:sz w:val="24"/>
                <w:szCs w:val="24"/>
              </w:rPr>
              <w:t>、</w:t>
            </w:r>
            <w:r w:rsidR="000E3AF9" w:rsidRPr="000E3AF9">
              <w:rPr>
                <w:rFonts w:ascii="Times New Roman" w:eastAsia="宋体" w:hAnsi="Times New Roman" w:cs="Times New Roman" w:hint="eastAsia"/>
                <w:b/>
                <w:sz w:val="24"/>
                <w:szCs w:val="24"/>
              </w:rPr>
              <w:t>请问存储进入了超级周期，晶圆代</w:t>
            </w:r>
            <w:proofErr w:type="gramStart"/>
            <w:r w:rsidR="000E3AF9" w:rsidRPr="000E3AF9">
              <w:rPr>
                <w:rFonts w:ascii="Times New Roman" w:eastAsia="宋体" w:hAnsi="Times New Roman" w:cs="Times New Roman" w:hint="eastAsia"/>
                <w:b/>
                <w:sz w:val="24"/>
                <w:szCs w:val="24"/>
              </w:rPr>
              <w:t>工价格</w:t>
            </w:r>
            <w:proofErr w:type="gramEnd"/>
            <w:r w:rsidR="000E3AF9" w:rsidRPr="000E3AF9">
              <w:rPr>
                <w:rFonts w:ascii="Times New Roman" w:eastAsia="宋体" w:hAnsi="Times New Roman" w:cs="Times New Roman" w:hint="eastAsia"/>
                <w:b/>
                <w:sz w:val="24"/>
                <w:szCs w:val="24"/>
              </w:rPr>
              <w:t>上涨了</w:t>
            </w:r>
            <w:r w:rsidR="000E3AF9" w:rsidRPr="000E3AF9">
              <w:rPr>
                <w:rFonts w:ascii="Times New Roman" w:eastAsia="宋体" w:hAnsi="Times New Roman" w:cs="Times New Roman"/>
                <w:b/>
                <w:sz w:val="24"/>
                <w:szCs w:val="24"/>
              </w:rPr>
              <w:t>40%</w:t>
            </w:r>
            <w:r w:rsidR="000E3AF9" w:rsidRPr="000E3AF9">
              <w:rPr>
                <w:rFonts w:ascii="Times New Roman" w:eastAsia="宋体" w:hAnsi="Times New Roman" w:cs="Times New Roman"/>
                <w:b/>
                <w:sz w:val="24"/>
                <w:szCs w:val="24"/>
              </w:rPr>
              <w:t>，而相关企业也向公司紧急加单，请问公司存储测试服务价格有上升吗或未来</w:t>
            </w:r>
            <w:r w:rsidR="000E3AF9">
              <w:rPr>
                <w:rFonts w:ascii="Times New Roman" w:eastAsia="宋体" w:hAnsi="Times New Roman" w:cs="Times New Roman"/>
                <w:b/>
                <w:sz w:val="24"/>
                <w:szCs w:val="24"/>
              </w:rPr>
              <w:t>有提价打算吗</w:t>
            </w:r>
            <w:r w:rsidRPr="009E06E2">
              <w:rPr>
                <w:rFonts w:ascii="Times New Roman" w:eastAsia="宋体" w:hAnsi="Times New Roman" w:cs="Times New Roman" w:hint="eastAsia"/>
                <w:b/>
                <w:sz w:val="24"/>
                <w:szCs w:val="24"/>
                <w:lang w:val="en-US"/>
              </w:rPr>
              <w:t>？</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w:t>
            </w:r>
            <w:r w:rsidR="000E3AF9" w:rsidRPr="000E3AF9">
              <w:rPr>
                <w:rFonts w:ascii="Times New Roman" w:eastAsia="宋体" w:hAnsi="Times New Roman" w:cs="Times New Roman" w:hint="eastAsia"/>
                <w:sz w:val="24"/>
                <w:szCs w:val="24"/>
              </w:rPr>
              <w:t>公司目前总体测试价格较为稳定。感谢您的关注。</w:t>
            </w:r>
          </w:p>
          <w:p w:rsidR="009E06E2" w:rsidRP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4</w:t>
            </w:r>
            <w:r w:rsidRPr="009E06E2">
              <w:rPr>
                <w:rFonts w:ascii="Times New Roman" w:eastAsia="宋体" w:hAnsi="Times New Roman" w:cs="Times New Roman"/>
                <w:b/>
                <w:sz w:val="24"/>
                <w:szCs w:val="24"/>
              </w:rPr>
              <w:t>、</w:t>
            </w:r>
            <w:r w:rsidR="000E3AF9" w:rsidRPr="000E3AF9">
              <w:rPr>
                <w:rFonts w:ascii="Times New Roman" w:eastAsia="宋体" w:hAnsi="Times New Roman" w:cs="Times New Roman" w:hint="eastAsia"/>
                <w:b/>
                <w:sz w:val="24"/>
                <w:szCs w:val="24"/>
              </w:rPr>
              <w:t>请问公司业绩呈现季度性的原因是什么？</w:t>
            </w:r>
            <w:r w:rsidR="000E3AF9" w:rsidRPr="009E06E2">
              <w:rPr>
                <w:rFonts w:ascii="Times New Roman" w:eastAsia="宋体" w:hAnsi="Times New Roman" w:cs="Times New Roman"/>
                <w:b/>
                <w:sz w:val="24"/>
                <w:szCs w:val="24"/>
                <w:lang w:val="en-US"/>
              </w:rPr>
              <w:t xml:space="preserve"> </w:t>
            </w:r>
          </w:p>
          <w:p w:rsidR="0094448B" w:rsidRPr="0094448B" w:rsidRDefault="009E06E2" w:rsidP="0094448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您好，主要是由于下游电子产品的销售周期和上游去库存周期等影响产业链的因素导致的。感谢您的关注</w:t>
            </w:r>
            <w:r w:rsidR="000E3AF9">
              <w:rPr>
                <w:rFonts w:ascii="Times New Roman" w:eastAsia="宋体" w:hAnsi="Times New Roman" w:cs="Times New Roman" w:hint="eastAsia"/>
                <w:sz w:val="24"/>
                <w:szCs w:val="24"/>
              </w:rPr>
              <w:t>。</w:t>
            </w:r>
          </w:p>
          <w:p w:rsidR="009E06E2" w:rsidRP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5</w:t>
            </w:r>
            <w:r w:rsidRPr="009E06E2">
              <w:rPr>
                <w:rFonts w:ascii="Times New Roman" w:eastAsia="宋体" w:hAnsi="Times New Roman" w:cs="Times New Roman"/>
                <w:b/>
                <w:sz w:val="24"/>
                <w:szCs w:val="24"/>
              </w:rPr>
              <w:t>、</w:t>
            </w:r>
            <w:r w:rsidR="000E3AF9" w:rsidRPr="000E3AF9">
              <w:rPr>
                <w:rFonts w:ascii="Times New Roman" w:eastAsia="宋体" w:hAnsi="Times New Roman" w:cs="Times New Roman" w:hint="eastAsia"/>
                <w:b/>
                <w:sz w:val="24"/>
                <w:szCs w:val="24"/>
              </w:rPr>
              <w:t>请问为何国内第三方龙头企业测试服务体量比封装企业的测试服务体量大，未来趋势会如何发展？</w:t>
            </w:r>
            <w:r w:rsidR="000E3AF9" w:rsidRPr="009E06E2">
              <w:rPr>
                <w:rFonts w:ascii="Times New Roman" w:eastAsia="宋体" w:hAnsi="Times New Roman" w:cs="Times New Roman"/>
                <w:b/>
                <w:sz w:val="24"/>
                <w:szCs w:val="24"/>
                <w:lang w:val="en-US"/>
              </w:rPr>
              <w:t xml:space="preserve"> </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您好，集成电路测试行业具有“大者恒大”的客观规律，充足的产能规模能够吸引客户的重视，是接受行业内高端测试客户订单的必要条件。公司的产能规模，尤其是高端测试产能规模在中国大陆</w:t>
            </w:r>
            <w:proofErr w:type="gramStart"/>
            <w:r w:rsidR="000E3AF9" w:rsidRPr="000E3AF9">
              <w:rPr>
                <w:rFonts w:ascii="Times New Roman" w:eastAsia="宋体" w:hAnsi="Times New Roman" w:cs="Times New Roman" w:hint="eastAsia"/>
                <w:sz w:val="24"/>
                <w:szCs w:val="24"/>
              </w:rPr>
              <w:t>独立第三</w:t>
            </w:r>
            <w:proofErr w:type="gramEnd"/>
            <w:r w:rsidR="000E3AF9" w:rsidRPr="000E3AF9">
              <w:rPr>
                <w:rFonts w:ascii="Times New Roman" w:eastAsia="宋体" w:hAnsi="Times New Roman" w:cs="Times New Roman" w:hint="eastAsia"/>
                <w:sz w:val="24"/>
                <w:szCs w:val="24"/>
              </w:rPr>
              <w:t>方测试企业中处于相对优势水平，高端测试设备数量在中国大陆行业领先。在此基础上，公司进一步夯实了公司在中国大陆</w:t>
            </w:r>
            <w:proofErr w:type="gramStart"/>
            <w:r w:rsidR="000E3AF9" w:rsidRPr="000E3AF9">
              <w:rPr>
                <w:rFonts w:ascii="Times New Roman" w:eastAsia="宋体" w:hAnsi="Times New Roman" w:cs="Times New Roman" w:hint="eastAsia"/>
                <w:sz w:val="24"/>
                <w:szCs w:val="24"/>
              </w:rPr>
              <w:t>独立第三</w:t>
            </w:r>
            <w:proofErr w:type="gramEnd"/>
            <w:r w:rsidR="000E3AF9" w:rsidRPr="000E3AF9">
              <w:rPr>
                <w:rFonts w:ascii="Times New Roman" w:eastAsia="宋体" w:hAnsi="Times New Roman" w:cs="Times New Roman" w:hint="eastAsia"/>
                <w:sz w:val="24"/>
                <w:szCs w:val="24"/>
              </w:rPr>
              <w:t>方测试企业中的行业领先地位。感谢您的关注。</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6</w:t>
            </w:r>
            <w:r w:rsidRPr="009E06E2">
              <w:rPr>
                <w:rFonts w:ascii="Times New Roman" w:eastAsia="宋体" w:hAnsi="Times New Roman" w:cs="Times New Roman"/>
                <w:b/>
                <w:sz w:val="24"/>
                <w:szCs w:val="24"/>
              </w:rPr>
              <w:t>、</w:t>
            </w:r>
            <w:r w:rsidR="000E3AF9" w:rsidRPr="000E3AF9">
              <w:rPr>
                <w:rFonts w:ascii="Times New Roman" w:eastAsia="宋体" w:hAnsi="Times New Roman" w:cs="Times New Roman" w:hint="eastAsia"/>
                <w:b/>
                <w:sz w:val="24"/>
                <w:szCs w:val="24"/>
              </w:rPr>
              <w:t>有些人说主要有设备，阿猫阿狗都能测试。觉得公司没什么技术壁垒，有客户就行。请问公司怎看这个现象。</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公司有设备，但如何让设备持续、稳定、高效率的为公司客户提供服务需要丰富的经验、深厚的知识和高效地解决问题的能力；公司有客户，但如何让客户选择我们需要领先的测试技术水平、卓越的测试方案开发能力、充足的产能规模等共同构筑的核心竞争力</w:t>
            </w:r>
            <w:r w:rsidR="000E3AF9" w:rsidRPr="000E3AF9">
              <w:rPr>
                <w:rFonts w:ascii="Times New Roman" w:eastAsia="宋体" w:hAnsi="Times New Roman" w:cs="Times New Roman"/>
                <w:sz w:val="24"/>
                <w:szCs w:val="24"/>
              </w:rPr>
              <w:t>。</w:t>
            </w:r>
            <w:r w:rsidR="000E3AF9" w:rsidRPr="000E3AF9">
              <w:rPr>
                <w:rFonts w:ascii="Times New Roman" w:eastAsia="宋体" w:hAnsi="Times New Roman" w:cs="Times New Roman" w:hint="eastAsia"/>
                <w:sz w:val="24"/>
                <w:szCs w:val="24"/>
              </w:rPr>
              <w:t>感谢您的关注。</w:t>
            </w:r>
          </w:p>
          <w:p w:rsidR="0094448B" w:rsidRDefault="0094448B" w:rsidP="009E06E2">
            <w:pPr>
              <w:pStyle w:val="TableParagraph"/>
              <w:spacing w:line="360" w:lineRule="auto"/>
              <w:ind w:firstLineChars="200" w:firstLine="480"/>
              <w:rPr>
                <w:rFonts w:ascii="Times New Roman" w:eastAsia="宋体" w:hAnsi="Times New Roman" w:cs="Times New Roman"/>
                <w:sz w:val="24"/>
                <w:szCs w:val="24"/>
              </w:rPr>
            </w:pPr>
          </w:p>
          <w:p w:rsidR="0094448B" w:rsidRPr="0094448B" w:rsidRDefault="0094448B" w:rsidP="0094448B">
            <w:pPr>
              <w:pStyle w:val="TableParagraph"/>
              <w:spacing w:line="360" w:lineRule="auto"/>
              <w:ind w:firstLineChars="200" w:firstLine="482"/>
              <w:rPr>
                <w:rFonts w:ascii="Times New Roman" w:eastAsia="宋体" w:hAnsi="Times New Roman" w:cs="Times New Roman"/>
                <w:b/>
                <w:sz w:val="24"/>
                <w:szCs w:val="24"/>
              </w:rPr>
            </w:pPr>
            <w:r w:rsidRPr="0094448B">
              <w:rPr>
                <w:rFonts w:ascii="Times New Roman" w:eastAsia="宋体" w:hAnsi="Times New Roman" w:cs="Times New Roman" w:hint="eastAsia"/>
                <w:b/>
                <w:sz w:val="24"/>
                <w:szCs w:val="24"/>
              </w:rPr>
              <w:t>7</w:t>
            </w:r>
            <w:r w:rsidRPr="0094448B">
              <w:rPr>
                <w:rFonts w:ascii="Times New Roman" w:eastAsia="宋体" w:hAnsi="Times New Roman" w:cs="Times New Roman" w:hint="eastAsia"/>
                <w:b/>
                <w:sz w:val="24"/>
                <w:szCs w:val="24"/>
              </w:rPr>
              <w:t>、</w:t>
            </w:r>
            <w:r w:rsidR="000E3AF9" w:rsidRPr="000E3AF9">
              <w:rPr>
                <w:rFonts w:ascii="Times New Roman" w:eastAsia="宋体" w:hAnsi="Times New Roman" w:cs="Times New Roman" w:hint="eastAsia"/>
                <w:b/>
                <w:sz w:val="24"/>
                <w:szCs w:val="24"/>
              </w:rPr>
              <w:t>贵公司目前在建</w:t>
            </w:r>
            <w:r w:rsidR="000E3AF9" w:rsidRPr="000E3AF9">
              <w:rPr>
                <w:rFonts w:ascii="Times New Roman" w:eastAsia="宋体" w:hAnsi="Times New Roman" w:cs="Times New Roman"/>
                <w:b/>
                <w:sz w:val="24"/>
                <w:szCs w:val="24"/>
              </w:rPr>
              <w:t>/</w:t>
            </w:r>
            <w:r w:rsidR="000E3AF9" w:rsidRPr="000E3AF9">
              <w:rPr>
                <w:rFonts w:ascii="Times New Roman" w:eastAsia="宋体" w:hAnsi="Times New Roman" w:cs="Times New Roman"/>
                <w:b/>
                <w:sz w:val="24"/>
                <w:szCs w:val="24"/>
              </w:rPr>
              <w:t>拟建的新增产线是否已经具备对应的客户绑定与订单储备？预计满产的季度或年度节点？</w:t>
            </w:r>
          </w:p>
          <w:p w:rsidR="0094448B" w:rsidRDefault="007A5151" w:rsidP="0094448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您好，公司上海总部基地预计明年下半年投产，成都项目和南京二期尚在筹划中，感谢您的关注！</w:t>
            </w:r>
          </w:p>
          <w:p w:rsidR="0094448B" w:rsidRDefault="0094448B" w:rsidP="0094448B">
            <w:pPr>
              <w:pStyle w:val="TableParagraph"/>
              <w:spacing w:line="360" w:lineRule="auto"/>
              <w:ind w:firstLineChars="200" w:firstLine="480"/>
              <w:rPr>
                <w:rFonts w:ascii="Times New Roman" w:eastAsia="宋体" w:hAnsi="Times New Roman" w:cs="Times New Roman"/>
                <w:sz w:val="24"/>
                <w:szCs w:val="24"/>
              </w:rPr>
            </w:pPr>
          </w:p>
          <w:p w:rsidR="0094448B" w:rsidRPr="0094448B" w:rsidRDefault="0094448B" w:rsidP="0094448B">
            <w:pPr>
              <w:pStyle w:val="TableParagraph"/>
              <w:spacing w:line="360" w:lineRule="auto"/>
              <w:ind w:firstLineChars="200" w:firstLine="482"/>
              <w:rPr>
                <w:rFonts w:ascii="Times New Roman" w:eastAsia="宋体" w:hAnsi="Times New Roman" w:cs="Times New Roman"/>
                <w:b/>
                <w:sz w:val="24"/>
                <w:szCs w:val="24"/>
              </w:rPr>
            </w:pPr>
            <w:r w:rsidRPr="0094448B">
              <w:rPr>
                <w:rFonts w:ascii="Times New Roman" w:eastAsia="宋体" w:hAnsi="Times New Roman" w:cs="Times New Roman" w:hint="eastAsia"/>
                <w:b/>
                <w:sz w:val="24"/>
                <w:szCs w:val="24"/>
              </w:rPr>
              <w:t>8</w:t>
            </w:r>
            <w:r w:rsidRPr="0094448B">
              <w:rPr>
                <w:rFonts w:ascii="Times New Roman" w:eastAsia="宋体" w:hAnsi="Times New Roman" w:cs="Times New Roman" w:hint="eastAsia"/>
                <w:b/>
                <w:sz w:val="24"/>
                <w:szCs w:val="24"/>
              </w:rPr>
              <w:t>、</w:t>
            </w:r>
            <w:r w:rsidR="000E3AF9" w:rsidRPr="000E3AF9">
              <w:rPr>
                <w:rFonts w:ascii="Times New Roman" w:eastAsia="宋体" w:hAnsi="Times New Roman" w:cs="Times New Roman" w:hint="eastAsia"/>
                <w:b/>
                <w:sz w:val="24"/>
                <w:szCs w:val="24"/>
              </w:rPr>
              <w:t>与消费电子周期弱化相比，</w:t>
            </w:r>
            <w:r w:rsidR="000E3AF9" w:rsidRPr="000E3AF9">
              <w:rPr>
                <w:rFonts w:ascii="Times New Roman" w:eastAsia="宋体" w:hAnsi="Times New Roman" w:cs="Times New Roman"/>
                <w:b/>
                <w:sz w:val="24"/>
                <w:szCs w:val="24"/>
              </w:rPr>
              <w:t>AI/</w:t>
            </w:r>
            <w:r w:rsidR="000E3AF9" w:rsidRPr="000E3AF9">
              <w:rPr>
                <w:rFonts w:ascii="Times New Roman" w:eastAsia="宋体" w:hAnsi="Times New Roman" w:cs="Times New Roman"/>
                <w:b/>
                <w:sz w:val="24"/>
                <w:szCs w:val="24"/>
              </w:rPr>
              <w:t>汽车芯片驱动的高端测试是否存在溢价？价格变化是按产品线，还是按难度层级的情况？</w:t>
            </w:r>
          </w:p>
          <w:p w:rsidR="0094448B" w:rsidRDefault="007A5151" w:rsidP="0094448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0E3AF9" w:rsidRPr="000E3AF9">
              <w:rPr>
                <w:rFonts w:ascii="Times New Roman" w:eastAsia="宋体" w:hAnsi="Times New Roman" w:cs="Times New Roman" w:hint="eastAsia"/>
                <w:sz w:val="24"/>
                <w:szCs w:val="24"/>
              </w:rPr>
              <w:t>您好，公司自</w:t>
            </w:r>
            <w:r w:rsidR="000E3AF9" w:rsidRPr="000E3AF9">
              <w:rPr>
                <w:rFonts w:ascii="Times New Roman" w:eastAsia="宋体" w:hAnsi="Times New Roman" w:cs="Times New Roman"/>
                <w:sz w:val="24"/>
                <w:szCs w:val="24"/>
              </w:rPr>
              <w:t>2023</w:t>
            </w:r>
            <w:r w:rsidR="000E3AF9" w:rsidRPr="000E3AF9">
              <w:rPr>
                <w:rFonts w:ascii="Times New Roman" w:eastAsia="宋体" w:hAnsi="Times New Roman" w:cs="Times New Roman"/>
                <w:sz w:val="24"/>
                <w:szCs w:val="24"/>
              </w:rPr>
              <w:t>年以来价格目前较为稳定，无明显变化，感谢您的关注！</w:t>
            </w:r>
          </w:p>
          <w:p w:rsidR="000E3AF9" w:rsidRPr="00585ABA" w:rsidRDefault="000E3AF9" w:rsidP="00585ABA">
            <w:pPr>
              <w:pStyle w:val="TableParagraph"/>
              <w:spacing w:line="360" w:lineRule="auto"/>
              <w:ind w:firstLineChars="200" w:firstLine="482"/>
              <w:rPr>
                <w:rFonts w:ascii="Times New Roman" w:eastAsia="宋体" w:hAnsi="Times New Roman" w:cs="Times New Roman"/>
                <w:b/>
                <w:sz w:val="24"/>
                <w:szCs w:val="24"/>
              </w:rPr>
            </w:pPr>
          </w:p>
          <w:p w:rsidR="000E3AF9" w:rsidRPr="000E3AF9" w:rsidRDefault="000E3AF9" w:rsidP="000E3AF9">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sidRPr="0094448B">
              <w:rPr>
                <w:rFonts w:ascii="Times New Roman" w:eastAsia="宋体" w:hAnsi="Times New Roman" w:cs="Times New Roman" w:hint="eastAsia"/>
                <w:b/>
                <w:sz w:val="24"/>
                <w:szCs w:val="24"/>
              </w:rPr>
              <w:t>、</w:t>
            </w:r>
            <w:r w:rsidRPr="000E3AF9">
              <w:rPr>
                <w:rFonts w:ascii="Times New Roman" w:eastAsia="宋体" w:hAnsi="Times New Roman" w:cs="Times New Roman" w:hint="eastAsia"/>
                <w:b/>
                <w:sz w:val="24"/>
                <w:szCs w:val="24"/>
              </w:rPr>
              <w:t>公司在核心客户处的份额是否明显提升？能否披露</w:t>
            </w:r>
            <w:r w:rsidRPr="000E3AF9">
              <w:rPr>
                <w:rFonts w:ascii="Times New Roman" w:eastAsia="宋体" w:hAnsi="Times New Roman" w:cs="Times New Roman"/>
                <w:b/>
                <w:sz w:val="24"/>
                <w:szCs w:val="24"/>
              </w:rPr>
              <w:t xml:space="preserve"> Top5 </w:t>
            </w:r>
            <w:r w:rsidRPr="000E3AF9">
              <w:rPr>
                <w:rFonts w:ascii="Times New Roman" w:eastAsia="宋体" w:hAnsi="Times New Roman" w:cs="Times New Roman"/>
                <w:b/>
                <w:sz w:val="24"/>
                <w:szCs w:val="24"/>
              </w:rPr>
              <w:t>客户合计收入占比变化？在大客户内部是从单一业务扩展到多个产品线，还是从单一</w:t>
            </w:r>
            <w:proofErr w:type="gramStart"/>
            <w:r w:rsidRPr="000E3AF9">
              <w:rPr>
                <w:rFonts w:ascii="Times New Roman" w:eastAsia="宋体" w:hAnsi="Times New Roman" w:cs="Times New Roman"/>
                <w:b/>
                <w:sz w:val="24"/>
                <w:szCs w:val="24"/>
              </w:rPr>
              <w:t>封测厂</w:t>
            </w:r>
            <w:proofErr w:type="gramEnd"/>
            <w:r w:rsidRPr="000E3AF9">
              <w:rPr>
                <w:rFonts w:ascii="Times New Roman" w:eastAsia="宋体" w:hAnsi="Times New Roman" w:cs="Times New Roman"/>
                <w:b/>
                <w:sz w:val="24"/>
                <w:szCs w:val="24"/>
              </w:rPr>
              <w:t>扩到多个</w:t>
            </w:r>
            <w:proofErr w:type="gramStart"/>
            <w:r w:rsidRPr="000E3AF9">
              <w:rPr>
                <w:rFonts w:ascii="Times New Roman" w:eastAsia="宋体" w:hAnsi="Times New Roman" w:cs="Times New Roman"/>
                <w:b/>
                <w:sz w:val="24"/>
                <w:szCs w:val="24"/>
              </w:rPr>
              <w:t>封测厂</w:t>
            </w:r>
            <w:proofErr w:type="gramEnd"/>
            <w:r w:rsidRPr="000E3AF9">
              <w:rPr>
                <w:rFonts w:ascii="Times New Roman" w:eastAsia="宋体" w:hAnsi="Times New Roman" w:cs="Times New Roman"/>
                <w:b/>
                <w:sz w:val="24"/>
                <w:szCs w:val="24"/>
              </w:rPr>
              <w:t>？</w:t>
            </w:r>
          </w:p>
          <w:p w:rsidR="000E3AF9" w:rsidRDefault="000E3AF9" w:rsidP="000E3AF9">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0E3AF9">
              <w:rPr>
                <w:rFonts w:ascii="Times New Roman" w:eastAsia="宋体" w:hAnsi="Times New Roman" w:cs="Times New Roman" w:hint="eastAsia"/>
                <w:sz w:val="24"/>
                <w:szCs w:val="24"/>
              </w:rPr>
              <w:t>您好，公司前五大客户收入请关注后续公司披露的定期报告，感谢您的关注！</w:t>
            </w:r>
          </w:p>
          <w:p w:rsidR="000E3AF9" w:rsidRDefault="000E3AF9" w:rsidP="000E3AF9">
            <w:pPr>
              <w:pStyle w:val="TableParagraph"/>
              <w:spacing w:line="360" w:lineRule="auto"/>
              <w:ind w:firstLineChars="200" w:firstLine="480"/>
              <w:rPr>
                <w:rFonts w:ascii="Times New Roman" w:eastAsia="宋体" w:hAnsi="Times New Roman" w:cs="Times New Roman"/>
                <w:sz w:val="24"/>
                <w:szCs w:val="24"/>
              </w:rPr>
            </w:pPr>
          </w:p>
          <w:p w:rsidR="000E3AF9" w:rsidRPr="00585ABA" w:rsidRDefault="000E3AF9" w:rsidP="00585ABA">
            <w:pPr>
              <w:pStyle w:val="TableParagraph"/>
              <w:spacing w:line="360" w:lineRule="auto"/>
              <w:ind w:firstLineChars="200" w:firstLine="482"/>
              <w:rPr>
                <w:rFonts w:ascii="Times New Roman" w:eastAsia="宋体" w:hAnsi="Times New Roman" w:cs="Times New Roman"/>
                <w:b/>
                <w:sz w:val="24"/>
                <w:szCs w:val="24"/>
              </w:rPr>
            </w:pPr>
            <w:r w:rsidRPr="00585ABA">
              <w:rPr>
                <w:rFonts w:ascii="Times New Roman" w:eastAsia="宋体" w:hAnsi="Times New Roman" w:cs="Times New Roman" w:hint="eastAsia"/>
                <w:b/>
                <w:sz w:val="24"/>
                <w:szCs w:val="24"/>
              </w:rPr>
              <w:t>10</w:t>
            </w:r>
            <w:r w:rsidRPr="00585ABA">
              <w:rPr>
                <w:rFonts w:ascii="Times New Roman" w:eastAsia="宋体" w:hAnsi="Times New Roman" w:cs="Times New Roman" w:hint="eastAsia"/>
                <w:b/>
                <w:sz w:val="24"/>
                <w:szCs w:val="24"/>
              </w:rPr>
              <w:t>、</w:t>
            </w:r>
            <w:r w:rsidRPr="000E3AF9">
              <w:rPr>
                <w:rFonts w:ascii="Times New Roman" w:eastAsia="宋体" w:hAnsi="Times New Roman" w:cs="Times New Roman" w:hint="eastAsia"/>
                <w:b/>
                <w:sz w:val="24"/>
                <w:szCs w:val="24"/>
              </w:rPr>
              <w:t>未来两年的</w:t>
            </w:r>
            <w:r w:rsidRPr="000E3AF9">
              <w:rPr>
                <w:rFonts w:ascii="Times New Roman" w:eastAsia="宋体" w:hAnsi="Times New Roman" w:cs="Times New Roman"/>
                <w:b/>
                <w:sz w:val="24"/>
                <w:szCs w:val="24"/>
              </w:rPr>
              <w:t xml:space="preserve"> CapEx </w:t>
            </w:r>
            <w:r w:rsidRPr="000E3AF9">
              <w:rPr>
                <w:rFonts w:ascii="Times New Roman" w:eastAsia="宋体" w:hAnsi="Times New Roman" w:cs="Times New Roman"/>
                <w:b/>
                <w:sz w:val="24"/>
                <w:szCs w:val="24"/>
              </w:rPr>
              <w:t>强度会否持续？是否会同步提升设备利用率与现金回流，避免账龄拖长？客户付款周期是否缩短？</w:t>
            </w:r>
          </w:p>
          <w:p w:rsidR="000E3AF9" w:rsidRDefault="000E3AF9" w:rsidP="000E3AF9">
            <w:pPr>
              <w:pStyle w:val="TableParagraph"/>
              <w:spacing w:line="360" w:lineRule="auto"/>
              <w:ind w:firstLineChars="200" w:firstLine="480"/>
              <w:rPr>
                <w:rFonts w:ascii="Times New Roman" w:eastAsia="宋体" w:hAnsi="Times New Roman" w:cs="Times New Roman"/>
                <w:sz w:val="24"/>
                <w:szCs w:val="24"/>
              </w:rPr>
            </w:pPr>
            <w:r w:rsidRPr="000E3AF9">
              <w:rPr>
                <w:rFonts w:ascii="Times New Roman" w:eastAsia="宋体" w:hAnsi="Times New Roman" w:cs="Times New Roman" w:hint="eastAsia"/>
                <w:sz w:val="24"/>
                <w:szCs w:val="24"/>
              </w:rPr>
              <w:t>您好，公司将继续按照市场需求和战略规划安排资本开支计划，并致力于维持投资增长与财务稳健之间的平衡，感谢您的关注！</w:t>
            </w:r>
          </w:p>
          <w:p w:rsidR="009E06E2" w:rsidRDefault="009E06E2" w:rsidP="00B54891">
            <w:pPr>
              <w:pStyle w:val="TableParagraph"/>
              <w:spacing w:line="360" w:lineRule="auto"/>
              <w:rPr>
                <w:rFonts w:ascii="Times New Roman" w:eastAsia="宋体" w:hAnsi="Times New Roman" w:cs="Times New Roman"/>
                <w:sz w:val="24"/>
                <w:szCs w:val="24"/>
                <w:lang w:val="en-US"/>
              </w:rPr>
            </w:pPr>
          </w:p>
          <w:p w:rsidR="00B54891" w:rsidRDefault="00B54891" w:rsidP="00B54891">
            <w:pPr>
              <w:pStyle w:val="TableParagraph"/>
              <w:spacing w:line="360" w:lineRule="auto"/>
              <w:rPr>
                <w:rFonts w:ascii="Times New Roman" w:eastAsia="宋体" w:hAnsi="Times New Roman" w:cs="Times New Roman"/>
                <w:sz w:val="24"/>
                <w:szCs w:val="24"/>
                <w:lang w:val="en-US"/>
              </w:rPr>
            </w:pPr>
          </w:p>
          <w:p w:rsidR="00B54891" w:rsidRPr="009E06E2" w:rsidRDefault="00B54891" w:rsidP="00B54891">
            <w:pPr>
              <w:pStyle w:val="TableParagraph"/>
              <w:spacing w:line="360" w:lineRule="auto"/>
              <w:rPr>
                <w:rFonts w:ascii="Times New Roman" w:eastAsia="宋体" w:hAnsi="Times New Roman" w:cs="Times New Roman"/>
                <w:sz w:val="24"/>
                <w:szCs w:val="24"/>
                <w:lang w:val="en-US"/>
              </w:rPr>
            </w:pPr>
            <w:bookmarkStart w:id="0" w:name="_GoBack"/>
            <w:bookmarkEnd w:id="0"/>
          </w:p>
        </w:tc>
      </w:tr>
      <w:tr w:rsidR="00A3445D" w:rsidRPr="00A955CE" w:rsidTr="0013206B">
        <w:trPr>
          <w:trHeight w:val="1433"/>
          <w:jc w:val="center"/>
        </w:trPr>
        <w:tc>
          <w:tcPr>
            <w:tcW w:w="1603" w:type="dxa"/>
            <w:vAlign w:val="center"/>
          </w:tcPr>
          <w:p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rsidTr="0013206B">
        <w:trPr>
          <w:trHeight w:val="56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04" w:rsidRDefault="00532704" w:rsidP="00675B49">
      <w:r>
        <w:separator/>
      </w:r>
    </w:p>
  </w:endnote>
  <w:endnote w:type="continuationSeparator" w:id="0">
    <w:p w:rsidR="00532704" w:rsidRDefault="00532704"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04" w:rsidRDefault="00532704" w:rsidP="00675B49">
      <w:r>
        <w:separator/>
      </w:r>
    </w:p>
  </w:footnote>
  <w:footnote w:type="continuationSeparator" w:id="0">
    <w:p w:rsidR="00532704" w:rsidRDefault="00532704" w:rsidP="00675B4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26CC3"/>
    <w:rsid w:val="00036089"/>
    <w:rsid w:val="00053CFA"/>
    <w:rsid w:val="000577F8"/>
    <w:rsid w:val="000633EC"/>
    <w:rsid w:val="00063804"/>
    <w:rsid w:val="000665A2"/>
    <w:rsid w:val="00070D81"/>
    <w:rsid w:val="000759D7"/>
    <w:rsid w:val="00082944"/>
    <w:rsid w:val="000877AB"/>
    <w:rsid w:val="0009126F"/>
    <w:rsid w:val="000A2828"/>
    <w:rsid w:val="000A44DE"/>
    <w:rsid w:val="000B75BA"/>
    <w:rsid w:val="000B7C08"/>
    <w:rsid w:val="000D12CF"/>
    <w:rsid w:val="000D2D88"/>
    <w:rsid w:val="000D658C"/>
    <w:rsid w:val="000E3AF9"/>
    <w:rsid w:val="000E4B20"/>
    <w:rsid w:val="000E4FCF"/>
    <w:rsid w:val="000F7B52"/>
    <w:rsid w:val="0011418F"/>
    <w:rsid w:val="00117B1D"/>
    <w:rsid w:val="0012250D"/>
    <w:rsid w:val="0013206B"/>
    <w:rsid w:val="001367CC"/>
    <w:rsid w:val="001406B7"/>
    <w:rsid w:val="00150BC8"/>
    <w:rsid w:val="001639C4"/>
    <w:rsid w:val="00172C24"/>
    <w:rsid w:val="00173DE7"/>
    <w:rsid w:val="001778F6"/>
    <w:rsid w:val="001818AD"/>
    <w:rsid w:val="00190FE3"/>
    <w:rsid w:val="001918C4"/>
    <w:rsid w:val="001B4711"/>
    <w:rsid w:val="001B559B"/>
    <w:rsid w:val="001C0D83"/>
    <w:rsid w:val="001C1D90"/>
    <w:rsid w:val="001C7260"/>
    <w:rsid w:val="001D2D55"/>
    <w:rsid w:val="001E59D1"/>
    <w:rsid w:val="001E5EA4"/>
    <w:rsid w:val="002042A7"/>
    <w:rsid w:val="002051AE"/>
    <w:rsid w:val="00205911"/>
    <w:rsid w:val="002146AD"/>
    <w:rsid w:val="00225C76"/>
    <w:rsid w:val="002348D1"/>
    <w:rsid w:val="0024262E"/>
    <w:rsid w:val="002676DB"/>
    <w:rsid w:val="00275CB6"/>
    <w:rsid w:val="002800B5"/>
    <w:rsid w:val="00285CD0"/>
    <w:rsid w:val="00290116"/>
    <w:rsid w:val="00293238"/>
    <w:rsid w:val="00295331"/>
    <w:rsid w:val="00295B29"/>
    <w:rsid w:val="0029704C"/>
    <w:rsid w:val="00297501"/>
    <w:rsid w:val="002B45D2"/>
    <w:rsid w:val="002C549B"/>
    <w:rsid w:val="002C6F3D"/>
    <w:rsid w:val="002D1A46"/>
    <w:rsid w:val="002D2CE3"/>
    <w:rsid w:val="002D355E"/>
    <w:rsid w:val="002D4073"/>
    <w:rsid w:val="002E7098"/>
    <w:rsid w:val="002F5191"/>
    <w:rsid w:val="002F63BE"/>
    <w:rsid w:val="00301D32"/>
    <w:rsid w:val="00306A62"/>
    <w:rsid w:val="0031357A"/>
    <w:rsid w:val="00347CB6"/>
    <w:rsid w:val="0035561C"/>
    <w:rsid w:val="00366EB1"/>
    <w:rsid w:val="00366FAD"/>
    <w:rsid w:val="0036713B"/>
    <w:rsid w:val="0037105B"/>
    <w:rsid w:val="0039316F"/>
    <w:rsid w:val="003975BA"/>
    <w:rsid w:val="003A74E6"/>
    <w:rsid w:val="003B73DD"/>
    <w:rsid w:val="003C61EA"/>
    <w:rsid w:val="003D011C"/>
    <w:rsid w:val="003D434E"/>
    <w:rsid w:val="003F6D3C"/>
    <w:rsid w:val="00401496"/>
    <w:rsid w:val="00403B08"/>
    <w:rsid w:val="004108C7"/>
    <w:rsid w:val="00412DC2"/>
    <w:rsid w:val="004146AD"/>
    <w:rsid w:val="004350A0"/>
    <w:rsid w:val="004368FF"/>
    <w:rsid w:val="00440041"/>
    <w:rsid w:val="00443FE5"/>
    <w:rsid w:val="00451268"/>
    <w:rsid w:val="004515AD"/>
    <w:rsid w:val="00451857"/>
    <w:rsid w:val="00453516"/>
    <w:rsid w:val="0045629D"/>
    <w:rsid w:val="00457548"/>
    <w:rsid w:val="00461796"/>
    <w:rsid w:val="0046309A"/>
    <w:rsid w:val="00463650"/>
    <w:rsid w:val="00470DB2"/>
    <w:rsid w:val="00483B65"/>
    <w:rsid w:val="0048425F"/>
    <w:rsid w:val="00485A3F"/>
    <w:rsid w:val="004925E7"/>
    <w:rsid w:val="00495B11"/>
    <w:rsid w:val="004C4F91"/>
    <w:rsid w:val="004D414E"/>
    <w:rsid w:val="004E286B"/>
    <w:rsid w:val="004E3894"/>
    <w:rsid w:val="004E4304"/>
    <w:rsid w:val="004E43C1"/>
    <w:rsid w:val="004E4491"/>
    <w:rsid w:val="004F0F72"/>
    <w:rsid w:val="004F6FF3"/>
    <w:rsid w:val="00507A0D"/>
    <w:rsid w:val="0051181D"/>
    <w:rsid w:val="00522E31"/>
    <w:rsid w:val="00525CFE"/>
    <w:rsid w:val="00532704"/>
    <w:rsid w:val="00541B7D"/>
    <w:rsid w:val="00544AD9"/>
    <w:rsid w:val="005458CF"/>
    <w:rsid w:val="005540AA"/>
    <w:rsid w:val="005638F3"/>
    <w:rsid w:val="00571B49"/>
    <w:rsid w:val="005743AE"/>
    <w:rsid w:val="005762CD"/>
    <w:rsid w:val="00585ABA"/>
    <w:rsid w:val="005972A6"/>
    <w:rsid w:val="005A3F66"/>
    <w:rsid w:val="005B482C"/>
    <w:rsid w:val="005D30A7"/>
    <w:rsid w:val="005D64CA"/>
    <w:rsid w:val="005E5717"/>
    <w:rsid w:val="005E6DB2"/>
    <w:rsid w:val="005F44BD"/>
    <w:rsid w:val="005F709A"/>
    <w:rsid w:val="0060321B"/>
    <w:rsid w:val="00611393"/>
    <w:rsid w:val="00611E0E"/>
    <w:rsid w:val="0061433E"/>
    <w:rsid w:val="006159E3"/>
    <w:rsid w:val="00616F76"/>
    <w:rsid w:val="00616FDF"/>
    <w:rsid w:val="0062246F"/>
    <w:rsid w:val="0062751D"/>
    <w:rsid w:val="00627BB3"/>
    <w:rsid w:val="006354AA"/>
    <w:rsid w:val="00642556"/>
    <w:rsid w:val="00661AFA"/>
    <w:rsid w:val="006726BF"/>
    <w:rsid w:val="00675B49"/>
    <w:rsid w:val="00677B77"/>
    <w:rsid w:val="0068718A"/>
    <w:rsid w:val="006960E7"/>
    <w:rsid w:val="00696FCC"/>
    <w:rsid w:val="006A2286"/>
    <w:rsid w:val="006A2739"/>
    <w:rsid w:val="006A57E2"/>
    <w:rsid w:val="006B5C95"/>
    <w:rsid w:val="006B7293"/>
    <w:rsid w:val="006D1AD0"/>
    <w:rsid w:val="006D737E"/>
    <w:rsid w:val="006E14B0"/>
    <w:rsid w:val="006E66E1"/>
    <w:rsid w:val="006F0108"/>
    <w:rsid w:val="006F4608"/>
    <w:rsid w:val="006F672A"/>
    <w:rsid w:val="007026D5"/>
    <w:rsid w:val="00704AE6"/>
    <w:rsid w:val="007153A2"/>
    <w:rsid w:val="007205DC"/>
    <w:rsid w:val="00724A68"/>
    <w:rsid w:val="007271BF"/>
    <w:rsid w:val="00727DDE"/>
    <w:rsid w:val="00730DD3"/>
    <w:rsid w:val="00733224"/>
    <w:rsid w:val="00733C9A"/>
    <w:rsid w:val="00741E7A"/>
    <w:rsid w:val="00744BA0"/>
    <w:rsid w:val="00755F0F"/>
    <w:rsid w:val="00763EA3"/>
    <w:rsid w:val="00764128"/>
    <w:rsid w:val="00776F0A"/>
    <w:rsid w:val="007817AF"/>
    <w:rsid w:val="007824B8"/>
    <w:rsid w:val="00785B39"/>
    <w:rsid w:val="007910DD"/>
    <w:rsid w:val="00795B68"/>
    <w:rsid w:val="007A3EC1"/>
    <w:rsid w:val="007A5151"/>
    <w:rsid w:val="007B3368"/>
    <w:rsid w:val="007C10BC"/>
    <w:rsid w:val="007C1D25"/>
    <w:rsid w:val="007C3CA9"/>
    <w:rsid w:val="007C68E1"/>
    <w:rsid w:val="007C7017"/>
    <w:rsid w:val="007D0A69"/>
    <w:rsid w:val="007D3383"/>
    <w:rsid w:val="007D64BB"/>
    <w:rsid w:val="007D6DC4"/>
    <w:rsid w:val="007F529A"/>
    <w:rsid w:val="00810505"/>
    <w:rsid w:val="00812425"/>
    <w:rsid w:val="00812598"/>
    <w:rsid w:val="008160A0"/>
    <w:rsid w:val="00832BF4"/>
    <w:rsid w:val="0083536E"/>
    <w:rsid w:val="00840FC0"/>
    <w:rsid w:val="0085308D"/>
    <w:rsid w:val="00853463"/>
    <w:rsid w:val="00856D25"/>
    <w:rsid w:val="00876634"/>
    <w:rsid w:val="00890268"/>
    <w:rsid w:val="00893F25"/>
    <w:rsid w:val="00895035"/>
    <w:rsid w:val="008A1E07"/>
    <w:rsid w:val="008B2B14"/>
    <w:rsid w:val="008B6464"/>
    <w:rsid w:val="008C1BE0"/>
    <w:rsid w:val="008C6AED"/>
    <w:rsid w:val="008C7604"/>
    <w:rsid w:val="008D2EAF"/>
    <w:rsid w:val="008E0A51"/>
    <w:rsid w:val="008E1B27"/>
    <w:rsid w:val="008F7496"/>
    <w:rsid w:val="00903379"/>
    <w:rsid w:val="00906975"/>
    <w:rsid w:val="00917F0B"/>
    <w:rsid w:val="00917F8B"/>
    <w:rsid w:val="00932338"/>
    <w:rsid w:val="0094448B"/>
    <w:rsid w:val="00954332"/>
    <w:rsid w:val="009605F6"/>
    <w:rsid w:val="00960698"/>
    <w:rsid w:val="00960964"/>
    <w:rsid w:val="00965E4D"/>
    <w:rsid w:val="00986110"/>
    <w:rsid w:val="009A20C4"/>
    <w:rsid w:val="009B1D5C"/>
    <w:rsid w:val="009B4901"/>
    <w:rsid w:val="009C2464"/>
    <w:rsid w:val="009C2E31"/>
    <w:rsid w:val="009D4301"/>
    <w:rsid w:val="009E06E2"/>
    <w:rsid w:val="009E0D5D"/>
    <w:rsid w:val="009E1955"/>
    <w:rsid w:val="009E7ED5"/>
    <w:rsid w:val="00A061BF"/>
    <w:rsid w:val="00A10245"/>
    <w:rsid w:val="00A26325"/>
    <w:rsid w:val="00A330C0"/>
    <w:rsid w:val="00A33784"/>
    <w:rsid w:val="00A3445D"/>
    <w:rsid w:val="00A416C4"/>
    <w:rsid w:val="00A43140"/>
    <w:rsid w:val="00A52607"/>
    <w:rsid w:val="00A527AA"/>
    <w:rsid w:val="00A5684D"/>
    <w:rsid w:val="00A63B43"/>
    <w:rsid w:val="00A75C61"/>
    <w:rsid w:val="00A955CE"/>
    <w:rsid w:val="00A9601B"/>
    <w:rsid w:val="00A9642C"/>
    <w:rsid w:val="00AA02FC"/>
    <w:rsid w:val="00AA0910"/>
    <w:rsid w:val="00AA4348"/>
    <w:rsid w:val="00AB2DDC"/>
    <w:rsid w:val="00AD100E"/>
    <w:rsid w:val="00AD3FFF"/>
    <w:rsid w:val="00AE1E36"/>
    <w:rsid w:val="00AF74AA"/>
    <w:rsid w:val="00B03C2F"/>
    <w:rsid w:val="00B05CAA"/>
    <w:rsid w:val="00B07DE9"/>
    <w:rsid w:val="00B128B4"/>
    <w:rsid w:val="00B15064"/>
    <w:rsid w:val="00B27754"/>
    <w:rsid w:val="00B3167B"/>
    <w:rsid w:val="00B340A3"/>
    <w:rsid w:val="00B36D66"/>
    <w:rsid w:val="00B375AD"/>
    <w:rsid w:val="00B410F5"/>
    <w:rsid w:val="00B44242"/>
    <w:rsid w:val="00B546CF"/>
    <w:rsid w:val="00B54891"/>
    <w:rsid w:val="00B6280C"/>
    <w:rsid w:val="00B6415C"/>
    <w:rsid w:val="00B671A4"/>
    <w:rsid w:val="00B72CD4"/>
    <w:rsid w:val="00B83832"/>
    <w:rsid w:val="00B85B00"/>
    <w:rsid w:val="00BA0A2C"/>
    <w:rsid w:val="00BA4159"/>
    <w:rsid w:val="00BA5BB7"/>
    <w:rsid w:val="00BB56F7"/>
    <w:rsid w:val="00BC0C7F"/>
    <w:rsid w:val="00BD7E77"/>
    <w:rsid w:val="00BE0A7D"/>
    <w:rsid w:val="00BE74F3"/>
    <w:rsid w:val="00BF132F"/>
    <w:rsid w:val="00BF3270"/>
    <w:rsid w:val="00BF392F"/>
    <w:rsid w:val="00C06081"/>
    <w:rsid w:val="00C13878"/>
    <w:rsid w:val="00C15DBD"/>
    <w:rsid w:val="00C31284"/>
    <w:rsid w:val="00C40110"/>
    <w:rsid w:val="00C40873"/>
    <w:rsid w:val="00C634E9"/>
    <w:rsid w:val="00C9551B"/>
    <w:rsid w:val="00CA1705"/>
    <w:rsid w:val="00CB787F"/>
    <w:rsid w:val="00CC2F08"/>
    <w:rsid w:val="00CC322F"/>
    <w:rsid w:val="00CE1A54"/>
    <w:rsid w:val="00CE3B27"/>
    <w:rsid w:val="00CF1332"/>
    <w:rsid w:val="00CF18F2"/>
    <w:rsid w:val="00CF4A48"/>
    <w:rsid w:val="00CF5FB6"/>
    <w:rsid w:val="00CF629B"/>
    <w:rsid w:val="00D02518"/>
    <w:rsid w:val="00D02BF7"/>
    <w:rsid w:val="00D05354"/>
    <w:rsid w:val="00D17454"/>
    <w:rsid w:val="00D242D6"/>
    <w:rsid w:val="00D33FBC"/>
    <w:rsid w:val="00D4153D"/>
    <w:rsid w:val="00D67CC9"/>
    <w:rsid w:val="00D7535C"/>
    <w:rsid w:val="00D76302"/>
    <w:rsid w:val="00D84A20"/>
    <w:rsid w:val="00D86F8C"/>
    <w:rsid w:val="00DA5CE2"/>
    <w:rsid w:val="00DC5238"/>
    <w:rsid w:val="00DD4AAF"/>
    <w:rsid w:val="00DD77DA"/>
    <w:rsid w:val="00DE10E8"/>
    <w:rsid w:val="00DE4A17"/>
    <w:rsid w:val="00DF432F"/>
    <w:rsid w:val="00DF5B93"/>
    <w:rsid w:val="00E12C2C"/>
    <w:rsid w:val="00E16FDA"/>
    <w:rsid w:val="00E22383"/>
    <w:rsid w:val="00E24110"/>
    <w:rsid w:val="00E32F5A"/>
    <w:rsid w:val="00E3505B"/>
    <w:rsid w:val="00E35F58"/>
    <w:rsid w:val="00E36B27"/>
    <w:rsid w:val="00E40CAC"/>
    <w:rsid w:val="00E41F88"/>
    <w:rsid w:val="00E45BD9"/>
    <w:rsid w:val="00E46A6A"/>
    <w:rsid w:val="00E66FFC"/>
    <w:rsid w:val="00E7556B"/>
    <w:rsid w:val="00E759D6"/>
    <w:rsid w:val="00E75D35"/>
    <w:rsid w:val="00E82523"/>
    <w:rsid w:val="00E84A8C"/>
    <w:rsid w:val="00E91D05"/>
    <w:rsid w:val="00E97626"/>
    <w:rsid w:val="00E976DE"/>
    <w:rsid w:val="00EA06FF"/>
    <w:rsid w:val="00EA3568"/>
    <w:rsid w:val="00EC0A5A"/>
    <w:rsid w:val="00EC0F83"/>
    <w:rsid w:val="00EC3478"/>
    <w:rsid w:val="00EE3187"/>
    <w:rsid w:val="00EE617E"/>
    <w:rsid w:val="00EE759B"/>
    <w:rsid w:val="00EF4407"/>
    <w:rsid w:val="00EF499B"/>
    <w:rsid w:val="00F13757"/>
    <w:rsid w:val="00F14977"/>
    <w:rsid w:val="00F252DF"/>
    <w:rsid w:val="00F4504F"/>
    <w:rsid w:val="00F52668"/>
    <w:rsid w:val="00F772C5"/>
    <w:rsid w:val="00F77F5C"/>
    <w:rsid w:val="00FA7F70"/>
    <w:rsid w:val="00FB4A08"/>
    <w:rsid w:val="00FB597F"/>
    <w:rsid w:val="00FC0C2A"/>
    <w:rsid w:val="00FC3C57"/>
    <w:rsid w:val="00FC6286"/>
    <w:rsid w:val="00FD7F8E"/>
    <w:rsid w:val="00FE13FC"/>
    <w:rsid w:val="00FE2093"/>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3</Pages>
  <Words>284</Words>
  <Characters>1624</Characters>
  <Application>Microsoft Office Word</Application>
  <DocSecurity>0</DocSecurity>
  <Lines>13</Lines>
  <Paragraphs>3</Paragraphs>
  <ScaleCrop>false</ScaleCrop>
  <Company>P R C</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Dan Liu</cp:lastModifiedBy>
  <cp:revision>27</cp:revision>
  <dcterms:created xsi:type="dcterms:W3CDTF">2024-05-22T06:57:00Z</dcterms:created>
  <dcterms:modified xsi:type="dcterms:W3CDTF">2025-11-11T06:20:00Z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